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Manual de Usuario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Módulo de Farmacia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Este manual explica cómo usar el módulo de Farmacia del sistema MediCentro: administrar el inventario de medicamentos, registrar ventas, dar seguimiento a las entradas y salidas de bodega, mantener el catálogo de medicamentos de la clínica y consultar el recetario interno.</w:t>
      </w:r>
    </w:p>
    <w:p>
      <w:pPr>
        <w:pBdr>
          <w:left w:val="single" w:color="000000" w:sz="18"/>
        </w:pBdr>
        <w:shd w:fill="F0F0F0" w:val="clear"/>
        <w:spacing w:after="240" w:before="120"/>
        <w:ind w:left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Nota: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Las pantallas de este manual se tomaron con datos de prueba. Los nombres, cantidades y montos que aparecen no corresponden a existencias reales.</w:t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 Ingresar al módulo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En el menú lateral izquierdo, da clic en "FARMACIA".</w:t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 Inventario de medicamentos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Esta es la pantalla principal del módulo.</w:t>
      </w:r>
    </w:p>
    <w:p>
      <w:pPr>
        <w:spacing w:after="240"/>
        <w:jc w:val="center"/>
      </w:pPr>
      <w:r>
        <w:drawing>
          <wp:inline distT="0" distB="0" distL="0" distR="0">
            <wp:extent cx="5715000" cy="371475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Usa el buscador para encontrar un medicamento en inventario.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Los botones debajo del buscador dan acceso directo a Venta de medicamentos, Recetas internas, Catálogo de medicamentos, Movimientos de medicamentos e Inventario de farmacia.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Cada tarjeta muestra la presentación, el estado, el proveedor, y una barra con el stock actual contra el stock mínimo configurado — útil para detectar de un vistazo qué medicamentos están por agotarse.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"Nuevo medicamento" agrega un ítem nuevo al inventario de esta farmacia (ver sección 3); "Registrar venta" abre el formulario de venta (ver sección 4).</w:t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 Agregar un ítem al inventario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Da clic en el botón "Nuevo medicamento" desde la pantalla de inventario.</w:t>
      </w:r>
    </w:p>
    <w:p>
      <w:pPr>
        <w:spacing w:after="240"/>
        <w:jc w:val="center"/>
      </w:pPr>
      <w:r>
        <w:drawing>
          <wp:inline distT="0" distB="0" distL="0" distR="0">
            <wp:extent cx="5715000" cy="3714750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Selecciona el medicamento del catálogo (ver sección 6) y dale un nombre para identificarlo en este inventario.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Si aplica, selecciona el proveedor, y la unidad de medida en la que se maneja (caja, frasco, tableta, etc.).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Define el estado del ítem, el stock actual y el stock mínimo (el nivel que, al alcanzarse, se considera que hay que reabastecer).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Da clic en "Guardar".</w:t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 Registrar una venta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Da clic en "Registrar venta" desde la pantalla de inventario, o en "Venta de medicamentos" desde el menú.</w:t>
      </w:r>
    </w:p>
    <w:p>
      <w:pPr>
        <w:spacing w:after="240"/>
        <w:jc w:val="center"/>
      </w:pPr>
      <w:r>
        <w:drawing>
          <wp:inline distT="0" distB="0" distL="0" distR="0">
            <wp:extent cx="5715000" cy="3714750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Selecciona el medicamento y la cantidad vendida.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Agrega el motivo o alguna nota, si aplica (por ejemplo, "Venta directa").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Da clic en "Registrar venta". Esto descuenta automáticamente el stock del inventario y queda registrado como salida en "Movimientos de medicamentos".</w:t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 Movimientos de inventario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Lista todas las entradas, salidas, ajustes y mermas de los medicamentos de la farmacia.</w:t>
      </w:r>
    </w:p>
    <w:p>
      <w:pPr>
        <w:spacing w:after="240"/>
        <w:jc w:val="center"/>
      </w:pPr>
      <w:r>
        <w:drawing>
          <wp:inline distT="0" distB="0" distL="0" distR="0">
            <wp:extent cx="5715000" cy="3124200"/>
            <wp:effectExtent t="0" r="0" b="0" l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Cada movimiento muestra el medicamento, el tipo (Entrada, Salida o Ajuste), el motivo, la cantidad (positiva para entradas, negativa para salidas) y la fecha.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Algunos movimientos se generan automáticamente por el sistema — por ejemplo, al pagarse una factura que incluye medicamentos, o al surtir una receta — y se identifican por su motivo ("Descuento automático por pago de factura...").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"Nuevo movimiento" registra una entrada, salida o ajuste manual.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Da clic en un movimiento para ver su detalle.</w:t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6. Catálogo de medicamentos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Lista todos los medicamentos disponibles para usarse en recetas e inventario, sin importar si tienen existencias registradas o no.</w:t>
      </w:r>
    </w:p>
    <w:p>
      <w:pPr>
        <w:spacing w:after="240"/>
        <w:jc w:val="center"/>
      </w:pPr>
      <w:r>
        <w:drawing>
          <wp:inline distT="0" distB="0" distL="0" distR="0">
            <wp:extent cx="5715000" cy="3714750"/>
            <wp:effectExtent t="0" r="0" b="0" l="0"/>
            <wp:docPr id="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Cada tarjeta muestra la presentación, concentración, principio activo, el precio de venta al público, y si requiere receta médica.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"Importar CSV" permite cargar varios medicamentos a la vez desde un archivo.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"Nuevo medicamento" abre el formulario para registrar uno nuevo (ver sección 6.1).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6.1 Registrar un medicamento en el catálogo</w:t>
      </w:r>
    </w:p>
    <w:p>
      <w:pPr>
        <w:spacing w:after="240"/>
        <w:jc w:val="center"/>
      </w:pPr>
      <w:r>
        <w:drawing>
          <wp:inline distT="0" distB="0" distL="0" distR="0">
            <wp:extent cx="5715000" cy="3714750"/>
            <wp:effectExtent t="0" r="0" b="0" l="0"/>
            <wp:docPr id="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Captura el nombre comercial (obligatorio), y si se conoce, el principio activo, la presentación y la concentración.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La "Categoría" clasifica el medicamento por tipo (por ejemplo, antibiótico, analgésico).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El "Destino" indica si el medicamento es de Farmacia (se vende/factura al paciente), Clínica (uso interno, para administrar a pacientes hospitalizados) o Ambos. Es solo informativo: no restringe dónde se puede usar el medicamento, pero ayuda a identificar cuáles corresponden a cada uso.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Define el precio de venta al público — se usa para calcular automáticamente el monto al agregar el medicamento a una receta — y si requiere receta médica.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Da clic en "Guardar".</w:t>
      </w:r>
    </w:p>
    <w:p>
      <w:pPr>
        <w:pBdr>
          <w:left w:val="single" w:color="000000" w:sz="18"/>
        </w:pBdr>
        <w:shd w:fill="F0F0F0" w:val="clear"/>
        <w:spacing w:after="240" w:before="120"/>
        <w:ind w:left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Nota: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El campo "Destino" (Farmacia/Clínica/Ambos) se usa, por ejemplo, en el formulario de "Control de medicamentos" de Hospitalización, para sugerir solo los medicamentos marcados como Clínica o Ambos — los que tiene sentido administrar a un paciente internado.</w:t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7. Recetario interno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Lista las recetas emitidas a los pacientes, generadas desde la atención de cada consulta.</w:t>
      </w:r>
    </w:p>
    <w:p>
      <w:pPr>
        <w:spacing w:after="240"/>
        <w:jc w:val="center"/>
      </w:pPr>
      <w:r>
        <w:drawing>
          <wp:inline distT="0" distB="0" distL="0" distR="0">
            <wp:extent cx="5715000" cy="3714750"/>
            <wp:effectExtent t="0" r="0" b="0" l="0"/>
            <wp:docPr id="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Cada tarjeta muestra el paciente, el médico, la fecha, los medicamentos recetados, y el estado de la receta (Emitida, Surtida, etc.).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El ícono de maletín lleva a la atención de la consulta donde se generó esa receta.</w:t>
      </w:r>
    </w:p>
    <w:p>
      <w:pPr>
        <w:pBdr>
          <w:left w:val="single" w:color="000000" w:sz="18"/>
        </w:pBdr>
        <w:shd w:fill="F0F0F0" w:val="clear"/>
        <w:spacing w:after="240" w:before="120"/>
        <w:ind w:left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Nota: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Las recetas ya no se crean sueltas desde este módulo: nacen desde "Atención de la consulta" (ver el manual de Expedientes Clínicos, sección 4.1). Esta pantalla es de consulta y seguimiento.</w:t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Resumen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El módulo de Farmacia administra todo el ciclo de los medicamentos de la clínica: el catálogo general, el inventario con sus existencias, las ventas y movimientos que afectan el stock, y el recetario que se origina en cada consulta.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000000"/>
        <w:sz w:val="24"/>
        <w:szCs w:val="24"/>
      </w:rPr>
      <w:t xml:space="preserve">Página </w:t>
    </w:r>
    <w:r>
      <w:rPr>
        <w:rFonts w:ascii="Arial" w:cs="Arial" w:eastAsia="Arial" w:hAnsi="Arial"/>
        <w:color w:val="000000"/>
        <w:sz w:val="24"/>
        <w:szCs w:val="24"/>
      </w:rPr>
      <w:fldChar w:fldCharType="begin"/>
    </w:r>
    <w:r>
      <w:rPr>
        <w:rFonts w:ascii="Arial" w:cs="Arial" w:eastAsia="Arial" w:hAnsi="Arial"/>
        <w:color w:val="000000"/>
        <w:sz w:val="24"/>
        <w:szCs w:val="24"/>
      </w:rPr>
      <w:instrText xml:space="preserve">PAGE</w:instrText>
    </w:r>
    <w:r>
      <w:rPr>
        <w:rFonts w:ascii="Arial" w:cs="Arial" w:eastAsia="Arial" w:hAnsi="Arial"/>
        <w:color w:val="000000"/>
        <w:sz w:val="24"/>
        <w:szCs w:val="24"/>
      </w:rPr>
      <w:fldChar w:fldCharType="separate"/>
    </w:r>
    <w:r>
      <w:rPr>
        <w:rFonts w:ascii="Arial" w:cs="Arial" w:eastAsia="Arial" w:hAnsi="Arial"/>
        <w:color w:val="000000"/>
        <w:sz w:val="24"/>
        <w:szCs w:val="24"/>
      </w:rPr>
      <w:fldChar w:fldCharType="end"/>
    </w:r>
    <w:r>
      <w:rPr>
        <w:rFonts w:ascii="Arial" w:cs="Arial" w:eastAsia="Arial" w:hAnsi="Arial"/>
        <w:color w:val="000000"/>
        <w:sz w:val="24"/>
        <w:szCs w:val="24"/>
      </w:rPr>
      <w:t xml:space="preserve"> de </w:t>
    </w:r>
    <w:r>
      <w:rPr>
        <w:rFonts w:ascii="Arial" w:cs="Arial" w:eastAsia="Arial" w:hAnsi="Arial"/>
        <w:color w:val="000000"/>
        <w:sz w:val="24"/>
        <w:szCs w:val="24"/>
      </w:rPr>
      <w:fldChar w:fldCharType="begin"/>
    </w:r>
    <w:r>
      <w:rPr>
        <w:rFonts w:ascii="Arial" w:cs="Arial" w:eastAsia="Arial" w:hAnsi="Arial"/>
        <w:color w:val="000000"/>
        <w:sz w:val="24"/>
        <w:szCs w:val="24"/>
      </w:rPr>
      <w:instrText xml:space="preserve">NUMPAGES</w:instrText>
    </w:r>
    <w:r>
      <w:rPr>
        <w:rFonts w:ascii="Arial" w:cs="Arial" w:eastAsia="Arial" w:hAnsi="Arial"/>
        <w:color w:val="000000"/>
        <w:sz w:val="24"/>
        <w:szCs w:val="24"/>
      </w:rPr>
      <w:fldChar w:fldCharType="separate"/>
    </w:r>
    <w:r>
      <w:rPr>
        <w:rFonts w:ascii="Arial" w:cs="Arial" w:eastAsia="Arial" w:hAnsi="Arial"/>
        <w:color w:val="000000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000000"/>
        <w:sz w:val="24"/>
        <w:szCs w:val="24"/>
      </w:rPr>
      <w:t xml:space="preserve">MediCentro — Manual de Usuario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e1622eb303b83733c76e490fa71079fececf5618.png"/><Relationship Id="rId10" Type="http://schemas.openxmlformats.org/officeDocument/2006/relationships/image" Target="media/cac260f1fc44471f1501cdf1e192fd26eb16f370.png"/><Relationship Id="rId11" Type="http://schemas.openxmlformats.org/officeDocument/2006/relationships/image" Target="media/70c705da2045486b477c94cb9fd27cf9552911c6.png"/><Relationship Id="rId12" Type="http://schemas.openxmlformats.org/officeDocument/2006/relationships/image" Target="media/5439073b699b7002c766e798e904ab57e8f4e41b.png"/><Relationship Id="rId13" Type="http://schemas.openxmlformats.org/officeDocument/2006/relationships/image" Target="media/7f09278165054535e8c3482b49d447f406dd504d.png"/><Relationship Id="rId14" Type="http://schemas.openxmlformats.org/officeDocument/2006/relationships/image" Target="media/01259e3974f171f93a21f65ca44967be3b651b25.png"/><Relationship Id="rId15" Type="http://schemas.openxmlformats.org/officeDocument/2006/relationships/image" Target="media/479c215395270b0bdc45682a78b5b2a330b84e96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2026-10-29T05:29:53.404Z</dcterms:created>
  <dcterms:modified xsi:type="dcterms:W3CDTF">2026-10-29T05:29:53.404Z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