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00000"/>
          <w:sz w:val="24"/>
          <w:szCs w:val="24"/>
        </w:rPr>
        <w:t xml:space="preserve">Manual de Usuario</w:t>
      </w:r>
    </w:p>
    <w:p>
      <w:pPr>
        <w:spacing w:after="600"/>
        <w:jc w:val="center"/>
      </w:pPr>
      <w:r>
        <w:rPr>
          <w:rFonts w:ascii="Arial" w:cs="Arial" w:eastAsia="Arial" w:hAnsi="Arial"/>
          <w:b/>
          <w:bCs/>
          <w:color w:val="000000"/>
          <w:sz w:val="24"/>
          <w:szCs w:val="24"/>
        </w:rPr>
        <w:t xml:space="preserve">Módulo de Mantenimiento</w:t>
      </w:r>
    </w:p>
    <w:p>
      <w:pPr>
        <w:spacing w:after="160"/>
      </w:pPr>
      <w:r>
        <w:rPr>
          <w:rFonts w:ascii="Arial" w:cs="Arial" w:eastAsia="Arial" w:hAnsi="Arial"/>
          <w:sz w:val="24"/>
          <w:szCs w:val="24"/>
        </w:rPr>
        <w:t xml:space="preserve">Este manual explica cómo usar el módulo de Mantenimiento del sistema MediCentro: administrar los catálogos y datos de apoyo que usan los demás módulos (estados, formas de pago, proveedores, convenios...), los usuarios y permisos de acceso, y consultar la bitácora de auditoría y la papelera de registros dados de baja.</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Las pantallas de este manual se tomaron con datos de prueba. Los nombres, correos y registros que aparecen no corresponden a datos reales.</w:t>
      </w:r>
    </w:p>
    <w:p>
      <w:pPr>
        <w:spacing w:after="160" w:before="400"/>
      </w:pPr>
      <w:r>
        <w:rPr>
          <w:rFonts w:ascii="Arial" w:cs="Arial" w:eastAsia="Arial" w:hAnsi="Arial"/>
          <w:b/>
          <w:bCs/>
          <w:color w:val="000000"/>
          <w:sz w:val="24"/>
          <w:szCs w:val="24"/>
        </w:rPr>
        <w:t xml:space="preserve">1. Ingresar al módulo</w:t>
      </w:r>
    </w:p>
    <w:p>
      <w:pPr>
        <w:spacing w:after="160"/>
      </w:pPr>
      <w:r>
        <w:rPr>
          <w:rFonts w:ascii="Arial" w:cs="Arial" w:eastAsia="Arial" w:hAnsi="Arial"/>
          <w:sz w:val="24"/>
          <w:szCs w:val="24"/>
        </w:rPr>
        <w:t xml:space="preserve">En el menú lateral izquierdo, da clic en "MANTENIMIENTO".</w:t>
      </w:r>
    </w:p>
    <w:p>
      <w:pPr>
        <w:spacing w:after="240"/>
        <w:jc w:val="center"/>
      </w:pPr>
      <w:r>
        <w:drawing>
          <wp:inline distT="0" distB="0" distL="0" distR="0">
            <wp:extent cx="5715000" cy="54768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476875"/>
                    </a:xfrm>
                    <a:prstGeom prst="rect">
                      <a:avLst/>
                    </a:prstGeom>
                  </pic:spPr>
                </pic:pic>
              </a:graphicData>
            </a:graphic>
          </wp:inline>
        </w:drawing>
      </w:r>
    </w:p>
    <w:p>
      <w:pPr>
        <w:spacing w:after="160"/>
      </w:pPr>
      <w:r>
        <w:rPr>
          <w:rFonts w:ascii="Arial" w:cs="Arial" w:eastAsia="Arial" w:hAnsi="Arial"/>
          <w:sz w:val="24"/>
          <w:szCs w:val="24"/>
        </w:rPr>
        <w:t xml:space="preserve">Mantenimiento no tiene una pantalla propia: es un panel de accesos, agrupados por el módulo al que pertenece cada catálogo (General, Farmacia, Facturación y Cobros, Seguridad, Seguros Médicos, Hospitalización, Emergencias, Laboratorio y Diagnóstico, Recursos Humanos). Casi todas las pantallas de este módulo comparten el mismo patrón: una lista con buscador, botones para "Nuevo registro" e "Importar CSV", y un formulario simple para capturar o editar cada uno.</w:t>
      </w:r>
    </w:p>
    <w:p>
      <w:pPr>
        <w:spacing w:after="160" w:before="400"/>
      </w:pPr>
      <w:r>
        <w:rPr>
          <w:rFonts w:ascii="Arial" w:cs="Arial" w:eastAsia="Arial" w:hAnsi="Arial"/>
          <w:b/>
          <w:bCs/>
          <w:color w:val="000000"/>
          <w:sz w:val="24"/>
          <w:szCs w:val="24"/>
        </w:rPr>
        <w:t xml:space="preserve">2. Catálogos del sistema</w:t>
      </w:r>
    </w:p>
    <w:p>
      <w:pPr>
        <w:spacing w:after="160"/>
      </w:pPr>
      <w:r>
        <w:rPr>
          <w:rFonts w:ascii="Arial" w:cs="Arial" w:eastAsia="Arial" w:hAnsi="Arial"/>
          <w:sz w:val="24"/>
          <w:szCs w:val="24"/>
        </w:rPr>
        <w:t xml:space="preserve">Es la pantalla más importante del módulo: aquí viven todos los catálogos genéricos (estados, tipos, categorías) que usan los demás módulos para sus menús desplegables.</w:t>
      </w:r>
    </w:p>
    <w:p>
      <w:pPr>
        <w:spacing w:after="240"/>
        <w:jc w:val="center"/>
      </w:pPr>
      <w:r>
        <w:drawing>
          <wp:inline distT="0" distB="0" distL="0" distR="0">
            <wp:extent cx="5495925" cy="7239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95925" cy="723900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Usa el buscador o el filtro "Módulo" para encontrar un catálogo específico.</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Cada tarjeta representa un catálogo (por ejemplo, "Destino del medicamento", "Estado de cita", "Tipo de vacuna") e indica a qué módulo pertenece.</w:t>
      </w:r>
    </w:p>
    <w:p>
      <w:pPr>
        <w:spacing w:after="80"/>
        <w:ind w:left="360"/>
      </w:pPr>
      <w:r>
        <w:rPr>
          <w:rFonts w:ascii="Arial" w:cs="Arial" w:eastAsia="Arial" w:hAnsi="Arial"/>
          <w:b/>
          <w:bCs/>
          <w:sz w:val="24"/>
          <w:szCs w:val="24"/>
        </w:rPr>
        <w:t xml:space="preserve">3. </w:t>
      </w:r>
      <w:r>
        <w:rPr>
          <w:rFonts w:ascii="Arial" w:cs="Arial" w:eastAsia="Arial" w:hAnsi="Arial"/>
          <w:sz w:val="24"/>
          <w:szCs w:val="24"/>
        </w:rPr>
        <w:t xml:space="preserve">Da clic en una tarjeta para ver y editar sus valores (por ejemplo, el catálogo "Estado de cita" tendría los valores Programada, Confirmada, En atención, etc.).</w:t>
      </w:r>
    </w:p>
    <w:p>
      <w:pPr>
        <w:spacing w:after="80"/>
        <w:ind w:left="360"/>
      </w:pPr>
      <w:r>
        <w:rPr>
          <w:rFonts w:ascii="Arial" w:cs="Arial" w:eastAsia="Arial" w:hAnsi="Arial"/>
          <w:b/>
          <w:bCs/>
          <w:sz w:val="24"/>
          <w:szCs w:val="24"/>
        </w:rPr>
        <w:t xml:space="preserve">4. </w:t>
      </w:r>
      <w:r>
        <w:rPr>
          <w:rFonts w:ascii="Arial" w:cs="Arial" w:eastAsia="Arial" w:hAnsi="Arial"/>
          <w:sz w:val="24"/>
          <w:szCs w:val="24"/>
        </w:rPr>
        <w:t xml:space="preserve">"Nuevo catálogo" crea un catálogo completamente nuevo, para cuando una función del sistema necesite un tipo de dato que no existe todavía.</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La mayoría de los "selectores" que aparecen en el resto del sistema (tipos, estados, categorías) se alimentan de estos catálogos. Si falta un valor en un desplegable de otra pantalla, generalmente se agrega aquí.</w:t>
      </w:r>
    </w:p>
    <w:p>
      <w:pPr>
        <w:spacing w:after="160" w:before="400"/>
      </w:pPr>
      <w:r>
        <w:rPr>
          <w:rFonts w:ascii="Arial" w:cs="Arial" w:eastAsia="Arial" w:hAnsi="Arial"/>
          <w:b/>
          <w:bCs/>
          <w:color w:val="000000"/>
          <w:sz w:val="24"/>
          <w:szCs w:val="24"/>
        </w:rPr>
        <w:t xml:space="preserve">3. Empleados</w:t>
      </w:r>
    </w:p>
    <w:p>
      <w:pPr>
        <w:spacing w:after="160"/>
      </w:pPr>
      <w:r>
        <w:rPr>
          <w:rFonts w:ascii="Arial" w:cs="Arial" w:eastAsia="Arial" w:hAnsi="Arial"/>
          <w:sz w:val="24"/>
          <w:szCs w:val="24"/>
        </w:rPr>
        <w:t xml:space="preserve">Personal de la clínica (módulo Seguridad / Recursos Humanos).</w:t>
      </w:r>
    </w:p>
    <w:p>
      <w:pPr>
        <w:spacing w:after="240"/>
        <w:jc w:val="center"/>
      </w:pPr>
      <w:r>
        <w:drawing>
          <wp:inline distT="0" distB="0" distL="0" distR="0">
            <wp:extent cx="5715000" cy="3714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Cada tarjeta muestra el nombre, el puesto y el estado del empleado.</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"Importar CSV" carga varios empleados a la vez; "Nuevo empleado" registra uno individual.</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Los médicos que aparecen en los selectores de "Médico" en todo el sistema (consultas, hospitalización, órdenes, etc.) se definen aquí, asignándoles el puesto correspondiente.</w:t>
      </w:r>
    </w:p>
    <w:p>
      <w:pPr>
        <w:spacing w:after="160" w:before="400"/>
      </w:pPr>
      <w:r>
        <w:rPr>
          <w:rFonts w:ascii="Arial" w:cs="Arial" w:eastAsia="Arial" w:hAnsi="Arial"/>
          <w:b/>
          <w:bCs/>
          <w:color w:val="000000"/>
          <w:sz w:val="24"/>
          <w:szCs w:val="24"/>
        </w:rPr>
        <w:t xml:space="preserve">4. Usuarios, roles y permisos</w:t>
      </w:r>
    </w:p>
    <w:p>
      <w:pPr>
        <w:spacing w:after="160"/>
      </w:pPr>
      <w:r>
        <w:rPr>
          <w:rFonts w:ascii="Arial" w:cs="Arial" w:eastAsia="Arial" w:hAnsi="Arial"/>
          <w:sz w:val="24"/>
          <w:szCs w:val="24"/>
        </w:rPr>
        <w:t xml:space="preserve">Estas tres pantallas controlan quién puede entrar al sistema y qué puede hacer.</w:t>
      </w:r>
    </w:p>
    <w:p>
      <w:pPr>
        <w:spacing w:after="240"/>
        <w:jc w:val="center"/>
      </w:pPr>
      <w:r>
        <w:drawing>
          <wp:inline distT="0" distB="0" distL="0" distR="0">
            <wp:extent cx="5715000" cy="3714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1475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"Usuarios" lista las cuentas de acceso al sistema — cada una ligada a un empleado y con su código de usuario (usado junto con la contraseña para iniciar sesión).</w:t>
      </w:r>
    </w:p>
    <w:p>
      <w:pPr>
        <w:spacing w:after="120" w:before="200"/>
      </w:pPr>
      <w:r>
        <w:rPr>
          <w:rFonts w:ascii="Arial" w:cs="Arial" w:eastAsia="Arial" w:hAnsi="Arial"/>
          <w:b/>
          <w:bCs/>
          <w:color w:val="000000"/>
          <w:sz w:val="24"/>
          <w:szCs w:val="24"/>
        </w:rPr>
        <w:t xml:space="preserve">4.1 Roles</w:t>
      </w:r>
    </w:p>
    <w:p>
      <w:pPr>
        <w:spacing w:after="240"/>
        <w:jc w:val="center"/>
      </w:pPr>
      <w:r>
        <w:drawing>
          <wp:inline distT="0" distB="0" distL="0" distR="0">
            <wp:extent cx="5715000" cy="3714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Un rol agrupa un conjunto de permisos (por ejemplo, "Recepción" o "Admin") y se asigna a los usuarios.</w:t>
      </w:r>
    </w:p>
    <w:p>
      <w:pPr>
        <w:spacing w:after="120" w:before="200"/>
      </w:pPr>
      <w:r>
        <w:rPr>
          <w:rFonts w:ascii="Arial" w:cs="Arial" w:eastAsia="Arial" w:hAnsi="Arial"/>
          <w:b/>
          <w:bCs/>
          <w:color w:val="000000"/>
          <w:sz w:val="24"/>
          <w:szCs w:val="24"/>
        </w:rPr>
        <w:t xml:space="preserve">4.2 Permisos</w:t>
      </w:r>
    </w:p>
    <w:p>
      <w:pPr>
        <w:spacing w:after="240"/>
        <w:jc w:val="center"/>
      </w:pPr>
      <w:r>
        <w:drawing>
          <wp:inline distT="0" distB="0" distL="0" distR="0">
            <wp:extent cx="5715000" cy="3714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1475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Cada permiso controla el acceso a un módulo específico del sistema (Acceso a Farmacia, Acceso a Hospitalización, etc.) y se agrupa dentro de los roles.</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Para dar de alta a un nuevo empleado del sistema: primero se registra en "Empleados", luego se le crea su "Usuario", y por último se le asigna un "Rol" con los permisos que necesite.</w:t>
      </w:r>
    </w:p>
    <w:p>
      <w:pPr>
        <w:spacing w:after="160" w:before="400"/>
      </w:pPr>
      <w:r>
        <w:rPr>
          <w:rFonts w:ascii="Arial" w:cs="Arial" w:eastAsia="Arial" w:hAnsi="Arial"/>
          <w:b/>
          <w:bCs/>
          <w:color w:val="000000"/>
          <w:sz w:val="24"/>
          <w:szCs w:val="24"/>
        </w:rPr>
        <w:t xml:space="preserve">5. Aseguradoras</w:t>
      </w:r>
    </w:p>
    <w:p>
      <w:pPr>
        <w:spacing w:after="160"/>
      </w:pPr>
      <w:r>
        <w:rPr>
          <w:rFonts w:ascii="Arial" w:cs="Arial" w:eastAsia="Arial" w:hAnsi="Arial"/>
          <w:sz w:val="24"/>
          <w:szCs w:val="24"/>
        </w:rPr>
        <w:t xml:space="preserve">Aseguradoras y entidades de pólizas (módulo Seguros Médicos) — alimenta el selector de "Aseguradora" al registrar una póliza.</w:t>
      </w:r>
    </w:p>
    <w:p>
      <w:pPr>
        <w:spacing w:after="240"/>
        <w:jc w:val="center"/>
      </w:pPr>
      <w:r>
        <w:drawing>
          <wp:inline distT="0" distB="0" distL="0" distR="0">
            <wp:extent cx="5715000" cy="3714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14750"/>
                    </a:xfrm>
                    <a:prstGeom prst="rect">
                      <a:avLst/>
                    </a:prstGeom>
                  </pic:spPr>
                </pic:pic>
              </a:graphicData>
            </a:graphic>
          </wp:inline>
        </w:drawing>
      </w:r>
    </w:p>
    <w:p>
      <w:pPr>
        <w:spacing w:after="160" w:before="400"/>
      </w:pPr>
      <w:r>
        <w:rPr>
          <w:rFonts w:ascii="Arial" w:cs="Arial" w:eastAsia="Arial" w:hAnsi="Arial"/>
          <w:b/>
          <w:bCs/>
          <w:color w:val="000000"/>
          <w:sz w:val="24"/>
          <w:szCs w:val="24"/>
        </w:rPr>
        <w:t xml:space="preserve">6. Proveedores</w:t>
      </w:r>
    </w:p>
    <w:p>
      <w:pPr>
        <w:spacing w:after="160"/>
      </w:pPr>
      <w:r>
        <w:rPr>
          <w:rFonts w:ascii="Arial" w:cs="Arial" w:eastAsia="Arial" w:hAnsi="Arial"/>
          <w:sz w:val="24"/>
          <w:szCs w:val="24"/>
        </w:rPr>
        <w:t xml:space="preserve">Proveedores de farmacia — alimenta el selector de "Proveedor" al registrar un ítem de inventario.</w:t>
      </w:r>
    </w:p>
    <w:p>
      <w:pPr>
        <w:spacing w:after="240"/>
        <w:jc w:val="center"/>
      </w:pPr>
      <w:r>
        <w:drawing>
          <wp:inline distT="0" distB="0" distL="0" distR="0">
            <wp:extent cx="5715000" cy="3714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14750"/>
                    </a:xfrm>
                    <a:prstGeom prst="rect">
                      <a:avLst/>
                    </a:prstGeom>
                  </pic:spPr>
                </pic:pic>
              </a:graphicData>
            </a:graphic>
          </wp:inline>
        </w:drawing>
      </w:r>
    </w:p>
    <w:p>
      <w:pPr>
        <w:spacing w:after="160" w:before="400"/>
      </w:pPr>
      <w:r>
        <w:rPr>
          <w:rFonts w:ascii="Arial" w:cs="Arial" w:eastAsia="Arial" w:hAnsi="Arial"/>
          <w:b/>
          <w:bCs/>
          <w:color w:val="000000"/>
          <w:sz w:val="24"/>
          <w:szCs w:val="24"/>
        </w:rPr>
        <w:t xml:space="preserve">7. Convenios</w:t>
      </w:r>
    </w:p>
    <w:p>
      <w:pPr>
        <w:spacing w:after="160"/>
      </w:pPr>
      <w:r>
        <w:rPr>
          <w:rFonts w:ascii="Arial" w:cs="Arial" w:eastAsia="Arial" w:hAnsi="Arial"/>
          <w:sz w:val="24"/>
          <w:szCs w:val="24"/>
        </w:rPr>
        <w:t xml:space="preserve">Convenios corporativos (módulo Facturación y Cobros) — empresas o instituciones con las que la clínica tiene un acuerdo de facturación.</w:t>
      </w:r>
    </w:p>
    <w:p>
      <w:pPr>
        <w:spacing w:after="240"/>
        <w:jc w:val="center"/>
      </w:pPr>
      <w:r>
        <w:drawing>
          <wp:inline distT="0" distB="0" distL="0" distR="0">
            <wp:extent cx="5715000" cy="3714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14750"/>
                    </a:xfrm>
                    <a:prstGeom prst="rect">
                      <a:avLst/>
                    </a:prstGeom>
                  </pic:spPr>
                </pic:pic>
              </a:graphicData>
            </a:graphic>
          </wp:inline>
        </w:drawing>
      </w:r>
    </w:p>
    <w:p>
      <w:pPr>
        <w:spacing w:after="160" w:before="400"/>
      </w:pPr>
      <w:r>
        <w:rPr>
          <w:rFonts w:ascii="Arial" w:cs="Arial" w:eastAsia="Arial" w:hAnsi="Arial"/>
          <w:b/>
          <w:bCs/>
          <w:color w:val="000000"/>
          <w:sz w:val="24"/>
          <w:szCs w:val="24"/>
        </w:rPr>
        <w:t xml:space="preserve">8. Salas</w:t>
      </w:r>
    </w:p>
    <w:p>
      <w:pPr>
        <w:spacing w:after="160"/>
      </w:pPr>
      <w:r>
        <w:rPr>
          <w:rFonts w:ascii="Arial" w:cs="Arial" w:eastAsia="Arial" w:hAnsi="Arial"/>
          <w:sz w:val="24"/>
          <w:szCs w:val="24"/>
        </w:rPr>
        <w:t xml:space="preserve">Consultorios, quirófanos y demás salas de la clínica — alimenta el selector de "Sala" al agendar una consulta.</w:t>
      </w:r>
    </w:p>
    <w:p>
      <w:pPr>
        <w:spacing w:after="240"/>
        <w:jc w:val="center"/>
      </w:pPr>
      <w:r>
        <w:drawing>
          <wp:inline distT="0" distB="0" distL="0" distR="0">
            <wp:extent cx="5715000" cy="371475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14750"/>
                    </a:xfrm>
                    <a:prstGeom prst="rect">
                      <a:avLst/>
                    </a:prstGeom>
                  </pic:spPr>
                </pic:pic>
              </a:graphicData>
            </a:graphic>
          </wp:inline>
        </w:drawing>
      </w:r>
    </w:p>
    <w:p>
      <w:pPr>
        <w:spacing w:after="160" w:before="400"/>
      </w:pPr>
      <w:r>
        <w:rPr>
          <w:rFonts w:ascii="Arial" w:cs="Arial" w:eastAsia="Arial" w:hAnsi="Arial"/>
          <w:b/>
          <w:bCs/>
          <w:color w:val="000000"/>
          <w:sz w:val="24"/>
          <w:szCs w:val="24"/>
        </w:rPr>
        <w:t xml:space="preserve">9. Habitaciones</w:t>
      </w:r>
    </w:p>
    <w:p>
      <w:pPr>
        <w:spacing w:after="160"/>
      </w:pPr>
      <w:r>
        <w:rPr>
          <w:rFonts w:ascii="Arial" w:cs="Arial" w:eastAsia="Arial" w:hAnsi="Arial"/>
          <w:sz w:val="24"/>
          <w:szCs w:val="24"/>
        </w:rPr>
        <w:t xml:space="preserve">Habitaciones y camas del módulo Hospitalización — alimenta el selector de "Cama" al registrar un ingreso hospitalario.</w:t>
      </w:r>
    </w:p>
    <w:p>
      <w:pPr>
        <w:spacing w:after="240"/>
        <w:jc w:val="center"/>
      </w:pPr>
      <w:r>
        <w:drawing>
          <wp:inline distT="0" distB="0" distL="0" distR="0">
            <wp:extent cx="5715000" cy="37147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14750"/>
                    </a:xfrm>
                    <a:prstGeom prst="rect">
                      <a:avLst/>
                    </a:prstGeom>
                  </pic:spPr>
                </pic:pic>
              </a:graphicData>
            </a:graphic>
          </wp:inline>
        </w:drawing>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Las demás pantallas del grupo (Tipos de consentimiento, Tipos de examen, Puestos, Disponibilidad de médicos, Especialidades) siguen este mismo patrón de lista + formulario, y alimentan sus respectivos selectores en Emergencias, Laboratorio y Diagnóstico, y Recursos Humanos.</w:t>
      </w:r>
    </w:p>
    <w:p>
      <w:pPr>
        <w:spacing w:after="160" w:before="400"/>
      </w:pPr>
      <w:r>
        <w:rPr>
          <w:rFonts w:ascii="Arial" w:cs="Arial" w:eastAsia="Arial" w:hAnsi="Arial"/>
          <w:b/>
          <w:bCs/>
          <w:color w:val="000000"/>
          <w:sz w:val="24"/>
          <w:szCs w:val="24"/>
        </w:rPr>
        <w:t xml:space="preserve">10. Bitácora de auditoría</w:t>
      </w:r>
    </w:p>
    <w:p>
      <w:pPr>
        <w:spacing w:after="160"/>
      </w:pPr>
      <w:r>
        <w:rPr>
          <w:rFonts w:ascii="Arial" w:cs="Arial" w:eastAsia="Arial" w:hAnsi="Arial"/>
          <w:sz w:val="24"/>
          <w:szCs w:val="24"/>
        </w:rPr>
        <w:t xml:space="preserve">Registra qué se creó, modificó o eliminó en el sistema, por quién y cuándo — los últimos 500 registros, los más recientes primero.</w:t>
      </w:r>
    </w:p>
    <w:p>
      <w:pPr>
        <w:spacing w:after="240"/>
        <w:jc w:val="center"/>
      </w:pPr>
      <w:r>
        <w:drawing>
          <wp:inline distT="0" distB="0" distL="0" distR="0">
            <wp:extent cx="5715000" cy="31242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2420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Filtra por tabla afectada o por usuario, y da clic en "Buscar".</w:t>
      </w:r>
    </w:p>
    <w:p>
      <w:pPr>
        <w:spacing w:after="80"/>
        <w:ind w:left="360"/>
      </w:pPr>
      <w:r>
        <w:rPr>
          <w:rFonts w:ascii="Arial" w:cs="Arial" w:eastAsia="Arial" w:hAnsi="Arial"/>
          <w:b/>
          <w:bCs/>
          <w:sz w:val="24"/>
          <w:szCs w:val="24"/>
        </w:rPr>
        <w:t xml:space="preserve">2. </w:t>
      </w:r>
      <w:r>
        <w:rPr>
          <w:rFonts w:ascii="Arial" w:cs="Arial" w:eastAsia="Arial" w:hAnsi="Arial"/>
          <w:sz w:val="24"/>
          <w:szCs w:val="24"/>
        </w:rPr>
        <w:t xml:space="preserve">Cada fila indica la fecha y hora, el usuario, la tabla y el registro afectado, la acción realizada (Crear, Modificar, Eliminar) y cuántos campos cambiaron — da clic en "Cambios" para ver el detalle de qué valores se modificaron.</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Esta es la bitácora general de todo el sistema. Cada módulo también tiene su propio botón "Historial general" o "Ver historial" para consultar los cambios de un registro específico sin tener que buscarlo aquí.</w:t>
      </w:r>
    </w:p>
    <w:p>
      <w:pPr>
        <w:spacing w:after="160" w:before="400"/>
      </w:pPr>
      <w:r>
        <w:rPr>
          <w:rFonts w:ascii="Arial" w:cs="Arial" w:eastAsia="Arial" w:hAnsi="Arial"/>
          <w:b/>
          <w:bCs/>
          <w:color w:val="000000"/>
          <w:sz w:val="24"/>
          <w:szCs w:val="24"/>
        </w:rPr>
        <w:t xml:space="preserve">11. Papelera</w:t>
      </w:r>
    </w:p>
    <w:p>
      <w:pPr>
        <w:spacing w:after="160"/>
      </w:pPr>
      <w:r>
        <w:rPr>
          <w:rFonts w:ascii="Arial" w:cs="Arial" w:eastAsia="Arial" w:hAnsi="Arial"/>
          <w:sz w:val="24"/>
          <w:szCs w:val="24"/>
        </w:rPr>
        <w:t xml:space="preserve">Centraliza los registros dados de baja (eliminados lógicamente) en cualquier módulo del sistema, para consultarlos o reactivarlos desde un solo lugar.</w:t>
      </w:r>
    </w:p>
    <w:p>
      <w:pPr>
        <w:spacing w:after="240"/>
        <w:jc w:val="center"/>
      </w:pPr>
      <w:r>
        <w:drawing>
          <wp:inline distT="0" distB="0" distL="0" distR="0">
            <wp:extent cx="5715000" cy="37147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14750"/>
                    </a:xfrm>
                    <a:prstGeom prst="rect">
                      <a:avLst/>
                    </a:prstGeom>
                  </pic:spPr>
                </pic:pic>
              </a:graphicData>
            </a:graphic>
          </wp:inline>
        </w:drawing>
      </w:r>
    </w:p>
    <w:p>
      <w:pPr>
        <w:spacing w:after="80"/>
        <w:ind w:left="360"/>
      </w:pPr>
      <w:r>
        <w:rPr>
          <w:rFonts w:ascii="Arial" w:cs="Arial" w:eastAsia="Arial" w:hAnsi="Arial"/>
          <w:b/>
          <w:bCs/>
          <w:sz w:val="24"/>
          <w:szCs w:val="24"/>
        </w:rPr>
        <w:t xml:space="preserve">1. </w:t>
      </w:r>
      <w:r>
        <w:rPr>
          <w:rFonts w:ascii="Arial" w:cs="Arial" w:eastAsia="Arial" w:hAnsi="Arial"/>
          <w:sz w:val="24"/>
          <w:szCs w:val="24"/>
        </w:rPr>
        <w:t xml:space="preserve">Elige el tipo de registro (pacientes, facturas, medicamentos, etc.) para ver lo que se ha dado de baja en ese módulo.</w:t>
      </w:r>
    </w:p>
    <w:p>
      <w:pPr>
        <w:pBdr>
          <w:left w:val="single" w:color="000000" w:sz="18"/>
        </w:pBdr>
        <w:shd w:fill="F0F0F0" w:val="clear"/>
        <w:spacing w:after="240" w:before="120"/>
        <w:ind w:left="200"/>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En el sistema, "eliminar" un registro casi siempre es una baja lógica (el registro se marca como inactivo, no se borra de la base de datos) — por eso casi todas las listas del sistema tienen una pestaña "Eliminados", y además se puede consultar todo junto desde aquí.</w:t>
      </w:r>
    </w:p>
    <w:p>
      <w:pPr>
        <w:spacing w:after="160" w:before="400"/>
      </w:pPr>
      <w:r>
        <w:rPr>
          <w:rFonts w:ascii="Arial" w:cs="Arial" w:eastAsia="Arial" w:hAnsi="Arial"/>
          <w:b/>
          <w:bCs/>
          <w:color w:val="000000"/>
          <w:sz w:val="24"/>
          <w:szCs w:val="24"/>
        </w:rPr>
        <w:t xml:space="preserve">Resumen</w:t>
      </w:r>
    </w:p>
    <w:p>
      <w:pPr>
        <w:spacing w:after="160"/>
      </w:pPr>
      <w:r>
        <w:rPr>
          <w:rFonts w:ascii="Arial" w:cs="Arial" w:eastAsia="Arial" w:hAnsi="Arial"/>
          <w:sz w:val="24"/>
          <w:szCs w:val="24"/>
        </w:rPr>
        <w:t xml:space="preserve">El módulo de Mantenimiento es la base de configuración de todo el sistema: desde aquí se administran los catálogos que alimentan los selectores de los demás módulos, el personal y sus accesos, y se puede dar seguimiento a cualquier cambio o baja que ocurra en MediCentro.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4"/>
        <w:szCs w:val="24"/>
      </w:rPr>
      <w:t xml:space="preserve">Página </w:t>
    </w:r>
    <w:r>
      <w:rPr>
        <w:rFonts w:ascii="Arial" w:cs="Arial" w:eastAsia="Arial" w:hAnsi="Arial"/>
        <w:color w:val="000000"/>
        <w:sz w:val="24"/>
        <w:szCs w:val="24"/>
      </w:rPr>
      <w:fldChar w:fldCharType="begin"/>
    </w:r>
    <w:r>
      <w:rPr>
        <w:rFonts w:ascii="Arial" w:cs="Arial" w:eastAsia="Arial" w:hAnsi="Arial"/>
        <w:color w:val="000000"/>
        <w:sz w:val="24"/>
        <w:szCs w:val="24"/>
      </w:rPr>
      <w:instrText xml:space="preserve">PAGE</w:instrText>
    </w:r>
    <w:r>
      <w:rPr>
        <w:rFonts w:ascii="Arial" w:cs="Arial" w:eastAsia="Arial" w:hAnsi="Arial"/>
        <w:color w:val="000000"/>
        <w:sz w:val="24"/>
        <w:szCs w:val="24"/>
      </w:rPr>
      <w:fldChar w:fldCharType="separate"/>
    </w:r>
    <w:r>
      <w:rPr>
        <w:rFonts w:ascii="Arial" w:cs="Arial" w:eastAsia="Arial" w:hAnsi="Arial"/>
        <w:color w:val="000000"/>
        <w:sz w:val="24"/>
        <w:szCs w:val="24"/>
      </w:rPr>
      <w:fldChar w:fldCharType="end"/>
    </w:r>
    <w:r>
      <w:rPr>
        <w:rFonts w:ascii="Arial" w:cs="Arial" w:eastAsia="Arial" w:hAnsi="Arial"/>
        <w:color w:val="000000"/>
        <w:sz w:val="24"/>
        <w:szCs w:val="24"/>
      </w:rPr>
      <w:t xml:space="preserve"> de </w:t>
    </w:r>
    <w:r>
      <w:rPr>
        <w:rFonts w:ascii="Arial" w:cs="Arial" w:eastAsia="Arial" w:hAnsi="Arial"/>
        <w:color w:val="000000"/>
        <w:sz w:val="24"/>
        <w:szCs w:val="24"/>
      </w:rPr>
      <w:fldChar w:fldCharType="begin"/>
    </w:r>
    <w:r>
      <w:rPr>
        <w:rFonts w:ascii="Arial" w:cs="Arial" w:eastAsia="Arial" w:hAnsi="Arial"/>
        <w:color w:val="000000"/>
        <w:sz w:val="24"/>
        <w:szCs w:val="24"/>
      </w:rPr>
      <w:instrText xml:space="preserve">NUMPAGES</w:instrText>
    </w:r>
    <w:r>
      <w:rPr>
        <w:rFonts w:ascii="Arial" w:cs="Arial" w:eastAsia="Arial" w:hAnsi="Arial"/>
        <w:color w:val="000000"/>
        <w:sz w:val="24"/>
        <w:szCs w:val="24"/>
      </w:rPr>
      <w:fldChar w:fldCharType="separate"/>
    </w:r>
    <w:r>
      <w:rPr>
        <w:rFonts w:ascii="Arial" w:cs="Arial" w:eastAsia="Arial" w:hAnsi="Arial"/>
        <w:color w:val="00000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t xml:space="preserve">MediCentro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490383172216be18d6c0c957a39a6a6d4855cd3.png"/><Relationship Id="rId10" Type="http://schemas.openxmlformats.org/officeDocument/2006/relationships/image" Target="media/61a8bfb65d32bc8a12e95f6d547808d0585c38fa.png"/><Relationship Id="rId11" Type="http://schemas.openxmlformats.org/officeDocument/2006/relationships/image" Target="media/d749499cdc3993384a68047d9ca5fe8660cc4a8d.png"/><Relationship Id="rId12" Type="http://schemas.openxmlformats.org/officeDocument/2006/relationships/image" Target="media/5fc62cfd229952ea2db0cdd02a0f2af0fc208c03.png"/><Relationship Id="rId13" Type="http://schemas.openxmlformats.org/officeDocument/2006/relationships/image" Target="media/33d0fee5e05e0511f83bbad9cfb440033b20c70c.png"/><Relationship Id="rId14" Type="http://schemas.openxmlformats.org/officeDocument/2006/relationships/image" Target="media/e7b0656c545d1a593afc0958ce755fe5b010049b.png"/><Relationship Id="rId15" Type="http://schemas.openxmlformats.org/officeDocument/2006/relationships/image" Target="media/bccae48178ba40c5f198e2837c9dd3f59365e70e.png"/><Relationship Id="rId16" Type="http://schemas.openxmlformats.org/officeDocument/2006/relationships/image" Target="media/080db3c175f6217b19a6a52d0adc48dcf4715064.png"/><Relationship Id="rId17" Type="http://schemas.openxmlformats.org/officeDocument/2006/relationships/image" Target="media/b27e1de0c9de6d232e7d073126b9994e89b6bd22.png"/><Relationship Id="rId18" Type="http://schemas.openxmlformats.org/officeDocument/2006/relationships/image" Target="media/4c379a85bc477597b2e08a18a4cf3dd177f5a6fa.png"/><Relationship Id="rId19" Type="http://schemas.openxmlformats.org/officeDocument/2006/relationships/image" Target="media/4cdb7fa2040c85ceb424775d00c6e77b3c6f61fb.png"/><Relationship Id="rId20" Type="http://schemas.openxmlformats.org/officeDocument/2006/relationships/image" Target="media/5004db8268e13127cf41ad46faa44fc27eef5103.png"/><Relationship Id="rId21" Type="http://schemas.openxmlformats.org/officeDocument/2006/relationships/image" Target="media/3bc1821be46390cc21cf035bb81793b95ef108a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2026-10-29T05:34:49.831Z</dcterms:created>
  <dcterms:modified xsi:type="dcterms:W3CDTF">2026-10-29T05:34:49.831Z</dcterms:modified>
</cp:coreProperties>
</file>

<file path=docProps/custom.xml><?xml version="1.0" encoding="utf-8"?>
<Properties xmlns="http://schemas.openxmlformats.org/officeDocument/2006/custom-properties" xmlns:vt="http://schemas.openxmlformats.org/officeDocument/2006/docPropsVTypes"/>
</file>