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DECISIÓN MACRO RBAC-D01/D02 — candidata R3</w:t>
      </w:r>
    </w:p>
    <w:p>
      <w:r>
        <w:t xml:space="preserve">MACRO-STEP6A3-RBAC-D01-D02-20261009-R3</w:t>
      </w:r>
    </w:p>
    <w:p>
      <w:r>
        <w:t xml:space="preserve">SHA-256 manifest: 17eeb65269bc2dc9727c605999f1fd0c5c343cab3b6653a372c3d879618daed9</w:t>
      </w:r>
    </w:p>
    <w:p>
      <w:r>
        <w:t xml:space="preserve">Estado: PENDING_EXACT_PO_APPROVAL. R1/R2 aprobados e intactos.</w:t>
      </w:r>
    </w:p>
    <w:p>
      <w:r>
        <w:t xml:space="preserve">Texto exacto:</w:t>
      </w:r>
    </w:p>
    <w:p>
      <w:r>
        <w:t xml:space="preserve">Apruebo exclusivamente la reconciliación contractual RBAC-D01/RBAC-D02 con los lectores y creadores ya publicados en Permission Catalog05. D01: AUDITOR no recibe remediation.action.create; se prepara la retirada de ese único par de la plantilla global y de instancias de ese rol baseline TENANT_OWNED, sin alterar roles custom, MembershipRole, historia, lectura ni los otros cinco roles creadores. D02: se prepara la distribución de compliance.requirement.read exclusivamente a VIEWER, REPORT_VIEWER, EXECUTIVE_BOARD_VIEWER, GRC_MANAGER, QUALITY_MANAGER, COMPLIANCE_MANAGER, CISO_SECURITY_MANAGER, AI_GOVERNANCE_MANAGER, PRIVACY_MANAGER, LEGAL_REVIEWER, REGULATORY_CONTENT_STEWARD. Se mantiene capability ISO_COMPLIANCE, scope tenant, membership activa, licencia/entitlement del Pack, ObjectPolicy, historia/versionado, auditoría e aislamiento; ownership PLATFORM_CONTROL de una plantilla no otorga autoridad de plataforma al tenant. No se añaden permisos, scopes ni roles distintos. Cada adopción/revocación/materialización requiere auditoría transaccional de la presencia real antes y después, fuente/versión/hash/motivo/UTC/correlación y actor competente existente; ninguna migración histórica cambia. Autorizo publicar el delta exacto e implementarlo y probarlo localmente en la base descartable propia tras sus gates. Las mutaciones reales de grants, QA, IAM real, DDL no descartable y despliegue continúan reservadas al plan operacional específico posterior. Esta decisión no publica none, define binding legal, activa SOGv2 ni cierra STEP6A3.</w:t>
      </w:r>
    </w:p>
    <w:p>
      <w:r>
        <w:t xml:space="preserve">SHA-256 bytes UTF-8 del texto: c6fc18ff12880cccd3bf48054e9e7246d952cad33bd58cf036aa06b26542dee2</w:t>
      </w:r>
    </w:p>
    <w:p>
      <w:r>
        <w:t xml:space="preserve">No autoriza operación QA/IAM real/DDL existente/deploy. CFG-D y CT04 necesitan fuentes y binding canónicos, una firma genérica no los aporta.</w:t>
      </w:r>
    </w:p>
    <w:sectPr/>
  </w:body>
</w:document>
</file>