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GRC Tecdex aprobación del transporte IANA v2</w:t>
      </w:r>
    </w:p>
    <w:p>
      <w:pPr>
        <w:pStyle w:val="Subtitle"/>
      </w:pPr>
      <w:r>
        <w:t>STEP 6A3 R6 next   13 de octubre de 2026</w:t>
      </w:r>
    </w:p>
    <w:p>
      <w:r>
        <w:t>Destinatario Product Owner. Preparación técnica Codex. Se presenta una decisión binaria sobre bytes exactos de transporte y retiro de la proyección anterior. D1 a D5, la semántica IANA y la autorización de preparación A ya están aceptadas. Este documento no reabre esas decisiones ni constituye una firma o publicación efectiva.</w:t>
      </w:r>
    </w:p>
    <w:p>
      <w:pPr>
        <w:pStyle w:val="Heading1"/>
      </w:pPr>
      <w:r>
        <w:t>Decisión solicitada</w:t>
      </w:r>
    </w:p>
    <w:p>
      <w:r>
        <w:t>Recomendación técnica A. Publicar una nueva major cumple rector25 sección 1. El retiro propuesto afecta sólo GET /api/v1/auth/me/authorization; requiere aceptar expresamente su incompatibilidad con el cliente anterior y la pareja de consumidores. Otros endpoints v1 se conservan. No se propone coexistencia, redirección ni fallback.</w:t>
      </w:r>
    </w:p>
    <w:p>
      <w:pPr>
        <w:pStyle w:val="Heading2"/>
      </w:pPr>
      <w:r>
        <w:t>Manifiesto del candidato</w:t>
      </w:r>
    </w:p>
    <w:p>
      <w:r>
        <w:t>R6_V2_APPROVAL_MANIFEST.json</w:t>
        <w:br/>
        <w:t>SHA256 88e8a56c0d4939e257cd3ab70c21df96ef0ebee5105ea2990036ca83888a0397</w:t>
      </w:r>
    </w:p>
    <w:p>
      <w:r>
        <w:t>Ubicación canónica de este paquete</w:t>
        <w:br/>
        <w:t>docs/phase6a/STEP_6A3/CONSOLIDATED_APPROVAL_20261009/</w:t>
      </w:r>
    </w:p>
    <w:p>
      <w:pPr>
        <w:pStyle w:val="Heading2"/>
      </w:pPr>
      <w:r>
        <w:t>Opción A</w:t>
      </w:r>
    </w:p>
    <w:p>
      <w:r>
        <w:t>APRUEBO el candidato IANA major v2 identificado por R6_V2_APPROVAL_MANIFEST.json SHA-256 88e8a56c0d4939e257cd3ab70c21df96ef0ebee5105ea2990036ca83888a0397, incluidos sus bytes exactos y el retiro exclusivo de GET /api/v1/auth/me/authorization con 404 sin redirección, fallback ni convivencia. Autorizo su publicación e implementación local tras los gates aplicables y el registro efectivo. Mantengo los demás endpoints v1. Esta aceptación no autoriza QA, IAM real, grants, DDL compartido, deploy, push, PR, merge ni cierre de STEP 6A.3. D1–D5 y el texto IANA ya aprobado se conservan.</w:t>
      </w:r>
    </w:p>
    <w:p>
      <w:r>
        <w:rPr>
          <w:sz w:val="18"/>
        </w:rPr>
        <w:t>SHA256 UTF8 con salto final</w:t>
        <w:br/>
        <w:t>3ce1ce92eeb726ab4c33c50df95dd8a54bb212423fc36abdf48e6e36cebcb542</w:t>
      </w:r>
    </w:p>
    <w:p>
      <w:pPr>
        <w:pStyle w:val="Heading2"/>
      </w:pPr>
      <w:r>
        <w:t>Opción B</w:t>
      </w:r>
    </w:p>
    <w:p>
      <w:r>
        <w:t>MANTENGO sin publicación el candidato IANA major v2 identificado por R6_V2_APPROVAL_MANIFEST.json SHA-256 88e8a56c0d4939e257cd3ab70c21df96ef0ebee5105ea2990036ca83888a0397. No apruebo en esta decisión sus bytes de transporte ni el retiro de GET /api/v1/auth/me/authorization. Se conserva DRAFT_NOT_EFFECTIVE, la autoridad efectiva histórica y las aprobaciones D1–D5; no se activa coexistencia, fallback ni enmienda por inferencia.</w:t>
      </w:r>
    </w:p>
    <w:p>
      <w:r>
        <w:rPr>
          <w:sz w:val="18"/>
        </w:rPr>
        <w:t>SHA256 UTF8 con salto final</w:t>
        <w:br/>
        <w:t>0c610666be061ff80e35fd171bd8ea5a290e867bfaa8e146a70cabb75845c4fd</w:t>
      </w:r>
    </w:p>
    <w:p>
      <w:r>
        <w:br w:type="page"/>
      </w:r>
    </w:p>
    <w:p>
      <w:pPr>
        <w:pStyle w:val="Heading1"/>
      </w:pPr>
      <w:r>
        <w:t>Contrato exacto y pruebas del candidato</w:t>
      </w:r>
    </w:p>
    <w:p>
      <w:r>
        <w:t>GET /api/v2/auth/me/authorization conserva operationId currentPrincipalAuthorizationRead. OpenAPI usa el servidor de operación /api/v2. El DTO tenant seleccionado requiere tenant_id, permissions y default_timezone; sin tenant seleccionado permanece null. Se conservan 400, 401, 403, 404 y 503, no store y Vary. No hay Permission, grants, rol, esquema, migración, auditoría de comandos ni cambio GET EC R1 nuevos.</w:t>
      </w:r>
    </w:p>
    <w:p>
      <w:r>
        <w:t>872 PASS anteriores de producto, 759 unitarias y 113 PostgreSQL, conservan validez por coincidencia de fuentes de producción y 457 hashes de build. Sólo cambió el harness de navegador. Una corrida completa nueva dio 467 PASS y 1 FAIL; después de la corrección dirigida, 20 PASS. La reconciliación por archivo, título y viewport acredita 468 casos únicos, cero fallos u omisiones vigentes. Son pruebas simuladas locales. El selector oculto en viewport estrecho se ejercitó programáticamente para comprobar invalidación; no acredita uso manual móvil. Los intentos fallidos se conservan.</w:t>
      </w:r>
    </w:p>
    <w:p>
      <w:pPr>
        <w:pStyle w:val="Heading2"/>
      </w:pPr>
      <w:r>
        <w:t>Semántica IANA ya aprobada</w:t>
      </w:r>
    </w:p>
    <w:p>
      <w:r>
        <w:t>Apruebo para STEP 6A.3 añadir default_timezone, string obligatorio de longitud 1 a 64 y validado como identificador IANA, a CurrentPrincipalTenantPermissions de CurrentPrincipalAuthorization. Su valor proviene exclusivamente de platform.tenants.default_timezone del tenant seleccionado mediante x-tcdx-tenant-id, leído en la misma transacción read-only repeatable-read que valida la membresía humana propia activa y tenant activo. Sin tenant seleccionado, tenant_permissions permanece null. Se preservan errores y autorización actuales: header inválido 400, autenticación 401, principal no humano o membresía/tenant inactivos 403, contexto ajeno o inexistente 404, dependencia o dato temporal persistido inválido 503. No se concede Tenant.read, no se exponen datos adicionales de empresa o persona y Platform Admin/Support no adquiere acceso tenant sin vínculo autorizado por contrato. El dato es presentación efímera; no es fuente de autorización. Al cambiar tenant o perder contexto se invalida el dato anterior; no se convierte una fecha con zona de navegador, host, locale o default supuesto. Backend y API conservan UTC Z; la UI usa la zona persistida validada. Se rechazan entradas locales inexistentes o ambiguas por DST hasta que el usuario pueda expresar un instante inequívoco conforme al contrato temporal; no se elige un offset automáticamente. No se cambia esquema, grants, auditoría de comandos, metodología ni GET EC R1. Publicación e implementación sólo después del manifiesto de este texto aprobado por el PO y de las pruebas aplicables.</w:t>
      </w:r>
    </w:p>
    <w:p>
      <w:r>
        <w:rPr>
          <w:sz w:val="18"/>
        </w:rPr>
        <w:t>SHA256 del texto UTF8 con salto final</w:t>
        <w:br/>
        <w:t>6205faaafa3cb0cbd4d0cf34cd9c8343ccca64392e638a833e10fa7db8c73375</w:t>
      </w:r>
    </w:p>
    <w:p>
      <w:r>
        <w:br w:type="page"/>
      </w:r>
    </w:p>
    <w:p>
      <w:pPr>
        <w:pStyle w:val="Heading1"/>
      </w:pPr>
      <w:r>
        <w:t>Condiciones operacionales y pendientes materiales</w:t>
      </w:r>
    </w:p>
    <w:p>
      <w:r>
        <w:t>La opción A sólo autorizaría publicación e implementación local tras gates y registro efectivo. QA, IAM real, grants, DDL compartido, despliegue y Git remoto seguirán sin autorización. La ficha QA_GO_NO_GO_IANA_R6_NEXT.md es PREPARED NOT AUTHORIZED NOT EXECUTED y actualmente NO GO. Ventana NOT SCHEDULED. No hay migraciones para este incremento IANA.</w:t>
      </w:r>
    </w:p>
    <w:p>
      <w:r>
        <w:t>La cadencia comercial pedida por el PO queda planificada: cada incremento futuro presenta paquete versionado, gates y recuperación, recibe GO y autorización concreta, se promueve a las VMs existentes y acredita smoke y aceptación humana. Este documento no ejecuta esa cadencia.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5904"/>
        <w:gridCol w:w="2448"/>
      </w:tblGrid>
      <w:tr>
        <w:trPr>
          <w:tblHeader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</w:tcPr>
          <w:p>
            <w:r>
              <w:rPr>
                <w:b/>
                <w:sz w:val="20"/>
              </w:rPr>
              <w:t>Ámbito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</w:tcPr>
          <w:p>
            <w:r>
              <w:rPr>
                <w:b/>
                <w:sz w:val="20"/>
              </w:rPr>
              <w:t>Input o gate material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</w:tcPr>
          <w:p>
            <w:r>
              <w:rPr>
                <w:b/>
                <w:sz w:val="20"/>
              </w:rPr>
              <w:t>Responsable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QA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Identidad DBA y ServicePrincipal, membresías y grants actuales; fuente operacional verificable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DBA IAM PO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Recuperación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Procedimiento vigente, backup y destino de restore aprobados, pareja anterior exacta; PENDING OPERATIONAL INPUT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DBA QARelease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Ventana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NOT SCHEDULED hasta decisión expresa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PO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CFG D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Reglas oficiales faltantes y relación versionada de inputs y modo; v1 y EC opcional conservados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Methodology Architecture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CT04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D2 C mantiene bloqueada aplicación nueva sin binding jurídico; no default legal ni falsa aplicación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Privacy Legal Architecture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RLS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Diseño 24 tablas listo; contexto DB confiable y roles reales pendientes; no activar RLS ni DDL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20"/>
              </w:rPr>
              <w:t>Security Architecture</w:t>
            </w:r>
          </w:p>
        </w:tc>
      </w:tr>
    </w:tbl>
    <w:p>
      <w:r>
        <w:t>Estas condiciones permanecen en sus actos dependientes. La decisión binaria de esta entrega es únicamente la publicación y compatibilidad IANA. STEP 6A3 conserva 48 cláusulas trazadas, 36 cierres locales y 12 pendientes; no iniciar STEP 6A4.</w:t>
      </w:r>
    </w:p>
    <w:p>
      <w:pPr>
        <w:pStyle w:val="Heading2"/>
      </w:pPr>
      <w:r>
        <w:t>Referencias verificables</w:t>
      </w:r>
    </w:p>
    <w:p>
      <w:r>
        <w:rPr>
          <w:sz w:val="18"/>
        </w:rPr>
        <w:t>R6_V2_TRANSPORT_CONTRACT_DRAFT.md</w:t>
        <w:br/>
        <w:t>SHA256 433756c9c128dc3373b53211efdd73d83bdae6ddb39302b4d000e91d853c3b31</w:t>
      </w:r>
    </w:p>
    <w:p>
      <w:r>
        <w:rPr>
          <w:sz w:val="18"/>
        </w:rPr>
        <w:t>R6_NEXT_CONSUMER_COMPATIBILITY_REVIEW.md</w:t>
        <w:br/>
        <w:t>SHA256 89a16b038eb18436a8aad6b69bcd60a72b36e79fda1a403e9a5a1161fc16eb72</w:t>
      </w:r>
    </w:p>
    <w:p>
      <w:r>
        <w:rPr>
          <w:sz w:val="18"/>
        </w:rPr>
        <w:t>QA_GO_NO_GO_IANA_R6_NEXT.md</w:t>
        <w:br/>
        <w:t>SHA256 ad864c1b5bb6895d7772c20fea9a19a8fc5dd92f0cb00a992a3537159d91a7bd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GRC Tecdex aprobación del transporte IANA v2</dc:title>
  <dc:subject/>
  <dc:creator>Codex technical preparation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