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DECISIÓN MACRO RESIDUAL STEP6A.3 R2</w:t>
      </w:r>
    </w:p>
    <w:p>
      <w:r>
        <w:t xml:space="preserve">Estado: PENDING_EXACT_PO_APPROVAL</w:t>
      </w:r>
    </w:p>
    <w:p>
      <w:r>
        <w:t xml:space="preserve">SHA-256 manifiesto: 2dd41de880d445963c5c74917751d58490c63d7364ec1ad2179bbe39c5187ed8</w:t>
      </w:r>
    </w:p>
    <w:p>
      <w:r>
        <w:t xml:space="preserve"/>
      </w:r>
    </w:p>
    <w:p>
      <w:r>
        <w:t xml:space="preserve">Apruebo MACRO-STEP6A3-RESIDUAL-20261009-R2 y los textos literales de DR-CT03-BOUNDED-KEYSET-R2, DR-RBAC44-PUBLICATION-AUDIT-R2 y DR-VOC52-TYPED-PROVENANCE-R2, con los hashes del manifiesto presentado, para publicación local e implementación después de sus gates técnicos. Mantengo CFG-D sin none hasta suficiencia/versionado demostrados, CT04 sin política aplicable hasta binding canónico legal, y todas las exclusiones operacionales de R1. Esta aprobación no suministra actores, fuentes legales ni parámetros que no estén definidos.</w:t>
      </w:r>
    </w:p>
    <w:p>
      <w:r>
        <w:t xml:space="preserve"/>
      </w:r>
    </w:p>
    <w:p>
      <w:r>
        <w:t xml:space="preserve">R1 permanece aprobado e intacto; no se pide aprobarlo nuevamente.</w:t>
      </w:r>
    </w:p>
    <w:p>
      <w:r>
        <w:t xml:space="preserve"/>
      </w:r>
    </w:p>
    <w:p>
      <w:r>
        <w:t xml:space="preserve">ARTEFACTO docs/phase6a/STEP_6A3/CONSOLIDATED_APPROVAL_20261009/RESIDUAL_MACRO_R2/01_MEMBERSHIP_PAGINATION_DELTA.md</w:t>
      </w:r>
    </w:p>
    <w:p>
      <w:r>
        <w:t xml:space="preserve">SHA-256 c9ea86a5a6d319d992679e4c93f725e9dce70e35f359622257c7741e11414f5a</w:t>
      </w:r>
    </w:p>
    <w:p>
      <w:r>
        <w:t xml:space="preserve"># Delta acotado C-03A / paginación CT03 — candidato R2</w:t>
      </w:r>
    </w:p>
    <w:p>
      <w:r>
        <w:t xml:space="preserve"/>
      </w:r>
    </w:p>
    <w:p>
      <w:r>
        <w:t xml:space="preserve">Estado: PROPOSED_NOT_PUBLISHED. No modifica los bytes aprobados de MACRO R1 ni cambia contratos actuales antes de una aprobación exacta.</w:t>
      </w:r>
    </w:p>
    <w:p>
      <w:r>
        <w:t xml:space="preserve"/>
      </w:r>
    </w:p>
    <w:p>
      <w:r>
        <w:t xml:space="preserve">Texto literal adoptable:</w:t>
      </w:r>
    </w:p>
    <w:p>
      <w:r>
        <w:t xml:space="preserve">«Para membershipReferenceList, purpose de selección, sustituyo exclusivamente el orden display_name ASC, joined_at ASC, id ASC por joined_at ASC, tenant_membership_id ASC. display_name permanece como etiqueta empresarial y filtro autorizado, con su tipo text canónico y sin límite inventado. La paginación keyset transporta únicamente joined_at UTC e ID, más contexto temporal/actor/tenant/propósito/parents/filtros autenticado. Se conserva maxLength=2048, size predeterminado25/máximo100 y los checks de vigencia, revocación, scope, entitlement, ObjectPolicy y duplicados. El payload de cursor CT03 cambia a versión2 y autentica el nuevo orden; se rechaza400 un cursor CT03 v1, con reinicio de lista en UI. Los cursores F y R conservan v1 y sus órdenes publicados. No se altera la proyección, los permisos, grants, historia exacta, nombres persistidos ni el modelo físico. El nuevo orden será efectivo sólo desde la publicación UTC registrada tras esta aprobación.»</w:t>
      </w:r>
    </w:p>
    <w:p>
      <w:r>
        <w:t xml:space="preserve"/>
      </w:r>
    </w:p>
    <w:p>
      <w:r>
        <w:t xml:space="preserve">Antes: el cursor completo debe incluir un nombre text sin límite físico. Después: tupla acotada por campos persistidos; los nombres siguen íntegros en DTO. La prueba PostgreSQL de nombre10000 caracteres confirma503 sanitizado en el contrato anterior; no demuestra paginación R2 aún.</w:t>
      </w:r>
    </w:p>
    <w:p>
      <w:r>
        <w:t xml:space="preserve"/>
      </w:r>
    </w:p>
    <w:p>
      <w:r>
        <w:t xml:space="preserve">Fuentes: 27_RBAC_CONTRACT_PUBLICATION_CANDIDATE.md:23,38,42,87; publicación29; físico iam.user_identities.display_name text, iam.tenant_memberships.joined_at. Alternativas rechazadas: truncar nombre/cursor; añadir varchar arbitrario; cache global de cursores; cursor sin firma; cambiar límite2048 silenciosamente.</w:t>
      </w:r>
    </w:p>
    <w:p>
      <w:r>
        <w:t xml:space="preserve"/>
      </w:r>
    </w:p>
    <w:p>
      <w:r>
        <w:t xml:space="preserve">Criterios: dos páginas nativas con nombre10000 caracteres sin pérdida/duplicación; timestamps empatados; size1/100; filtros/actor/tenant cambiados400; v1 CT03 y JWT Bearer400; revocación fresca403; historia máximo1; F/R sin regresión; todos los cursores &lt;=2048. NOT_RUN_R2_UNPUBLISHED. No DDL requerido.</w:t>
      </w:r>
    </w:p>
    <w:p>
      <w:r>
        <w:t xml:space="preserve"/>
      </w:r>
    </w:p>
    <w:p>
      <w:r>
        <w:t xml:space="preserve"/>
      </w:r>
    </w:p>
    <w:p>
      <w:r>
        <w:t xml:space="preserve">ARTEFACTO docs/phase6a/STEP_6A3/CONSOLIDATED_APPROVAL_20261009/RESIDUAL_MACRO_R2/02_RBAC_PUBLICATION_AUDIT_DELTA.md</w:t>
      </w:r>
    </w:p>
    <w:p>
      <w:r>
        <w:t xml:space="preserve">SHA-256 1c381bd283f0619f0ebc4a15e91fa9623b4f018a5e1ec246459eb1bc9c4b3f47</w:t>
      </w:r>
    </w:p>
    <w:p>
      <w:r>
        <w:t xml:space="preserve"># Delta acotado C-07 / auditoría de publicación de RolePermission — candidato R2</w:t>
      </w:r>
    </w:p>
    <w:p>
      <w:r>
        <w:t xml:space="preserve"/>
      </w:r>
    </w:p>
    <w:p>
      <w:r>
        <w:t xml:space="preserve">Estado: PROPOSED_NOT_PUBLISHED. Las44 parejas ya adoptadas por R1 no se vuelven a someter a aprobación. No publica grants sobre BD existentes.</w:t>
      </w:r>
    </w:p>
    <w:p>
      <w:r>
        <w:t xml:space="preserve"/>
      </w:r>
    </w:p>
    <w:p>
      <w:r>
        <w:t xml:space="preserve">Texto literal adoptable:</w:t>
      </w:r>
    </w:p>
    <w:p>
      <w:r>
        <w:t xml:space="preserve">«Publico para la ceremonia interna gobernada de RolePermission el código audit.iam.role_permission.publish.v1, command_code=phase6a3RolePermissionPublication, event_version=1. Se emite un AuditEvent reforzado por cada RolePermission efectivamente adoptado, en la misma transacción que su adopción contractual: aggregate_type=RolePermission, aggregate_id=role_permission_id, ownership_class/tenant_id iguales a la relación. El actor debe ser un ServicePrincipal PLATFORM_CONTROL activo existente, cuya identidad real y autoridad de ejecución se presentan en el plan operacional; no se inventa ni se crea como seed y no se describe como firma humana. La firma humana sigue siendo la del PO registrada en el recibo de aprobación. Before/after registran ID/rol/código de permiso y presencia real previa/final, fuente y SHA del manifiesto44, SHA del recibo, migration_id y checksum, motivo, UTC y correlación. No incluyen identidades de usuarios/membresías, email ni secretos. La operación no concede Platform authority al tenant ni crea MembershipRole. Ausencia de actor válido, auditoría, hash coincidente o par aprobado revierte toda la ceremonia. Mismo ledger/checksum ya adoptado es no-op sin evento duplicado. SEED-010 conserva los44 pares autorizados únicamente para roles baseline TENANT_OWNED y debe registrar su materialización mediante este mismo código; no amplía roles custom/admin ni permisos de comando.»</w:t>
      </w:r>
    </w:p>
    <w:p>
      <w:r>
        <w:t xml:space="preserve"/>
      </w:r>
    </w:p>
    <w:p>
      <w:r>
        <w:t xml:space="preserve">No se añade endpoint, evento outbox, entidad, credencial ni derecho de lectura de auditoría. La retención/clasificación y redacción siguen contrato08. GLOBAL_REFERENCE no se usa para representar autoridad Platform. No se puede reconstruir retrospectivamente un supuesto evento de inserción anterior: adopción de las filas candidatas ya presentes registra before.present=true y un nuevo occurred_at real.</w:t>
      </w:r>
    </w:p>
    <w:p>
      <w:r>
        <w:t xml:space="preserve"/>
      </w:r>
    </w:p>
    <w:p>
      <w:r>
        <w:t xml:space="preserve">Secuencia de ejecución propuesta: mantener intactas migraciones30 históricas y candidatos31/32 ya probados/aplicados sólo en DB descartable; preparar nueva migración33 fuera del manifiesto activo que verifica32/175/permisos y el conjunto exacto44, audita su adopción con actor real y registra el ledger atómicamente por el runner canónico. No habilitar rutas/grants en un runtime existente antes de completar33 y el guard de publicación. Integración SEED-010 y guards requieren el mismo delta aprobado. Ningún usuario recibe grants entre operaciones en QA: no hay despliegue previo y el plan operacional exige ventana/aprobación coordinada.</w:t>
      </w:r>
    </w:p>
    <w:p>
      <w:r>
        <w:t xml:space="preserve"/>
      </w:r>
    </w:p>
    <w:p>
      <w:r>
        <w:t xml:space="preserve">Fuentes: contrato08 (un código debe estar publicado y actor XOR); físico01 AuditEvent/RolePermission/ServicePrincipal; 20C07; 27sección distribución; macro R1 exact44; migrate.ts transacción+ledger. Falta actual:32 materializa44 sin este AuditEvent y08 no contiene el nuevo código. No se usa un código MembershipRole/roleAssign por analogía.</w:t>
      </w:r>
    </w:p>
    <w:p>
      <w:r>
        <w:t xml:space="preserve"/>
      </w:r>
    </w:p>
    <w:p>
      <w:r>
        <w:t xml:space="preserve">Criterios: actor ausente/inactivo/tenant/incorrecto DENY;44 eventos globales y conteo exacto de roles tenant existentes; audit failure rollback de adopción/ledger; mismo checksum no duplicados; checksum distinto DENY; no grant custom/admin; sin MembershipRole; before verdadero y hashes reproducibles; lectura de auditoría conserva tenant. Pruebas R2 NOT_RUN_UNPUBLISHED; fixtures sólo en DB descartable tras aprobación local, nunca identidades QA inventadas.</w:t>
      </w:r>
    </w:p>
    <w:p>
      <w:r>
        <w:t xml:space="preserve"/>
      </w:r>
    </w:p>
    <w:p>
      <w:r>
        <w:t xml:space="preserve"/>
      </w:r>
    </w:p>
    <w:p>
      <w:r>
        <w:t xml:space="preserve">ARTEFACTO docs/phase6a/STEP_6A3/CONSOLIDATED_APPROVAL_20261009/RESIDUAL_MACRO_R2/03_VOCABULARY_PROVENANCE_DELTA.md</w:t>
      </w:r>
    </w:p>
    <w:p>
      <w:r>
        <w:t xml:space="preserve">SHA-256 dbc0318a60ec5e14d1b4bb3282c5f9ec81cdc65b0a37f073492bddd3a6ab6fbb</w:t>
      </w:r>
    </w:p>
    <w:p>
      <w:r>
        <w:t xml:space="preserve"># Delta acotado VOC-C05 / procedencia contractual — candidato R2</w:t>
      </w:r>
    </w:p>
    <w:p>
      <w:r>
        <w:t xml:space="preserve"/>
      </w:r>
    </w:p>
    <w:p>
      <w:r>
        <w:t xml:space="preserve">Estado: PROPOSED_NOT_PUBLISHED. Conserva52 códigos,14 familias y26 ocurrencias exactos de R1, así como lecturas/códigos históricos sin alias.</w:t>
      </w:r>
    </w:p>
    <w:p>
      <w:r>
        <w:t xml:space="preserve"/>
      </w:r>
    </w:p>
    <w:p>
      <w:r>
        <w:t xml:space="preserve">Texto literal adoptable:</w:t>
      </w:r>
    </w:p>
    <w:p>
      <w:r>
        <w:t xml:space="preserve">«Para las escrituras nuevas consumidoras de las26 ocurrencias publicadas por30, adopto el perfil aditivo CONTRACT_VOCABULARY_PROVENANCE_V1 dentro del after_payload tipado del AuditEvent material ya requerido por cada operación; no se crea un segundo audit por escritura ni un nuevo código de operación. El perfil contiene la versión1 del perfil, versión contractual1, SHA-256 de los bytes exactos del manifiesto30 aplicado y lista de ocurrencias con family_id, code, input_path, entity_type, entity_id y entity_version. input_path identifica sólo la ruta estructural gobernada de la ocurrencia; los IDs se obtienen de la persistencia canónica después de insert/update y entity_version de row_version/version_number aplicable. Snapshot, raíz e hijos conservan sus identidades/versiones reales. No se usa un hash variable generado desde el catálogo duplicado de UI. Los campos tienen schema cerrado y la operación falla y revierte si no puede registrar la procedencia exacta con el audit. La referencia a código/versión es histórica: jamás se cambia por la versión actual al leer. Los audits antiguos sin este perfil siguen siendo legibles y se describen como procedencia contractual no registrada; no se les asigna retrospectivamente versión1 ni se backfillean. El DTO histórico de dominio se amplía de forma opcional y autorizada para expresar esa procedencia desde su vínculo real al AuditEvent, conservando permisos/scope del recurso y sin enumeración global de audits. Ausencia es desconocida explícita, no none ni aprobación.»</w:t>
      </w:r>
    </w:p>
    <w:p>
      <w:r>
        <w:t xml:space="preserve"/>
      </w:r>
    </w:p>
    <w:p>
      <w:r>
        <w:t xml:space="preserve">La enmienda formaliza estos campos sobre AuditEvent jsonb ya canónico; no usa JSON ad hoc para almacenar reglas críticas ni crea tablas paralelas. Cada occurrence debe resolver primero el mapping30 → columna física → operación → raíz/hijo/version → AuditEvent. Si un objeto carece de versión demostrable o vínculo de auditoría reproducible, esa escritura permanece bloqueada para rollout del nuevo vocabulario. Esta aprobación no autoriza DDL de un binding inventado.</w:t>
      </w:r>
    </w:p>
    <w:p>
      <w:r>
        <w:t xml:space="preserve"/>
      </w:r>
    </w:p>
    <w:p>
      <w:r>
        <w:t xml:space="preserve">Fuentes: 30_VOC_TECHNICAL_SIGNOFF_AND_COMPATIBILITY.md C-05; contrato08 snapshots+versiones; manifest30/R1; físico01 AuditEvent y versiones de consumidores. Se rechazan aliases upload/uploaded, normalización de NULL, coerción de históricos, defaults implícitos, inventar versión histórica o convertir owner sugerido en grant.</w:t>
      </w:r>
    </w:p>
    <w:p>
      <w:r>
        <w:t xml:space="preserve"/>
      </w:r>
    </w:p>
    <w:p>
      <w:r>
        <w:t xml:space="preserve">Criterios: roundtrip52/14/26 exacto, desconocido/alias/revocado/versión distinta DENY; root y child IDs/versiones reales, rollback ante audit unavailable, replay sin doble audit, inmutabilidad de snapshot, tenant isolation, schema negativo para propiedades extra/código fuera de familia/hash inválido/version incorrecta/PII extra; lectura histórica sin perfil no coercitiva. NOT_RUN_R2_UNPUBLISHED.</w:t>
      </w:r>
    </w:p>
    <w:p>
      <w:r>
        <w:t xml:space="preserve"/>
      </w:r>
    </w:p>
    <w:p>
      <w:r>
        <w:t xml:space="preserve"/>
      </w:r>
    </w:p>
    <w:p>
      <w:r>
        <w:t xml:space="preserve">ARTEFACTO docs/phase6a/STEP_6A3/CONSOLIDATED_APPROVAL_20261009/RESIDUAL_MACRO_R2/04_CFGD_CORRECTED_SUFFICIENCY_REVIEW.md</w:t>
      </w:r>
    </w:p>
    <w:p>
      <w:r>
        <w:t xml:space="preserve">SHA-256 1cfe108bd90e119e2107a2cb4060dcd8673ceb6bd4f1a7e59f90e39bdb5645d1</w:t>
      </w:r>
    </w:p>
    <w:p>
      <w:r>
        <w:t xml:space="preserve"># CFG-D — revisión de suficiencia y corrección de causa del bloqueo</w:t>
      </w:r>
    </w:p>
    <w:p>
      <w:r>
        <w:t xml:space="preserve"/>
      </w:r>
    </w:p>
    <w:p>
      <w:r>
        <w:t xml:space="preserve">Estado: TECHNICAL_REVIEW_NOT_AUTOSUFFICIENCY_APPROVAL. Mantiene íntegros los textos literales CFG-D-COMPLIANCE-V1, CFG-D-CONTROLS-V1 y CFG-D-PUBLICATION del candidato28 incorporado a R1; no los reescribe ni publica none.</w:t>
      </w:r>
    </w:p>
    <w:p>
      <w:r>
        <w:t xml:space="preserve"/>
      </w:r>
    </w:p>
    <w:p>
      <w:r>
        <w:t xml:space="preserve">Compliance, reglas efectivamente rectoras (17§3.1;19§2;38): factores1/0.50/0, peso por defecto1 expresamente publicado; el Pack puede publicar pesos distintos. not_applicable se excluye del denominador; sólo Requirement puntúa, no NormativeUnit; cobertura mínima80%, resultado insuficiente sin score oficial; no ponderación alternativa ni peso inventado. Se corrige cualquier resumen anterior que describiera default1 como ausente/no oficial. El objeto Requirement no almacena weight: overrides del Pack, su autoridad/versionado/entradas aplicables y agregación con lineage aún deben resolverse mediante un vínculo canónico real. No se añade weight=1 hardcodeado al runtime.</w:t>
      </w:r>
    </w:p>
    <w:p>
      <w:r>
        <w:t xml:space="preserve"/>
      </w:r>
    </w:p>
    <w:p>
      <w:r>
        <w:t xml:space="preserve">Controls, reglas efectivamente rectoras (17§3.2–3.4;19§3;38): overall=min(design,operating), baseline coverage80%; weakest dimension limita resultado; no promedio compensatorio; inputs válidos, suficientes, frescos y sin conflicto material; confianza/status no se sustituye por un número o NULL. Existen ObservationType.default_freshness_seconds y MetricDefinition.maximum_freshness_seconds/inputs/thresholds tipados, pero no se ha demostrado un vínculo de cada evaluación baseline v1 con esos inputs y reglas. No se fabrica un período de recencia.</w:t>
      </w:r>
    </w:p>
    <w:p>
      <w:r>
        <w:t xml:space="preserve"/>
      </w:r>
    </w:p>
    <w:p>
      <w:r>
        <w:t xml:space="preserve">Registro Methodology + FormulaDefinition: migration20261007000200 conserva dos v1 publicadas, FKs y fórmulas inmutables, factor0.50/coverage80. Pruebas Phase5-methodology-binding PostgreSQL y phase6a-methodology-boundaries confirman versión, compatibilidad, historia, cero/null/min/coverage. RequirementAssessment.submit es declarativo; ControlAssessment.complete valida aritmética y cobertura, pero no prueba por sí mismo elegibilidad/recencia/lineage de todas las evidencias. No equivalen a un motor de autosuficiencia contractual de esas versiones.</w:t>
      </w:r>
    </w:p>
    <w:p>
      <w:r>
        <w:t xml:space="preserve"/>
      </w:r>
    </w:p>
    <w:p>
      <w:r>
        <w:t xml:space="preserve">Entradas todavía no demostradas: Pack weights y ámbito aplicable versionados, evidencia/source/resolution aprobados y su enlace al cálculo específico, validación/recencia y tratamiento de conflicto, confianza/agregación, asociación inmutable methodology+version+formula+sourceHash+effective interval con una declaración none. El null/optional EC actual permanece compatible; no es none. Sin evidencia de esos vínculos, una firma no sustituye las pruebas.</w:t>
      </w:r>
    </w:p>
    <w:p>
      <w:r>
        <w:t xml:space="preserve"/>
      </w:r>
    </w:p>
    <w:p>
      <w:r>
        <w:t xml:space="preserve">Operación bloqueada: publicar configuration_mode=none o eliminar validación EC por esos nombres. Responsable competente: mismo PO como Methodology/Compliance/Controls/Architecture/Data Model; no se exige una segunda persona interna. Siguiente entrada precisa: indicar fuente rector/Pack/MetricDefinition/version y relaciones existentes que gobiernan esas entradas por cada baseline v1. Si no existe, se necesita delta canónico versionado con criterios exactos, no una autorización genérica. No se introduce cálculo automático, método v2 ni binding artificial en este lote. GET EC R1 permanece PUBLISHED_LOCAL_V1 y regresa PASS.</w:t>
      </w:r>
    </w:p>
    <w:p>
      <w:r>
        <w:t xml:space="preserve"/>
      </w:r>
    </w:p>
    <w:p>
      <w:r>
        <w:t xml:space="preserve"/>
      </w:r>
    </w:p>
    <w:p>
      <w:r>
        <w:t xml:space="preserve">ARTEFACTO docs/phase6a/STEP_6A3/CONSOLIDATED_APPROVAL_20261009/RESIDUAL_MACRO_R2/05_RETENTION_TYPED_BINDING_FINDING.md</w:t>
      </w:r>
    </w:p>
    <w:p>
      <w:r>
        <w:t xml:space="preserve">SHA-256 79c2c1bb11c403bd34e5bcbc5826a3c12ae91c4063a866288d6afcf1c2794326</w:t>
      </w:r>
    </w:p>
    <w:p>
      <w:r>
        <w:t xml:space="preserve"># CT04 / C-04G-B y C-04W — dependencia tipada exacta</w:t>
      </w:r>
    </w:p>
    <w:p>
      <w:r>
        <w:t xml:space="preserve"/>
      </w:r>
    </w:p>
    <w:p>
      <w:r>
        <w:t xml:space="preserve">Estado: BLOCKED_CANONICAL_BINDING_NOT_DEFINED; no es falta de segundo revisor.</w:t>
      </w:r>
    </w:p>
    <w:p>
      <w:r>
        <w:t xml:space="preserve"/>
      </w:r>
    </w:p>
    <w:p>
      <w:r>
        <w:t xml:space="preserve">Hallazgo: RetentionPolicy tiene Source opcional y referencias/reglas de duración/estado/vigencia. PrivacyProcessingActivity posee retention_policy_id y legal_bases normalizadas, pero no existe una relación tipada desde FileUploadIntent/FileObject/Evidence al contexto legal de PrivacyProcessingActivity que demuestre aplicabilidad por objeto, clasificación/jurisdicción/prioridad/hold. Igualdad de policy_id no prueba un contexto legal. Una política global product_baseline o normativa descubierta con Source→ImportManifest→Pack no aplica automáticamente al objeto.</w:t>
      </w:r>
    </w:p>
    <w:p>
      <w:r>
        <w:t xml:space="preserve"/>
      </w:r>
    </w:p>
    <w:p>
      <w:r>
        <w:t xml:space="preserve">El reader CT04 publicado local devuelve422 para candidatos no vinculados en selección,200 vacío para conjunto realmente vacío y referencias históricas exactas no seleccionables. La UI expresa PENDIENTE y no declara cumplimiento. Esto no satisface C-04W: createUploadIntent/createEvidence/finalize actuales conservan checks de existencia/tenant, sin un predicado canónico completo de aplicación legal. La UI nunca sustituye la autoridad backend y no se considera esa brecha cerrada por impedir selección en UI.</w:t>
      </w:r>
    </w:p>
    <w:p>
      <w:r>
        <w:t xml:space="preserve"/>
      </w:r>
    </w:p>
    <w:p>
      <w:r>
        <w:t xml:space="preserve">Operaciones bloqueadas: habilitar nueva selección/aplicación de política, proclamar cierre C-04W o desplegar este slice en QA. Los contratos mantienen retention_policy_id obligatorio en FileUploadIntent/FileObject/Evidence; no se quita la FK para representar PENDIENTE y no se añade un DENY universal que altere flujos ya publicados.</w:t>
      </w:r>
    </w:p>
    <w:p>
      <w:r>
        <w:t xml:space="preserve"/>
      </w:r>
    </w:p>
    <w:p>
      <w:r>
        <w:t xml:space="preserve">Entrada mínima requerida al PO Privacy/Legal + Architecture/Data Model, bajo funciones acumuladas: definir qué entidad/contexto canónico es la autoridad legal para cada FileUploadIntent/FileObject/Evidence y la relación tipada gobernada que debe unirlos; identificar fuente oficial/contrato externo aplicable y criterios de conflicto/prioridad/hold. Opciones para decisión posterior: reutilizar PrivacyProcessingActivity sólo si el vínculo y su semántica se aprueban formalmente, o delta canónico propio; no se adopta ninguna por intuición. No se solicita aprobar parámetros legales inventados ni se consulta QA. Después del texto exacto, preparar delta/migración nueva y guard backend transaccional con tests en DB descartable; aplicación externa requiere plan separado.</w:t>
      </w:r>
    </w:p>
    <w:p>
      <w:r>
        <w:t xml:space="preserve"/>
      </w:r>
    </w:p>
  </w:body>
</w:document>
</file>