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A1B30"/>
          <w:sz w:val="44"/>
        </w:rPr>
        <w:t>From Documents to Continuity: Building a Living Cognition Infrastructure</w:t>
      </w:r>
    </w:p>
    <w:p>
      <w:r>
        <w:rPr>
          <w:color w:val="004CA0"/>
          <w:sz w:val="28"/>
        </w:rPr>
        <w:t>Preserve Meaning. Connect Knowledge. Enable Operational Wisdom.</w:t>
      </w:r>
    </w:p>
    <w:tbl>
      <w:tblPr>
        <w:tblW w:type="auto" w:w="0"/>
        <w:tblLayout w:type="autofit"/>
        <w:tblLook w:firstColumn="1" w:firstRow="1" w:lastColumn="0" w:lastRow="0" w:noHBand="0" w:noVBand="1" w:val="04A0"/>
      </w:tblPr>
      <w:tblGrid>
        <w:gridCol w:w="7913"/>
        <w:gridCol w:w="7913"/>
      </w:tblGrid>
      <w:tr>
        <w:tc>
          <w:tcPr>
            <w:tcW w:type="dxa" w:w="7913"/>
          </w:tcPr>
          <w:p/>
          <w:p>
            <w:r>
              <w:rPr>
                <w:b/>
                <w:color w:val="004CA0"/>
                <w:sz w:val="18"/>
              </w:rPr>
              <w:t>THE SHIFT</w:t>
            </w:r>
          </w:p>
          <w:p>
            <w:pPr>
              <w:spacing w:after="80"/>
            </w:pPr>
            <w:r>
              <w:t>Human institutions were built for a slower world. Processes, documents, meetings, and approvals created confidence by transferring responsibility through structure, format, and ritual. Today, complexity moves faster than symbolic systems can adapt. The answer is a shift from document-centric operations to continuity-centric cognition.</w:t>
            </w:r>
          </w:p>
          <w:p>
            <w:r>
              <w:rPr>
                <w:b/>
                <w:color w:val="004CA0"/>
                <w:sz w:val="18"/>
              </w:rPr>
              <w:t>WHY THIS MATTERS</w:t>
            </w:r>
          </w:p>
          <w:p>
            <w:pPr>
              <w:spacing w:after="80"/>
            </w:pPr>
            <w:r>
              <w:t>Information is abundant. Coherence is not. The bottleneck is continuity, context, meaning, alignment, and survivability. Without persistent operational cognition, organisations rediscover the same ideas, repeat mistakes, lose knowledge, misalign intent and execution, and fail to adapt in time.</w:t>
            </w:r>
          </w:p>
          <w:p>
            <w:r>
              <w:rPr>
                <w:b/>
                <w:color w:val="004CA0"/>
                <w:sz w:val="18"/>
              </w:rPr>
              <w:t>WHAT IS REQUIRED</w:t>
            </w:r>
          </w:p>
          <w:p>
            <w:pPr>
              <w:spacing w:after="80"/>
            </w:pPr>
            <w:r>
              <w:t>A living cognition infrastructure continuously captures, connects, and reasons across the operational landscape. It must be persistent, connected, evidence-linked, runtime-aware, interoperable, machine-readable, and human-trustworthy.</w:t>
            </w:r>
          </w:p>
        </w:tc>
        <w:tc>
          <w:tcPr>
            <w:tcW w:type="dxa" w:w="7913"/>
          </w:tcPr>
          <w:p/>
          <w:p>
            <w:r>
              <w:rPr>
                <w:b/>
                <w:color w:val="004CA0"/>
                <w:sz w:val="18"/>
              </w:rPr>
              <w:t>CORE PRINCIPLES</w:t>
            </w:r>
          </w:p>
          <w:p>
            <w:pPr>
              <w:spacing w:after="80"/>
            </w:pPr>
            <w:r>
              <w:t>1. Continuity over snapshots</w:t>
              <w:br/>
              <w:t>2. Operational truth over procedural confidence</w:t>
              <w:br/>
              <w:t>3. Relationships create value</w:t>
              <w:br/>
              <w:t>4. Unknown future relevance</w:t>
              <w:br/>
              <w:t>5. Human + Machine cognition</w:t>
              <w:br/>
              <w:t>6. Adaptability over rigidity</w:t>
            </w:r>
          </w:p>
          <w:p>
            <w:r>
              <w:rPr>
                <w:b/>
                <w:color w:val="004CA0"/>
                <w:sz w:val="18"/>
              </w:rPr>
              <w:t>MAJOR BENEFITS</w:t>
            </w:r>
          </w:p>
          <w:p>
            <w:pPr>
              <w:spacing w:after="80"/>
            </w:pPr>
            <w:r>
              <w:t>Durable organisational memory; faster learning; better decisions; earlier drift, risk and opportunity detection; resilience through recoverability; scalable collaboration; future-ready infrastructure.</w:t>
            </w:r>
          </w:p>
          <w:p>
            <w:r>
              <w:rPr>
                <w:b/>
                <w:color w:val="004CA0"/>
                <w:sz w:val="18"/>
              </w:rPr>
              <w:t>HOW WE GET THERE</w:t>
            </w:r>
          </w:p>
          <w:p>
            <w:pPr>
              <w:spacing w:after="80"/>
            </w:pPr>
            <w:r>
              <w:t>1. Capture continuously</w:t>
              <w:br/>
              <w:t>2. Structure meaning</w:t>
              <w:br/>
              <w:t>3. Link evidence</w:t>
              <w:br/>
              <w:t>4. Surface intelligence</w:t>
              <w:br/>
              <w:t>5. Evolve relentlessly</w:t>
            </w:r>
          </w:p>
          <w:p>
            <w:r>
              <w:rPr>
                <w:b/>
                <w:color w:val="004CA0"/>
                <w:sz w:val="18"/>
              </w:rPr>
              <w:t>THE PURPOSE</w:t>
            </w:r>
          </w:p>
          <w:p>
            <w:pPr>
              <w:spacing w:after="80"/>
            </w:pPr>
            <w:r>
              <w:t>Not to replace people, process, or documentation, but to make them effective in a world that moves faster than traditional systems can track.</w:t>
            </w:r>
          </w:p>
        </w:tc>
      </w:tr>
    </w:tbl>
    <w:p/>
    <w:p>
      <w:pPr>
        <w:jc w:val="center"/>
      </w:pPr>
      <w:r>
        <w:rPr>
          <w:b/>
          <w:color w:val="004CA0"/>
        </w:rPr>
        <w:t>Reusable visual template / source reference</w:t>
      </w:r>
    </w:p>
    <w:p>
      <w:r>
        <w:drawing>
          <wp:inline xmlns:a="http://schemas.openxmlformats.org/drawingml/2006/main" xmlns:pic="http://schemas.openxmlformats.org/drawingml/2006/picture">
            <wp:extent cx="8778240" cy="13167360"/>
            <wp:docPr id="1" name="Picture 1"/>
            <wp:cNvGraphicFramePr>
              <a:graphicFrameLocks noChangeAspect="1"/>
            </wp:cNvGraphicFramePr>
            <a:graphic>
              <a:graphicData uri="http://schemas.openxmlformats.org/drawingml/2006/picture">
                <pic:pic>
                  <pic:nvPicPr>
                    <pic:cNvPr id="0" name="Living cognition infrastructure for operational success.png"/>
                    <pic:cNvPicPr/>
                  </pic:nvPicPr>
                  <pic:blipFill>
                    <a:blip r:embed="rId9"/>
                    <a:stretch>
                      <a:fillRect/>
                    </a:stretch>
                  </pic:blipFill>
                  <pic:spPr>
                    <a:xfrm>
                      <a:off x="0" y="0"/>
                      <a:ext cx="8778240" cy="13167360"/>
                    </a:xfrm>
                    <a:prstGeom prst="rect"/>
                  </pic:spPr>
                </pic:pic>
              </a:graphicData>
            </a:graphic>
          </wp:inline>
        </w:drawing>
      </w:r>
    </w:p>
    <w:sectPr w:rsidR="00FC693F" w:rsidRPr="0006063C" w:rsidSect="00034616">
      <w:pgSz w:w="16834" w:h="11909"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