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B1B1B"/>
          <w:sz w:val="40"/>
          <w:szCs w:val="40"/>
        </w:rPr>
        <w:t xml:space="preserve">Troy Latter</w:t>
      </w:r>
    </w:p>
    <w:p>
      <w:pPr>
        <w:spacing w:after="20"/>
      </w:pPr>
      <w:r>
        <w:rPr>
          <w:b/>
          <w:bCs/>
          <w:color w:val="0B6EA8"/>
          <w:sz w:val="20"/>
          <w:szCs w:val="20"/>
        </w:rPr>
        <w:t xml:space="preserve">Solutions Engineer | Technical Pre-Sales | Cloud, Data &amp; AI Platform Advisory</w:t>
      </w:r>
    </w:p>
    <w:p>
      <w:pPr>
        <w:spacing w:after="20"/>
      </w:pPr>
      <w:r>
        <w:rPr>
          <w:color w:val="5A5A5A"/>
          <w:sz w:val="18"/>
          <w:szCs w:val="18"/>
        </w:rPr>
        <w:t xml:space="preserve">Sydney NSW  ·  0424 882 136  ·  troy.latter@gmail.com  ·  linkedin.com/in/theinnovater</w:t>
      </w:r>
    </w:p>
    <w:p>
      <w:pPr>
        <w:spacing w:after="200"/>
      </w:pPr>
      <w:r>
        <w:rPr>
          <w:color w:val="5A5A5A"/>
          <w:sz w:val="18"/>
          <w:szCs w:val="18"/>
        </w:rPr>
        <w:t xml:space="preserve">Australian Citizen  ·  AGSVA NV2 Security Clearance — previously held, eligible for reinstatement</w:t>
      </w:r>
    </w:p>
    <w:p>
      <w:pPr>
        <w:pStyle w:val="Heading1"/>
        <w:pBdr>
          <w:bottom w:val="single" w:color="0B6EA8" w:sz="6" w:space="4"/>
        </w:pBdr>
        <w:spacing w:after="100" w:before="260"/>
      </w:pPr>
      <w:r>
        <w:t xml:space="preserve">Executive Profile</w:t>
      </w:r>
    </w:p>
    <w:p>
      <w:pPr>
        <w:spacing w:after="120"/>
      </w:pPr>
      <w:r>
        <w:rPr>
          <w:i w:val="false"/>
          <w:iCs w:val="false"/>
          <w:color w:val="1B1B1B"/>
          <w:sz w:val="20"/>
          <w:szCs w:val="20"/>
        </w:rPr>
        <w:t xml:space="preserve">Technical pre-sales and solutions leader with 20+ years' experience driving the technical win across complex enterprise sales cycles — running discovery sessions, demonstrations, workshops and proof-of-concept engagements that connect customer business challenges to modern data, cloud and AI platforms.</w:t>
      </w:r>
    </w:p>
    <w:p>
      <w:pPr>
        <w:spacing w:after="120"/>
      </w:pPr>
      <w:r>
        <w:rPr>
          <w:i w:val="false"/>
          <w:iCs w:val="false"/>
          <w:color w:val="1B1B1B"/>
          <w:sz w:val="20"/>
          <w:szCs w:val="20"/>
        </w:rPr>
        <w:t xml:space="preserve">Career experience spans AWS, Unisys and Oracle — largely as a forward-deployed technical resource embedded directly in pre-sales and revenue-related engagements, not sitting adjacent to them — complemented by founder-led advisory and product development through Tech 4 Humanity. Delivered 100+ executive briefings, architecture sessions and technical workshops, and advised 50+ CIOs and technology leaders across Australia and ASEAN on cloud modernisation, data architecture and AI/ML adoption.</w:t>
      </w:r>
    </w:p>
    <w:p>
      <w:pPr>
        <w:spacing w:after="120"/>
      </w:pPr>
      <w:r>
        <w:rPr>
          <w:i w:val="false"/>
          <w:iCs w:val="false"/>
          <w:color w:val="1B1B1B"/>
          <w:sz w:val="20"/>
          <w:szCs w:val="20"/>
        </w:rPr>
        <w:t xml:space="preserve">Comfortable operating across the full data stack — data warehouses, data lakes, ETL/ELT, analytics and cloud-native platforms — with hands-on SQL and schema design through Tech 4 Humanity's own Postgres-based data platform. While at AWS and, more recently, Unisys, regularly worked with and around Snowflake for shared enterprise customers — architecting the cloud environment it sits inside and helping build the business case for the platform.</w:t>
      </w:r>
    </w:p>
    <w:p>
      <w:pPr>
        <w:spacing w:after="120"/>
      </w:pPr>
      <w:r>
        <w:rPr>
          <w:i w:val="false"/>
          <w:iCs w:val="false"/>
          <w:color w:val="1B1B1B"/>
          <w:sz w:val="20"/>
          <w:szCs w:val="20"/>
        </w:rPr>
        <w:t xml:space="preserve">Builds trusted relationships with architects, engineers and business stakeholders, translates technical capability into clear business narrative for executive audiences, and stays current on competitive and complementary technology to position solutions effectively.</w:t>
      </w:r>
    </w:p>
    <w:p>
      <w:pPr>
        <w:pStyle w:val="Heading1"/>
        <w:pBdr>
          <w:bottom w:val="single" w:color="0B6EA8" w:sz="6" w:space="4"/>
        </w:pBdr>
        <w:spacing w:after="100" w:before="260"/>
      </w:pPr>
      <w:r>
        <w:t xml:space="preserve">Executive Capabilities</w:t>
      </w:r>
    </w:p>
    <w:p>
      <w:pPr>
        <w:spacing w:after="40" w:before="100"/>
      </w:pPr>
      <w:r>
        <w:rPr>
          <w:b/>
          <w:bCs/>
          <w:color w:val="1B1B1B"/>
          <w:sz w:val="20"/>
          <w:szCs w:val="20"/>
        </w:rPr>
        <w:t xml:space="preserve">Technical Pre-Sales &amp; Solution Design</w:t>
      </w:r>
    </w:p>
    <w:p>
      <w:pPr>
        <w:pStyle w:val="ListParagraph"/>
        <w:numPr>
          <w:ilvl w:val="0"/>
          <w:numId w:val="2"/>
        </w:numPr>
        <w:spacing w:after="60"/>
      </w:pPr>
      <w:r>
        <w:rPr>
          <w:b w:val="false"/>
          <w:bCs w:val="false"/>
          <w:color w:val="1B1B1B"/>
          <w:sz w:val="20"/>
          <w:szCs w:val="20"/>
        </w:rPr>
        <w:t xml:space="preserve">Discovery, demonstrations, workshops and proof-of-concept engagements</w:t>
      </w:r>
    </w:p>
    <w:p>
      <w:pPr>
        <w:pStyle w:val="ListParagraph"/>
        <w:numPr>
          <w:ilvl w:val="0"/>
          <w:numId w:val="2"/>
        </w:numPr>
        <w:spacing w:after="60"/>
      </w:pPr>
      <w:r>
        <w:rPr>
          <w:b w:val="false"/>
          <w:bCs w:val="false"/>
          <w:color w:val="1B1B1B"/>
          <w:sz w:val="20"/>
          <w:szCs w:val="20"/>
        </w:rPr>
        <w:t xml:space="preserve">Translating business challenges into practical solution patterns</w:t>
      </w:r>
    </w:p>
    <w:p>
      <w:pPr>
        <w:pStyle w:val="ListParagraph"/>
        <w:numPr>
          <w:ilvl w:val="0"/>
          <w:numId w:val="2"/>
        </w:numPr>
        <w:spacing w:after="60"/>
      </w:pPr>
      <w:r>
        <w:rPr>
          <w:b w:val="false"/>
          <w:bCs w:val="false"/>
          <w:color w:val="1B1B1B"/>
          <w:sz w:val="20"/>
          <w:szCs w:val="20"/>
        </w:rPr>
        <w:t xml:space="preserve">Technical win ownership across the sales cycle, partnering with Account Executives</w:t>
      </w:r>
    </w:p>
    <w:p>
      <w:pPr>
        <w:pStyle w:val="ListParagraph"/>
        <w:numPr>
          <w:ilvl w:val="0"/>
          <w:numId w:val="2"/>
        </w:numPr>
        <w:spacing w:after="60"/>
      </w:pPr>
      <w:r>
        <w:rPr>
          <w:b w:val="false"/>
          <w:bCs w:val="false"/>
          <w:color w:val="1B1B1B"/>
          <w:sz w:val="20"/>
          <w:szCs w:val="20"/>
        </w:rPr>
        <w:t xml:space="preserve">Competitive and complementary technology positioning</w:t>
      </w:r>
    </w:p>
    <w:p>
      <w:pPr>
        <w:pStyle w:val="ListParagraph"/>
        <w:numPr>
          <w:ilvl w:val="0"/>
          <w:numId w:val="2"/>
        </w:numPr>
        <w:spacing w:after="60"/>
      </w:pPr>
      <w:r>
        <w:rPr>
          <w:b w:val="false"/>
          <w:bCs w:val="false"/>
          <w:color w:val="1B1B1B"/>
          <w:sz w:val="20"/>
          <w:szCs w:val="20"/>
        </w:rPr>
        <w:t xml:space="preserve">Whiteboarding and technical workshop facilitation</w:t>
      </w:r>
    </w:p>
    <w:p>
      <w:pPr>
        <w:spacing w:after="40" w:before="140"/>
      </w:pPr>
      <w:r>
        <w:rPr>
          <w:b/>
          <w:bCs/>
          <w:color w:val="1B1B1B"/>
          <w:sz w:val="20"/>
          <w:szCs w:val="20"/>
        </w:rPr>
        <w:t xml:space="preserve">Data &amp; AI Platform Expertise</w:t>
      </w:r>
    </w:p>
    <w:p>
      <w:pPr>
        <w:pStyle w:val="ListParagraph"/>
        <w:numPr>
          <w:ilvl w:val="0"/>
          <w:numId w:val="2"/>
        </w:numPr>
        <w:spacing w:after="60"/>
      </w:pPr>
      <w:r>
        <w:rPr>
          <w:b w:val="false"/>
          <w:bCs w:val="false"/>
          <w:color w:val="1B1B1B"/>
          <w:sz w:val="20"/>
          <w:szCs w:val="20"/>
        </w:rPr>
        <w:t xml:space="preserve">Data warehouses, data lakes, ETL/ELT and cloud-native analytics</w:t>
      </w:r>
    </w:p>
    <w:p>
      <w:pPr>
        <w:pStyle w:val="ListParagraph"/>
        <w:numPr>
          <w:ilvl w:val="0"/>
          <w:numId w:val="2"/>
        </w:numPr>
        <w:spacing w:after="60"/>
      </w:pPr>
      <w:r>
        <w:rPr>
          <w:b w:val="false"/>
          <w:bCs w:val="false"/>
          <w:color w:val="1B1B1B"/>
          <w:sz w:val="20"/>
          <w:szCs w:val="20"/>
        </w:rPr>
        <w:t xml:space="preserve">Worked with and around Snowflake and Databricks within shared customer environments at AWS and Unisys</w:t>
      </w:r>
    </w:p>
    <w:p>
      <w:pPr>
        <w:pStyle w:val="ListParagraph"/>
        <w:numPr>
          <w:ilvl w:val="0"/>
          <w:numId w:val="2"/>
        </w:numPr>
        <w:spacing w:after="60"/>
      </w:pPr>
      <w:r>
        <w:rPr>
          <w:b w:val="false"/>
          <w:bCs w:val="false"/>
          <w:color w:val="1B1B1B"/>
          <w:sz w:val="20"/>
          <w:szCs w:val="20"/>
        </w:rPr>
        <w:t xml:space="preserve">AI/ML deployment workflows and enterprise integration — founder-operator of an autonomous multi-agent AI runtime (Tech 4 Humanity), genuinely AI-native rather than AI-aware</w:t>
      </w:r>
    </w:p>
    <w:p>
      <w:pPr>
        <w:pStyle w:val="ListParagraph"/>
        <w:numPr>
          <w:ilvl w:val="0"/>
          <w:numId w:val="2"/>
        </w:numPr>
        <w:spacing w:after="60"/>
      </w:pPr>
      <w:r>
        <w:rPr>
          <w:b w:val="false"/>
          <w:bCs w:val="false"/>
          <w:color w:val="1B1B1B"/>
          <w:sz w:val="20"/>
          <w:szCs w:val="20"/>
        </w:rPr>
        <w:t xml:space="preserve">SQL and Postgres — hands-on schema design and data querying</w:t>
      </w:r>
    </w:p>
    <w:p>
      <w:pPr>
        <w:pStyle w:val="ListParagraph"/>
        <w:numPr>
          <w:ilvl w:val="0"/>
          <w:numId w:val="2"/>
        </w:numPr>
        <w:spacing w:after="60"/>
      </w:pPr>
      <w:r>
        <w:rPr>
          <w:b w:val="false"/>
          <w:bCs w:val="false"/>
          <w:color w:val="1B1B1B"/>
          <w:sz w:val="20"/>
          <w:szCs w:val="20"/>
        </w:rPr>
        <w:t xml:space="preserve">Data governance, performance and enterprise architecture</w:t>
      </w:r>
    </w:p>
    <w:p>
      <w:pPr>
        <w:spacing w:after="40" w:before="140"/>
      </w:pPr>
      <w:r>
        <w:rPr>
          <w:b/>
          <w:bCs/>
          <w:color w:val="1B1B1B"/>
          <w:sz w:val="20"/>
          <w:szCs w:val="20"/>
        </w:rPr>
        <w:t xml:space="preserve">Stakeholder Alignment &amp; Executive Advisory</w:t>
      </w:r>
    </w:p>
    <w:p>
      <w:pPr>
        <w:pStyle w:val="ListParagraph"/>
        <w:numPr>
          <w:ilvl w:val="0"/>
          <w:numId w:val="2"/>
        </w:numPr>
        <w:spacing w:after="60"/>
      </w:pPr>
      <w:r>
        <w:rPr>
          <w:b w:val="false"/>
          <w:bCs w:val="false"/>
          <w:color w:val="1B1B1B"/>
          <w:sz w:val="20"/>
          <w:szCs w:val="20"/>
        </w:rPr>
        <w:t xml:space="preserve">C-suite and technical audience presentation</w:t>
      </w:r>
    </w:p>
    <w:p>
      <w:pPr>
        <w:pStyle w:val="ListParagraph"/>
        <w:numPr>
          <w:ilvl w:val="0"/>
          <w:numId w:val="2"/>
        </w:numPr>
        <w:spacing w:after="60"/>
      </w:pPr>
      <w:r>
        <w:rPr>
          <w:b w:val="false"/>
          <w:bCs w:val="false"/>
          <w:color w:val="1B1B1B"/>
          <w:sz w:val="20"/>
          <w:szCs w:val="20"/>
        </w:rPr>
        <w:t xml:space="preserve">Trusted-relationship building with architects, engineers and business stakeholders</w:t>
      </w:r>
    </w:p>
    <w:p>
      <w:pPr>
        <w:pStyle w:val="ListParagraph"/>
        <w:numPr>
          <w:ilvl w:val="0"/>
          <w:numId w:val="2"/>
        </w:numPr>
        <w:spacing w:after="60"/>
      </w:pPr>
      <w:r>
        <w:rPr>
          <w:b w:val="false"/>
          <w:bCs w:val="false"/>
          <w:color w:val="1B1B1B"/>
          <w:sz w:val="20"/>
          <w:szCs w:val="20"/>
        </w:rPr>
        <w:t xml:space="preserve">Cross-functional collaboration with Product, Engineering and Marketing</w:t>
      </w:r>
    </w:p>
    <w:p>
      <w:pPr>
        <w:pStyle w:val="ListParagraph"/>
        <w:numPr>
          <w:ilvl w:val="0"/>
          <w:numId w:val="2"/>
        </w:numPr>
        <w:spacing w:after="60"/>
      </w:pPr>
      <w:r>
        <w:rPr>
          <w:b w:val="false"/>
          <w:bCs w:val="false"/>
          <w:color w:val="1B1B1B"/>
          <w:sz w:val="20"/>
          <w:szCs w:val="20"/>
        </w:rPr>
        <w:t xml:space="preserve">Executive storytelling — translating platform capability into business value</w:t>
      </w:r>
    </w:p>
    <w:p>
      <w:pPr>
        <w:pStyle w:val="ListParagraph"/>
        <w:numPr>
          <w:ilvl w:val="0"/>
          <w:numId w:val="2"/>
        </w:numPr>
        <w:spacing w:after="60"/>
      </w:pPr>
      <w:r>
        <w:rPr>
          <w:b w:val="false"/>
          <w:bCs w:val="false"/>
          <w:color w:val="1B1B1B"/>
          <w:sz w:val="20"/>
          <w:szCs w:val="20"/>
        </w:rPr>
        <w:t xml:space="preserve">Mentoring and capability development for junior consultants, architects, and customer teams — coaching technical stakeholders into champions</w:t>
      </w:r>
    </w:p>
    <w:p>
      <w:pPr>
        <w:spacing w:after="40" w:before="140"/>
      </w:pPr>
      <w:r>
        <w:rPr>
          <w:b/>
          <w:bCs/>
          <w:color w:val="1B1B1B"/>
          <w:sz w:val="20"/>
          <w:szCs w:val="20"/>
        </w:rPr>
        <w:t xml:space="preserve">Cloud &amp; Modernisation</w:t>
      </w:r>
    </w:p>
    <w:p>
      <w:pPr>
        <w:pStyle w:val="ListParagraph"/>
        <w:numPr>
          <w:ilvl w:val="0"/>
          <w:numId w:val="2"/>
        </w:numPr>
        <w:spacing w:after="60"/>
      </w:pPr>
      <w:r>
        <w:rPr>
          <w:b w:val="false"/>
          <w:bCs w:val="false"/>
          <w:color w:val="1B1B1B"/>
          <w:sz w:val="20"/>
          <w:szCs w:val="20"/>
        </w:rPr>
        <w:t xml:space="preserve">AWS, Azure, Google Cloud and Oracle Cloud</w:t>
      </w:r>
    </w:p>
    <w:p>
      <w:pPr>
        <w:pStyle w:val="ListParagraph"/>
        <w:numPr>
          <w:ilvl w:val="0"/>
          <w:numId w:val="2"/>
        </w:numPr>
        <w:spacing w:after="60"/>
      </w:pPr>
      <w:r>
        <w:rPr>
          <w:b w:val="false"/>
          <w:bCs w:val="false"/>
          <w:color w:val="1B1B1B"/>
          <w:sz w:val="20"/>
          <w:szCs w:val="20"/>
        </w:rPr>
        <w:t xml:space="preserve">Hybrid and multi-cloud architecture</w:t>
      </w:r>
    </w:p>
    <w:p>
      <w:pPr>
        <w:pStyle w:val="ListParagraph"/>
        <w:numPr>
          <w:ilvl w:val="0"/>
          <w:numId w:val="2"/>
        </w:numPr>
        <w:spacing w:after="60"/>
      </w:pPr>
      <w:r>
        <w:rPr>
          <w:b w:val="false"/>
          <w:bCs w:val="false"/>
          <w:color w:val="1B1B1B"/>
          <w:sz w:val="20"/>
          <w:szCs w:val="20"/>
        </w:rPr>
        <w:t xml:space="preserve">Edge computing and serverless platforms</w:t>
      </w:r>
    </w:p>
    <w:p>
      <w:pPr>
        <w:pStyle w:val="ListParagraph"/>
        <w:numPr>
          <w:ilvl w:val="0"/>
          <w:numId w:val="2"/>
        </w:numPr>
        <w:spacing w:after="60"/>
      </w:pPr>
      <w:r>
        <w:rPr>
          <w:b w:val="false"/>
          <w:bCs w:val="false"/>
          <w:color w:val="1B1B1B"/>
          <w:sz w:val="20"/>
          <w:szCs w:val="20"/>
        </w:rPr>
        <w:t xml:space="preserve">API integration and legacy modernisation</w:t>
      </w:r>
    </w:p>
    <w:p>
      <w:pPr>
        <w:spacing w:after="40" w:before="140"/>
      </w:pPr>
      <w:r>
        <w:rPr>
          <w:b/>
          <w:bCs/>
          <w:color w:val="1B1B1B"/>
          <w:sz w:val="20"/>
          <w:szCs w:val="20"/>
        </w:rPr>
        <w:t xml:space="preserve">Commercial &amp; Transformation Leadership</w:t>
      </w:r>
    </w:p>
    <w:p>
      <w:pPr>
        <w:pStyle w:val="ListParagraph"/>
        <w:numPr>
          <w:ilvl w:val="0"/>
          <w:numId w:val="2"/>
        </w:numPr>
        <w:spacing w:after="60"/>
      </w:pPr>
      <w:r>
        <w:rPr>
          <w:b w:val="false"/>
          <w:bCs w:val="false"/>
          <w:color w:val="1B1B1B"/>
          <w:sz w:val="20"/>
          <w:szCs w:val="20"/>
        </w:rPr>
        <w:t xml:space="preserve">Deal progression and long-term account growth</w:t>
      </w:r>
    </w:p>
    <w:p>
      <w:pPr>
        <w:pStyle w:val="ListParagraph"/>
        <w:numPr>
          <w:ilvl w:val="0"/>
          <w:numId w:val="2"/>
        </w:numPr>
        <w:spacing w:after="60"/>
      </w:pPr>
      <w:r>
        <w:rPr>
          <w:b w:val="false"/>
          <w:bCs w:val="false"/>
          <w:color w:val="1B1B1B"/>
          <w:sz w:val="20"/>
          <w:szCs w:val="20"/>
        </w:rPr>
        <w:t xml:space="preserve">Partner ecosystem and co-sell strategy — AWS, Microsoft, Google, NVIDIA, Oracle, and shared work alongside Snowflake</w:t>
      </w:r>
    </w:p>
    <w:p>
      <w:pPr>
        <w:pStyle w:val="ListParagraph"/>
        <w:numPr>
          <w:ilvl w:val="0"/>
          <w:numId w:val="2"/>
        </w:numPr>
        <w:spacing w:after="60"/>
      </w:pPr>
      <w:r>
        <w:rPr>
          <w:b w:val="false"/>
          <w:bCs w:val="false"/>
          <w:color w:val="1B1B1B"/>
          <w:sz w:val="20"/>
          <w:szCs w:val="20"/>
        </w:rPr>
        <w:t xml:space="preserve">$3B+ transformation exposure  ·  $350M+ growth influence  ·  $60M+ pipeline generation</w:t>
      </w:r>
    </w:p>
    <w:p>
      <w:pPr>
        <w:pStyle w:val="Heading1"/>
        <w:pBdr>
          <w:bottom w:val="single" w:color="0B6EA8" w:sz="6" w:space="4"/>
        </w:pBdr>
        <w:spacing w:after="100" w:before="260"/>
      </w:pPr>
      <w:r>
        <w:t xml:space="preserve">Selected Career Impact</w:t>
      </w:r>
    </w:p>
    <w:p>
      <w:pPr>
        <w:pStyle w:val="ListParagraph"/>
        <w:numPr>
          <w:ilvl w:val="0"/>
          <w:numId w:val="2"/>
        </w:numPr>
        <w:spacing w:after="60"/>
      </w:pPr>
      <w:r>
        <w:rPr>
          <w:b/>
          <w:bCs/>
          <w:color w:val="1B1B1B"/>
          <w:sz w:val="20"/>
          <w:szCs w:val="20"/>
        </w:rPr>
        <w:t xml:space="preserve">50+ C-suite advisories across APAC, including CIO and CTO engagements.</w:t>
      </w:r>
    </w:p>
    <w:p>
      <w:pPr>
        <w:pStyle w:val="ListParagraph"/>
        <w:numPr>
          <w:ilvl w:val="0"/>
          <w:numId w:val="2"/>
        </w:numPr>
        <w:spacing w:after="60"/>
      </w:pPr>
      <w:r>
        <w:rPr>
          <w:b w:val="false"/>
          <w:bCs w:val="false"/>
          <w:color w:val="1B1B1B"/>
          <w:sz w:val="20"/>
          <w:szCs w:val="20"/>
        </w:rPr>
        <w:t xml:space="preserve">100+ executive briefings, architecture sessions and technical workshops delivered.</w:t>
      </w:r>
    </w:p>
    <w:p>
      <w:pPr>
        <w:pStyle w:val="ListParagraph"/>
        <w:numPr>
          <w:ilvl w:val="0"/>
          <w:numId w:val="2"/>
        </w:numPr>
        <w:spacing w:after="60"/>
      </w:pPr>
      <w:r>
        <w:rPr>
          <w:b w:val="false"/>
          <w:bCs w:val="false"/>
          <w:color w:val="1B1B1B"/>
          <w:sz w:val="20"/>
          <w:szCs w:val="20"/>
        </w:rPr>
        <w:t xml:space="preserve">$3B+ transformation exposure across federal, defence and major enterprise environments.</w:t>
      </w:r>
    </w:p>
    <w:p>
      <w:pPr>
        <w:pStyle w:val="ListParagraph"/>
        <w:numPr>
          <w:ilvl w:val="0"/>
          <w:numId w:val="2"/>
        </w:numPr>
        <w:spacing w:after="60"/>
      </w:pPr>
      <w:r>
        <w:rPr>
          <w:b w:val="false"/>
          <w:bCs w:val="false"/>
          <w:color w:val="1B1B1B"/>
          <w:sz w:val="20"/>
          <w:szCs w:val="20"/>
        </w:rPr>
        <w:t xml:space="preserve">$250M Defence SC2S program — transformation and business-value leadership.</w:t>
      </w:r>
    </w:p>
    <w:p>
      <w:pPr>
        <w:pStyle w:val="ListParagraph"/>
        <w:numPr>
          <w:ilvl w:val="0"/>
          <w:numId w:val="2"/>
        </w:numPr>
        <w:spacing w:after="60"/>
      </w:pPr>
      <w:r>
        <w:rPr>
          <w:b w:val="false"/>
          <w:bCs w:val="false"/>
          <w:color w:val="1B1B1B"/>
          <w:sz w:val="20"/>
          <w:szCs w:val="20"/>
        </w:rPr>
        <w:t xml:space="preserve">65-country transformation — operating-model change affecting 15,000+ staff and 1M+ customers.</w:t>
      </w:r>
    </w:p>
    <w:p>
      <w:pPr>
        <w:pStyle w:val="ListParagraph"/>
        <w:numPr>
          <w:ilvl w:val="0"/>
          <w:numId w:val="2"/>
        </w:numPr>
        <w:spacing w:after="60"/>
      </w:pPr>
      <w:r>
        <w:rPr>
          <w:b w:val="false"/>
          <w:bCs w:val="false"/>
          <w:color w:val="1B1B1B"/>
          <w:sz w:val="20"/>
          <w:szCs w:val="20"/>
        </w:rPr>
        <w:t xml:space="preserve">$60M+ APAC pipeline and ~30–40% faster quoting cycles through reusable technical patterns.</w:t>
      </w:r>
    </w:p>
    <w:p>
      <w:pPr>
        <w:pStyle w:val="Heading1"/>
        <w:pBdr>
          <w:bottom w:val="single" w:color="0B6EA8" w:sz="6" w:space="4"/>
        </w:pBdr>
        <w:spacing w:after="100" w:before="260"/>
      </w:pPr>
      <w:r>
        <w:t xml:space="preserve">Professional Experience</w:t>
      </w:r>
    </w:p>
    <w:p>
      <w:pPr>
        <w:spacing w:after="20" w:before="160"/>
      </w:pPr>
      <w:r>
        <w:rPr>
          <w:b/>
          <w:bCs/>
          <w:color w:val="1B1B1B"/>
          <w:sz w:val="21"/>
          <w:szCs w:val="21"/>
        </w:rPr>
        <w:t xml:space="preserve">Founder &amp; Principal — Tech 4 Humanity</w:t>
      </w:r>
      <w:r>
        <w:rPr>
          <w:color w:val="5A5A5A"/>
          <w:sz w:val="18"/>
          <w:szCs w:val="18"/>
        </w:rPr>
        <w:t xml:space="preserve">   Sydney  |  2025–Present</w:t>
      </w:r>
    </w:p>
    <w:p>
      <w:pPr>
        <w:spacing w:after="120"/>
      </w:pPr>
      <w:r>
        <w:rPr>
          <w:i/>
          <w:iCs/>
          <w:color w:val="1B1B1B"/>
          <w:sz w:val="20"/>
          <w:szCs w:val="20"/>
        </w:rPr>
        <w:t xml:space="preserve">Independent AI advisory, research and product-development practice.</w:t>
      </w:r>
    </w:p>
    <w:p>
      <w:pPr>
        <w:pStyle w:val="ListParagraph"/>
        <w:numPr>
          <w:ilvl w:val="0"/>
          <w:numId w:val="2"/>
        </w:numPr>
        <w:spacing w:after="60"/>
      </w:pPr>
      <w:r>
        <w:rPr>
          <w:b w:val="false"/>
          <w:bCs w:val="false"/>
          <w:color w:val="1B1B1B"/>
          <w:sz w:val="20"/>
          <w:szCs w:val="20"/>
        </w:rPr>
        <w:t xml:space="preserve">Advisory, product research and architecture initiatives across enterprise AI, agentic systems and AI operating models.</w:t>
      </w:r>
    </w:p>
    <w:p>
      <w:pPr>
        <w:pStyle w:val="ListParagraph"/>
        <w:numPr>
          <w:ilvl w:val="0"/>
          <w:numId w:val="2"/>
        </w:numPr>
        <w:spacing w:after="60"/>
      </w:pPr>
      <w:r>
        <w:rPr>
          <w:b w:val="false"/>
          <w:bCs w:val="false"/>
          <w:color w:val="1B1B1B"/>
          <w:sz w:val="20"/>
          <w:szCs w:val="20"/>
        </w:rPr>
        <w:t xml:space="preserve">Reusable AI operating models and governance frameworks for regulated environments.</w:t>
      </w:r>
    </w:p>
    <w:p>
      <w:pPr>
        <w:pStyle w:val="ListParagraph"/>
        <w:numPr>
          <w:ilvl w:val="0"/>
          <w:numId w:val="2"/>
        </w:numPr>
        <w:spacing w:after="60"/>
      </w:pPr>
      <w:r>
        <w:rPr>
          <w:b w:val="false"/>
          <w:bCs w:val="false"/>
          <w:color w:val="1B1B1B"/>
          <w:sz w:val="20"/>
          <w:szCs w:val="20"/>
        </w:rPr>
        <w:t xml:space="preserve">Hands-on Postgres data platform — schema design, SQL, infrastructure operations.</w:t>
      </w:r>
    </w:p>
    <w:p>
      <w:pPr>
        <w:spacing w:after="20" w:before="160"/>
      </w:pPr>
      <w:r>
        <w:rPr>
          <w:b/>
          <w:bCs/>
          <w:color w:val="1B1B1B"/>
          <w:sz w:val="21"/>
          <w:szCs w:val="21"/>
        </w:rPr>
        <w:t xml:space="preserve">APAC CTO, Alliances &amp; Strategic Foresight — Unisys</w:t>
      </w:r>
      <w:r>
        <w:rPr>
          <w:color w:val="5A5A5A"/>
          <w:sz w:val="18"/>
          <w:szCs w:val="18"/>
        </w:rPr>
        <w:t xml:space="preserve">   Sydney / APAC  |  Jan 2024–Jul 2025</w:t>
      </w:r>
    </w:p>
    <w:p>
      <w:pPr>
        <w:spacing w:after="120"/>
      </w:pPr>
      <w:r>
        <w:rPr>
          <w:i/>
          <w:iCs/>
          <w:color w:val="1B1B1B"/>
          <w:sz w:val="20"/>
          <w:szCs w:val="20"/>
        </w:rPr>
        <w:t xml:space="preserve">Client-facing technology strategy and AI-enabled service transformation across banking, retail, government and critical infrastructure.</w:t>
      </w:r>
    </w:p>
    <w:p>
      <w:pPr>
        <w:pStyle w:val="ListParagraph"/>
        <w:numPr>
          <w:ilvl w:val="0"/>
          <w:numId w:val="2"/>
        </w:numPr>
        <w:spacing w:after="60"/>
      </w:pPr>
      <w:r>
        <w:rPr>
          <w:b w:val="false"/>
          <w:bCs w:val="false"/>
          <w:color w:val="1B1B1B"/>
          <w:sz w:val="20"/>
          <w:szCs w:val="20"/>
        </w:rPr>
        <w:t xml:space="preserve">Ran technical discovery, solution design and demonstration engagements — including work involving BlueScope and Officeworks.</w:t>
      </w:r>
    </w:p>
    <w:p>
      <w:pPr>
        <w:pStyle w:val="ListParagraph"/>
        <w:numPr>
          <w:ilvl w:val="0"/>
          <w:numId w:val="2"/>
        </w:numPr>
        <w:spacing w:after="60"/>
      </w:pPr>
      <w:r>
        <w:rPr>
          <w:b w:val="false"/>
          <w:bCs w:val="false"/>
          <w:color w:val="1B1B1B"/>
          <w:sz w:val="20"/>
          <w:szCs w:val="20"/>
        </w:rPr>
        <w:t xml:space="preserve">Worked with and around Snowflake for shared customers across the account base — positioning it within the broader cloud and data architecture alongside AWS, Microsoft, Google and NVIDIA.</w:t>
      </w:r>
    </w:p>
    <w:p>
      <w:pPr>
        <w:pStyle w:val="ListParagraph"/>
        <w:numPr>
          <w:ilvl w:val="0"/>
          <w:numId w:val="2"/>
        </w:numPr>
        <w:spacing w:after="60"/>
      </w:pPr>
      <w:r>
        <w:rPr>
          <w:b w:val="false"/>
          <w:bCs w:val="false"/>
          <w:color w:val="1B1B1B"/>
          <w:sz w:val="20"/>
          <w:szCs w:val="20"/>
        </w:rPr>
        <w:t xml:space="preserve">Built trusted relationships with architects, engineers and executives through briefings and technical playbooks.</w:t>
      </w:r>
    </w:p>
    <w:p>
      <w:pPr>
        <w:pStyle w:val="ListParagraph"/>
        <w:numPr>
          <w:ilvl w:val="0"/>
          <w:numId w:val="2"/>
        </w:numPr>
        <w:spacing w:after="60"/>
      </w:pPr>
      <w:r>
        <w:rPr>
          <w:b w:val="false"/>
          <w:bCs w:val="false"/>
          <w:color w:val="1B1B1B"/>
          <w:sz w:val="20"/>
          <w:szCs w:val="20"/>
        </w:rPr>
        <w:t xml:space="preserve">Contributed to $60M+ APAC pipeline growth; reduced internal quoting cycles ~30–40%.</w:t>
      </w:r>
    </w:p>
    <w:p>
      <w:pPr>
        <w:pStyle w:val="ListParagraph"/>
        <w:numPr>
          <w:ilvl w:val="0"/>
          <w:numId w:val="2"/>
        </w:numPr>
        <w:spacing w:after="60"/>
      </w:pPr>
      <w:r>
        <w:rPr>
          <w:b w:val="false"/>
          <w:bCs w:val="false"/>
          <w:color w:val="1B1B1B"/>
          <w:sz w:val="20"/>
          <w:szCs w:val="20"/>
        </w:rPr>
        <w:t xml:space="preserve">Mentored junior architects and consultants within the account team.</w:t>
      </w:r>
    </w:p>
    <w:p>
      <w:pPr>
        <w:spacing w:after="20" w:before="160"/>
      </w:pPr>
      <w:r>
        <w:rPr>
          <w:b/>
          <w:bCs/>
          <w:color w:val="1B1B1B"/>
          <w:sz w:val="21"/>
          <w:szCs w:val="21"/>
        </w:rPr>
        <w:t xml:space="preserve">Principal Solutions Architect — AWS</w:t>
      </w:r>
      <w:r>
        <w:rPr>
          <w:color w:val="5A5A5A"/>
          <w:sz w:val="18"/>
          <w:szCs w:val="18"/>
        </w:rPr>
        <w:t xml:space="preserve">   Sydney / APAC  |  Dec 2019–May 2023</w:t>
      </w:r>
    </w:p>
    <w:p>
      <w:pPr>
        <w:spacing w:after="120"/>
      </w:pPr>
      <w:r>
        <w:rPr>
          <w:i/>
          <w:iCs/>
          <w:color w:val="1B1B1B"/>
          <w:sz w:val="20"/>
          <w:szCs w:val="20"/>
        </w:rPr>
        <w:t xml:space="preserve">Cloud, data, infrastructure and digital transformation advisory at national and regional scale.</w:t>
      </w:r>
    </w:p>
    <w:p>
      <w:pPr>
        <w:pStyle w:val="ListParagraph"/>
        <w:numPr>
          <w:ilvl w:val="0"/>
          <w:numId w:val="2"/>
        </w:numPr>
        <w:spacing w:after="60"/>
      </w:pPr>
      <w:r>
        <w:rPr>
          <w:b w:val="false"/>
          <w:bCs w:val="false"/>
          <w:color w:val="1B1B1B"/>
          <w:sz w:val="20"/>
          <w:szCs w:val="20"/>
        </w:rPr>
        <w:t xml:space="preserve">Advised 50+ CIOs and CTOs through architecture reviews, executive workshops and transformation roadmaps.</w:t>
      </w:r>
    </w:p>
    <w:p>
      <w:pPr>
        <w:pStyle w:val="ListParagraph"/>
        <w:numPr>
          <w:ilvl w:val="0"/>
          <w:numId w:val="2"/>
        </w:numPr>
        <w:spacing w:after="60"/>
      </w:pPr>
      <w:r>
        <w:rPr>
          <w:b w:val="false"/>
          <w:bCs w:val="false"/>
          <w:color w:val="1B1B1B"/>
          <w:sz w:val="20"/>
          <w:szCs w:val="20"/>
        </w:rPr>
        <w:t xml:space="preserve">Delivered 100+ executive briefings, architecture sessions and technical workshops.</w:t>
      </w:r>
    </w:p>
    <w:p>
      <w:pPr>
        <w:pStyle w:val="ListParagraph"/>
        <w:numPr>
          <w:ilvl w:val="0"/>
          <w:numId w:val="2"/>
        </w:numPr>
        <w:spacing w:after="60"/>
      </w:pPr>
      <w:r>
        <w:rPr>
          <w:b w:val="false"/>
          <w:bCs w:val="false"/>
          <w:color w:val="1B1B1B"/>
          <w:sz w:val="20"/>
          <w:szCs w:val="20"/>
        </w:rPr>
        <w:t xml:space="preserve">Regularly worked with and around Snowflake for shared enterprise customers running their data layer on the platform — architecting the surrounding AWS environment and supporting the technical case for it.</w:t>
      </w:r>
    </w:p>
    <w:p>
      <w:pPr>
        <w:pStyle w:val="ListParagraph"/>
        <w:numPr>
          <w:ilvl w:val="0"/>
          <w:numId w:val="2"/>
        </w:numPr>
        <w:spacing w:after="60"/>
      </w:pPr>
      <w:r>
        <w:rPr>
          <w:b w:val="false"/>
          <w:bCs w:val="false"/>
          <w:color w:val="1B1B1B"/>
          <w:sz w:val="20"/>
          <w:szCs w:val="20"/>
        </w:rPr>
        <w:t xml:space="preserve">Supported disaster-recovery architecture across 10 ASEAN government environments (~50% faster recovery).</w:t>
      </w:r>
    </w:p>
    <w:p>
      <w:pPr>
        <w:pStyle w:val="ListParagraph"/>
        <w:numPr>
          <w:ilvl w:val="0"/>
          <w:numId w:val="2"/>
        </w:numPr>
        <w:spacing w:after="60"/>
      </w:pPr>
      <w:r>
        <w:rPr>
          <w:b w:val="false"/>
          <w:bCs w:val="false"/>
          <w:color w:val="1B1B1B"/>
          <w:sz w:val="20"/>
          <w:szCs w:val="20"/>
        </w:rPr>
        <w:t xml:space="preserve">Mentored junior solutions architects through customer-facing architecture reviews.</w:t>
      </w:r>
    </w:p>
    <w:p>
      <w:pPr>
        <w:spacing w:after="20" w:before="160"/>
      </w:pPr>
      <w:r>
        <w:rPr>
          <w:b/>
          <w:bCs/>
          <w:color w:val="1B1B1B"/>
          <w:sz w:val="21"/>
          <w:szCs w:val="21"/>
        </w:rPr>
        <w:t xml:space="preserve">Executive Partner — Gartner</w:t>
      </w:r>
      <w:r>
        <w:rPr>
          <w:color w:val="5A5A5A"/>
          <w:sz w:val="18"/>
          <w:szCs w:val="18"/>
        </w:rPr>
        <w:t xml:space="preserve">   Sydney  |  2019</w:t>
      </w:r>
    </w:p>
    <w:p>
      <w:pPr>
        <w:pStyle w:val="ListParagraph"/>
        <w:numPr>
          <w:ilvl w:val="0"/>
          <w:numId w:val="2"/>
        </w:numPr>
        <w:spacing w:after="60"/>
      </w:pPr>
      <w:r>
        <w:rPr>
          <w:b w:val="false"/>
          <w:bCs w:val="false"/>
          <w:color w:val="1B1B1B"/>
          <w:sz w:val="20"/>
          <w:szCs w:val="20"/>
        </w:rPr>
        <w:t xml:space="preserve">Advised C-level executives on technology strategy, operating-model evolution and investment prioritisation.</w:t>
      </w:r>
    </w:p>
    <w:p>
      <w:pPr>
        <w:spacing w:after="20" w:before="160"/>
      </w:pPr>
      <w:r>
        <w:rPr>
          <w:b/>
          <w:bCs/>
          <w:color w:val="1B1B1B"/>
          <w:sz w:val="21"/>
          <w:szCs w:val="21"/>
        </w:rPr>
        <w:t xml:space="preserve">Innovation Adviser / Cloud Architect — Oracle</w:t>
      </w:r>
      <w:r>
        <w:rPr>
          <w:color w:val="5A5A5A"/>
          <w:sz w:val="18"/>
          <w:szCs w:val="18"/>
        </w:rPr>
        <w:t xml:space="preserve">   Canberra / APAC  |  Jun 2017–Sep 2019</w:t>
      </w:r>
    </w:p>
    <w:p>
      <w:pPr>
        <w:pStyle w:val="ListParagraph"/>
        <w:numPr>
          <w:ilvl w:val="0"/>
          <w:numId w:val="2"/>
        </w:numPr>
        <w:spacing w:after="60"/>
      </w:pPr>
      <w:r>
        <w:rPr>
          <w:b w:val="false"/>
          <w:bCs w:val="false"/>
          <w:color w:val="1B1B1B"/>
          <w:sz w:val="20"/>
          <w:szCs w:val="20"/>
        </w:rPr>
        <w:t xml:space="preserve">Supported Home Affairs visa transformation across 200+ secure systems and 15 agencies.</w:t>
      </w:r>
    </w:p>
    <w:p>
      <w:pPr>
        <w:pStyle w:val="ListParagraph"/>
        <w:numPr>
          <w:ilvl w:val="0"/>
          <w:numId w:val="2"/>
        </w:numPr>
        <w:spacing w:after="60"/>
      </w:pPr>
      <w:r>
        <w:rPr>
          <w:b w:val="false"/>
          <w:bCs w:val="false"/>
          <w:color w:val="1B1B1B"/>
          <w:sz w:val="20"/>
          <w:szCs w:val="20"/>
        </w:rPr>
        <w:t xml:space="preserve">Re-architected infrastructure for a 150-site national healthcare network.</w:t>
      </w:r>
    </w:p>
    <w:p>
      <w:pPr>
        <w:pStyle w:val="ListParagraph"/>
        <w:numPr>
          <w:ilvl w:val="0"/>
          <w:numId w:val="2"/>
        </w:numPr>
        <w:spacing w:after="60"/>
      </w:pPr>
      <w:r>
        <w:rPr>
          <w:b w:val="false"/>
          <w:bCs w:val="false"/>
          <w:color w:val="1B1B1B"/>
          <w:sz w:val="20"/>
          <w:szCs w:val="20"/>
        </w:rPr>
        <w:t xml:space="preserve">Mentored junior architects and advisers across regional engagements.</w:t>
      </w:r>
    </w:p>
    <w:p>
      <w:pPr>
        <w:spacing w:after="20" w:before="160"/>
      </w:pPr>
      <w:r>
        <w:rPr>
          <w:b/>
          <w:bCs/>
          <w:color w:val="1B1B1B"/>
          <w:sz w:val="21"/>
          <w:szCs w:val="21"/>
        </w:rPr>
        <w:t xml:space="preserve">Business Value Consultant — HPE / DXC</w:t>
      </w:r>
      <w:r>
        <w:rPr>
          <w:color w:val="5A5A5A"/>
          <w:sz w:val="18"/>
          <w:szCs w:val="18"/>
        </w:rPr>
        <w:t xml:space="preserve">   Canberra  |  Jan 2016–May 2017</w:t>
      </w:r>
    </w:p>
    <w:p>
      <w:pPr>
        <w:pStyle w:val="ListParagraph"/>
        <w:numPr>
          <w:ilvl w:val="0"/>
          <w:numId w:val="2"/>
        </w:numPr>
        <w:spacing w:after="60"/>
      </w:pPr>
      <w:r>
        <w:rPr>
          <w:b w:val="false"/>
          <w:bCs w:val="false"/>
          <w:color w:val="1B1B1B"/>
          <w:sz w:val="20"/>
          <w:szCs w:val="20"/>
        </w:rPr>
        <w:t xml:space="preserve">Directed transformation and business-value frameworks for Defence's $250M SC2S program.</w:t>
      </w:r>
    </w:p>
    <w:p>
      <w:pPr>
        <w:spacing w:after="20" w:before="160"/>
      </w:pPr>
      <w:r>
        <w:rPr>
          <w:b/>
          <w:bCs/>
          <w:color w:val="1B1B1B"/>
          <w:sz w:val="21"/>
          <w:szCs w:val="21"/>
        </w:rPr>
        <w:t xml:space="preserve">Senior Consultant — SMS Management &amp; Technology</w:t>
      </w:r>
      <w:r>
        <w:rPr>
          <w:color w:val="5A5A5A"/>
          <w:sz w:val="18"/>
          <w:szCs w:val="18"/>
        </w:rPr>
        <w:t xml:space="preserve">   Canberra  |  Jul 2013–Dec 2015</w:t>
      </w:r>
    </w:p>
    <w:p>
      <w:pPr>
        <w:pStyle w:val="ListParagraph"/>
        <w:numPr>
          <w:ilvl w:val="0"/>
          <w:numId w:val="2"/>
        </w:numPr>
        <w:spacing w:after="60"/>
      </w:pPr>
      <w:r>
        <w:rPr>
          <w:b w:val="false"/>
          <w:bCs w:val="false"/>
          <w:color w:val="1B1B1B"/>
          <w:sz w:val="20"/>
          <w:szCs w:val="20"/>
        </w:rPr>
        <w:t xml:space="preserve">Business analysis, PMO and change activities across major federal transformation programs (DHS Digital Identity/myGov and others).</w:t>
      </w:r>
    </w:p>
    <w:p>
      <w:pPr>
        <w:spacing w:after="20" w:before="160"/>
      </w:pPr>
      <w:r>
        <w:rPr>
          <w:b/>
          <w:bCs/>
          <w:color w:val="1B1B1B"/>
          <w:sz w:val="21"/>
          <w:szCs w:val="21"/>
        </w:rPr>
        <w:t xml:space="preserve">Senior Organisational Change Manager — Department of Immigration / Canberra Consulting</w:t>
      </w:r>
      <w:r>
        <w:rPr>
          <w:color w:val="5A5A5A"/>
          <w:sz w:val="18"/>
          <w:szCs w:val="18"/>
        </w:rPr>
        <w:t xml:space="preserve">   Canberra / Global  |  Sep 2010–Jun 2013</w:t>
      </w:r>
    </w:p>
    <w:p>
      <w:pPr>
        <w:pStyle w:val="ListParagraph"/>
        <w:numPr>
          <w:ilvl w:val="0"/>
          <w:numId w:val="2"/>
        </w:numPr>
        <w:spacing w:after="60"/>
      </w:pPr>
      <w:r>
        <w:rPr>
          <w:b w:val="false"/>
          <w:bCs w:val="false"/>
          <w:color w:val="1B1B1B"/>
          <w:sz w:val="20"/>
          <w:szCs w:val="20"/>
        </w:rPr>
        <w:t xml:space="preserve">Led operating-model change for a 65-country visa-simplification transformation affecting 15,000+ staff and 1M+ customers.</w:t>
      </w:r>
    </w:p>
    <w:p>
      <w:pPr>
        <w:spacing w:after="20" w:before="160"/>
      </w:pPr>
      <w:r>
        <w:rPr>
          <w:b/>
          <w:bCs/>
          <w:color w:val="1B1B1B"/>
          <w:sz w:val="21"/>
          <w:szCs w:val="21"/>
        </w:rPr>
        <w:t xml:space="preserve">National Program Manager, Sales &amp; Partnerships — Defence Housing Australia</w:t>
      </w:r>
      <w:r>
        <w:rPr>
          <w:color w:val="5A5A5A"/>
          <w:sz w:val="18"/>
          <w:szCs w:val="18"/>
        </w:rPr>
        <w:t xml:space="preserve">   </w:t>
      </w:r>
    </w:p>
    <w:p>
      <w:pPr>
        <w:pStyle w:val="ListParagraph"/>
        <w:numPr>
          <w:ilvl w:val="0"/>
          <w:numId w:val="2"/>
        </w:numPr>
        <w:spacing w:after="60"/>
      </w:pPr>
      <w:r>
        <w:rPr>
          <w:b w:val="false"/>
          <w:bCs w:val="false"/>
          <w:color w:val="1B1B1B"/>
          <w:sz w:val="20"/>
          <w:szCs w:val="20"/>
        </w:rPr>
        <w:t xml:space="preserve">Managed national sales, partner ecosystems and organisational change within a ~$300M annual program.</w:t>
      </w:r>
    </w:p>
    <w:p>
      <w:pPr>
        <w:pStyle w:val="ListParagraph"/>
        <w:numPr>
          <w:ilvl w:val="0"/>
          <w:numId w:val="2"/>
        </w:numPr>
        <w:spacing w:after="60"/>
      </w:pPr>
      <w:r>
        <w:rPr>
          <w:b w:val="false"/>
          <w:bCs w:val="false"/>
          <w:color w:val="1B1B1B"/>
          <w:sz w:val="20"/>
          <w:szCs w:val="20"/>
        </w:rPr>
        <w:t xml:space="preserve">Led a full-time direct-report team — an early people-leadership foundation.</w:t>
      </w:r>
    </w:p>
    <w:p>
      <w:pPr>
        <w:pStyle w:val="Heading1"/>
        <w:pBdr>
          <w:bottom w:val="single" w:color="0B6EA8" w:sz="6" w:space="4"/>
        </w:pBdr>
        <w:spacing w:after="100" w:before="260"/>
      </w:pPr>
      <w:r>
        <w:t xml:space="preserve">Education &amp; Credentials</w:t>
      </w:r>
    </w:p>
    <w:p>
      <w:pPr>
        <w:pStyle w:val="ListParagraph"/>
        <w:numPr>
          <w:ilvl w:val="0"/>
          <w:numId w:val="2"/>
        </w:numPr>
        <w:spacing w:after="60"/>
      </w:pPr>
      <w:r>
        <w:rPr>
          <w:b w:val="false"/>
          <w:bCs w:val="false"/>
          <w:color w:val="1B1B1B"/>
          <w:sz w:val="20"/>
          <w:szCs w:val="20"/>
        </w:rPr>
        <w:t xml:space="preserve">Master of Commerce (Marketing) — University of New South Wales</w:t>
      </w:r>
    </w:p>
    <w:p>
      <w:pPr>
        <w:pStyle w:val="ListParagraph"/>
        <w:numPr>
          <w:ilvl w:val="0"/>
          <w:numId w:val="2"/>
        </w:numPr>
        <w:spacing w:after="60"/>
      </w:pPr>
      <w:r>
        <w:rPr>
          <w:b w:val="false"/>
          <w:bCs w:val="false"/>
          <w:color w:val="1B1B1B"/>
          <w:sz w:val="20"/>
          <w:szCs w:val="20"/>
        </w:rPr>
        <w:t xml:space="preserve">Bachelor of Economics (Law &amp; Industrial Relations) — University of Wollongong</w:t>
      </w:r>
    </w:p>
    <w:p>
      <w:pPr>
        <w:pStyle w:val="ListParagraph"/>
        <w:numPr>
          <w:ilvl w:val="0"/>
          <w:numId w:val="2"/>
        </w:numPr>
        <w:spacing w:after="60"/>
      </w:pPr>
      <w:r>
        <w:rPr>
          <w:b w:val="false"/>
          <w:bCs w:val="false"/>
          <w:color w:val="1B1B1B"/>
          <w:sz w:val="20"/>
          <w:szCs w:val="20"/>
        </w:rPr>
        <w:t xml:space="preserve">AWS Solutions Architect – Professional  ·  PRINCE2 Practitioner  ·  Prosci ADKAR  ·  ITIL  ·  TOGAF / IT4IT</w:t>
      </w:r>
    </w:p>
    <w:p>
      <w:pPr>
        <w:pStyle w:val="ListParagraph"/>
        <w:numPr>
          <w:ilvl w:val="0"/>
          <w:numId w:val="2"/>
        </w:numPr>
        <w:spacing w:after="60"/>
      </w:pPr>
      <w:r>
        <w:rPr>
          <w:b w:val="false"/>
          <w:bCs w:val="false"/>
          <w:color w:val="1B1B1B"/>
          <w:sz w:val="20"/>
          <w:szCs w:val="20"/>
        </w:rPr>
        <w:t xml:space="preserve">Azure, Google Cloud and Oracle Cloud credentials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40"/>
    </w:pPr>
    <w:rPr>
      <w:rFonts w:ascii="Calibri" w:cs="Calibri" w:eastAsia="Calibri" w:hAnsi="Calibri"/>
      <w:b/>
      <w:bCs/>
      <w:color w:val="0B6E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2026-08-24T02:24:59.514Z</dcterms:created>
  <dcterms:modified xsi:type="dcterms:W3CDTF">2026-08-24T02:24:59.528Z</dcterms:modified>
</cp:coreProperties>
</file>

<file path=docProps/custom.xml><?xml version="1.0" encoding="utf-8"?>
<Properties xmlns="http://schemas.openxmlformats.org/officeDocument/2006/custom-properties" xmlns:vt="http://schemas.openxmlformats.org/officeDocument/2006/docPropsVTypes"/>
</file>