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Архитектурный аудит и стратегия оптимизации актуарного пайплайна для скоринга и ценообразования ОГПО</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Разработка модели скоринга убыточности страховых полисов обязательного страхования гражданско-правовой ответственности владельцев транспортных средств (ОГПО) представляет собой фундаментальную задачу актуарного моделирования, требующую баланса между статистической точностью и жесткими бизнес-ограничениями.</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Настоящий документ представляет собой глубокий критический анализ текущего состояния проекта в рамках кейс-чемпионата KBTU Risk Management Case Competition (кейс Freedom Insurance), а также исчерпывающий план модернизации методологии, архитектуры данных, системы метрик и алгоритмов оптимизации ценообразования. Анализ базируется на передовых практиках машинного обучения в страховании, методологиях эластичности спроса и методах математического программирования.</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Критическая оценка текущей архитектуры и методологии</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Текущий прогресс проекта демонстрирует высокую степень технологической зрелости команды и глубокое понимание процессов разработки пайплайнов машинного обучения. Переход от первичного анализа к полностью интегрированному End-to-End (E2E) пайплайну, включающему модули приема данных, валидации, агрегации на уровне полиса, генерации признаков и бенчмаркинга моделей, является прочным фундаментом для дальнейшего развития.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Выбор алгоритма CatBoost в качестве основной модели предсказания является стратегически оправданным решением. Способность CatBoost эффективно обрабатывать гетерогенные данные, включая высококардинальные категориальные признаки, делает его оптимальным инструментом для задач автострахования, где профиль водителя и автомобиля описывается множеством разнородных характеристик.</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Достигнутые метрики, такие как значение policy_score на уровне 0.4878 и коэффициент Джини 0.4424, свидетельствуют о наличии сильного предиктивного сигнала в обученной модели.</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Особого внимания заслуживает внедрение механизма настройки гиперпараметров с учетом стабильности (stability-adjusted tuning) через фреймворк Optuna. Использование целевой функции, которая максимизирует среднее значение метрики качества при одновременном штрафовании за высокое стандартное отклонение на различных временных сплитах, минимизирует риск переобучения и гарантирует временную устойчивость модели.</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 страховом бизнесе, подверженном макроэкономическим шокам, сезонным колебаниям и изменениям в регуляторной среде, временная стабильность модели зачастую имеет больший приоритет, чем маргинальный прирост точности на отложенной выборке. Успешное прохождение двадцати девяти интеграционных и модульных тестов также подтверждает высокое качество программного кода и надежность архитектуры программного обеспечения.</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Несмотря на очевидные успехи, детальный аудит выявляет ряд структурных, методологических и концептуальных ограничений, препятствующих полной реализации бизнес-потенциала модели и достижению идеального баланса убыточности. Основная проблема заключается в смешении этапов статистического прогнозирования риска и бизнес-оптимизации тарифа. Текущая архитектура оценивает успешность модели через композитную метрику policy_score, которая одновременно включает дистанцию до целевого уровня убыточности, штрафы за нарушение ограничений по группам и бонусы за попадание в целевое окно.</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Интеграция бизнес-правил непосредственно в цикл настройки гиперпараметров алгоритма машинного обучения приводит к крайне невыпуклому пространству оптимизации. Алгоритм Optuna вынужден искать компромисс между точностью предсказания вероятности дорожно-транспортного происшествия и сложными нелинейными штрафами за изменение цены (например, запретом на увеличение премии более чем в три раза или снижение более чем на сто процентов).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Это неизбежно приводит к субоптимальным результатам, так как модель начинает искажать вероятности ради минимизации искусственно введенных бизнес-штрафов.</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Кроме того, использование классического подхода Frequency-Severity (частота-тяжесть) в сочетании с агрегацией данных путем простого усреднения или игнорирования внутриполисных связей ведет к потере критически важной информации об экстремальных рисках. Ограничения также наблюдаются в области валидации: текущий пайплайн в значительной степени опирается на стандартные метрики классификации и регрессии (AUC, Gini, RMSE, MAE)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которые не отражают экономическую ценность пересмотра тарифов и не позволяют оценить эффект кросс-субсидирования между аккуратными и рискованными водителями, что является ключевой целью кейса.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преодоления выявленных ограничений необходима глубокая реструктуризация проекта. Рекомендуется строго разделить пайплайн на два независимых, но последовательно связанных слоя: слой статистического моделирования чистой премии (Predictive Risk Modeling Layer) и детерминированный слой ценовой оптимизации (Pricing Optimization Layer), использующий методы исследования операций.</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Парадигма оценки риска: эволюция от Frequency-Severity к гибридным архитектурам</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Текущая методология проекта базируется на подходе Frequency-Severity, который исторически доминирует в актуарной науке.</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Данный подход предполагает декомпозицию чистой премии на два независимых процесса: частоту наступления страховых случаев (моделируемую обычно распределением Пуассона или отрицательным биномиальным распределением) и среднюю тяжесть одного убытка (моделируемую Гамма-распределением или логнормальным распределением).</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Ожидаемый убыток по полису вычисляется как произведение математических ожиданий этих двух моделей.</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Фундаментальной слабостью классической декомпозиции является жесткое математическое допущение о статистической независимости частоты и тяжести убытков.</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В контексте автострахования это допущение регулярно нарушается. Эмпирические исследования и анализ телематических данных показывают, что агрессивный стиль вождения, частые превышения скорости и резкие маневры не только увеличивают вероятность наступления аварии (частоту), но и прямо коррелируют с тяжестью последствий (объемом причиненного ущерба).</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Игнорирование этой зависимости приводит к систематической недооценке риска в сегменте водителей с высокой частотой выплат, что противоречит цели кейса по справедливому ценообразованию.</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таблице ниже представлен сравнительный анализ парадигм моделирования, применимых к данному кейсу: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Методология моделирования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Математическое обоснование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Преимущества для кейса ОГПО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Критические ограничения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Classical Frequency-Severity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Декомпозиция чистой премии на независимые модели Пуассона и Гамма-распределения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Простота интерпретации, традиционный актуарный стандарт, легкость получения градиентов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Игнорирование зависимости частоты и тяжести, высокая дисперсия модели тяжести из-за малого числа событий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Gradient Tree-Boosted Tweedie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Моделирование составного распределения Пуассона-Гаммы с единой функцией связи (log-link)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Прямое предсказание ожидаемого убытка, естественная обработка точечной массы в нуле, учет зависимости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Требует тщательной настройки параметра дисперсии (variance power), может недооценивать вероятность нулей при сильном дисбалансе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Zero-Inflated Poisson Boosted Trees (ZIPB)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Смесь бинарного распределения (структурные нули) и распределения Пуассона/Твиди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Идеально отражает природу аккуратных водителей (вероятность убытка стремится к нулю) и дисбаланс классов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Высокая вычислительная сложность, необходимость кастомных функций потерь в CatBoost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Combined Actuarial Neural Networks (CANN)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Использование GLM или бустинга как базовой линии с корректировкой через глубокие нейросети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Извлечение нелинейных латентных признаков из высококардинальных категорий (КАТО, марка, модель авто)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Снижение интерпретируемости (black-box), высокие требования к объему оперативной памяти и времени обучения</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Внедрение распределения Твиди (Tweedie Regression)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устранения проблемы независимости компонентов риска рекомендуется полностью отказаться от независимого прогнозирования частоты и тяжести в пользу единой модели прогнозирования ожидаемой чистой премии (Expected Pure Premium). Наиболее эффективным математическим аппаратом для этой задачи является регрессия Твиди (Tweedie distribution) в сочетании с алгоритмами градиентного бустинга.</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Распределение Твиди представляет собой экспоненциальное дисперсионное семейство, которое при значении параметра дисперсии (variance power) </w:t>
      </w:r>
      <w:r w:rsidDel="00000000" w:rsidR="00000000" w:rsidRPr="00000000">
        <w:rPr>
          <w:rFonts w:ascii="Google Sans" w:cs="Google Sans" w:eastAsia="Google Sans" w:hAnsi="Google Sans"/>
          <w:color w:val="1f1f1f"/>
        </w:rPr>
        <w:drawing>
          <wp:inline distB="19050" distT="19050" distL="19050" distR="19050">
            <wp:extent cx="728543" cy="237735"/>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28543" cy="237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эквивалентно составному распределению Пуассона-Гаммы (Compound Poisson-Gamma distribution).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отличие от стандартной среднеквадратичной ошибки, которая абсолютно не применима к сильно скошенным страховым данным с огромной массой нулей, логарифмическая функция правдоподобия Твиди позволяет алгоритму CatBoost одновременно оптимизировать предсказание вероятности нулевого исхода и размера убытка в случае его возникновения.</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Это критически важно для кейса Freedom Insurance, где подавляющее большинство полисов не приносят выплат, но редкие страховые случаи обладают огромной стоимостью.</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Внедрение Tweedie loss function в CatBoost требует лишь корректировки параметра loss_function и гиперпараметрического поиска оптимального значения variance_power (обычно в интервале от 1.3 до 1.7 в зависимости от профиля тяжести портфеля).</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Моделирование нулевой инфляции (Zero-Inflated Boosted Trees)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Несмотря на гибкость распределения Твиди, сверхвысокий дисбаланс классов в данных автострахования может требовать более радикальных архитектурных решений. Проблема заключается в феномене "избыточных нулей" (excess zeros), когда количество полисов без выплат существенно превышает ожидаемое значение даже для обобщенных распределений.</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Актуарная интерпретация этого феномена сводится к наличию двух принципиально разных типов водителей, не заявляющих убытки:</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Структурные нули (Structural Zeros):</w:t>
      </w:r>
      <w:r w:rsidDel="00000000" w:rsidR="00000000" w:rsidRPr="00000000">
        <w:rPr>
          <w:rFonts w:ascii="Google Sans" w:cs="Google Sans" w:eastAsia="Google Sans" w:hAnsi="Google Sans"/>
          <w:color w:val="1f1f1f"/>
          <w:rtl w:val="0"/>
        </w:rPr>
        <w:t xml:space="preserve"> Это абсолютно безопасные водители, чей стиль вождения, опыт и условия эксплуатации транспортного средства делают вероятность ДТП пренебрежимо малой. Для них нулевой убыток является детерминированным следствием их профиля.</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Случайные нули (Sampling Zeros):</w:t>
      </w:r>
      <w:r w:rsidDel="00000000" w:rsidR="00000000" w:rsidRPr="00000000">
        <w:rPr>
          <w:rFonts w:ascii="Google Sans" w:cs="Google Sans" w:eastAsia="Google Sans" w:hAnsi="Google Sans"/>
          <w:color w:val="1f1f1f"/>
          <w:rtl w:val="0"/>
        </w:rPr>
        <w:t xml:space="preserve"> Это агрессивные или неопытные водители, риск ДТП для которых высок, но по случайному стечению обстоятельств они не попали в аварию в течение срока действия конкретного годового полиса.</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Традиционные модели смешивают эти два класса, что приводит к завышению тарифов для идеальных водителей и занижению для рискованных. Инновационным решением является применение архитектуры Zero-Inflated Poisson Boosted Trees (ZIPB).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 рамках этой парадигмы разрабатываются два варианта моделей. Вариант ZIPB1 предполагает функциональную зависимость между вероятностью быть "структурным нулем" и ожидаемым средним значением убытка, используя единый скор для обоих параметров. Более продвинутый вариант ZIPB2, который настоятельно рекомендуется для внедрения в текущий пайплайн, предполагает независимое предсказание параметров.</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В архитектуре ZIPB2 алгоритм градиентного бустинга генерирует два независимых предсказания для каждого полиса: </w:t>
      </w:r>
      <w:r w:rsidDel="00000000" w:rsidR="00000000" w:rsidRPr="00000000">
        <w:rPr>
          <w:rFonts w:ascii="Google Sans" w:cs="Google Sans" w:eastAsia="Google Sans" w:hAnsi="Google Sans"/>
          <w:color w:val="1f1f1f"/>
        </w:rPr>
        <w:drawing>
          <wp:inline distB="19050" distT="19050" distL="19050" distR="19050">
            <wp:extent cx="663654" cy="244103"/>
            <wp:effectExtent b="0" l="0" r="0" t="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63654" cy="244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определяющий вероятность принадлежности к безопасному классу, и </w:t>
      </w:r>
      <w:r w:rsidDel="00000000" w:rsidR="00000000" w:rsidRPr="00000000">
        <w:rPr>
          <w:rFonts w:ascii="Google Sans" w:cs="Google Sans" w:eastAsia="Google Sans" w:hAnsi="Google Sans"/>
          <w:color w:val="1f1f1f"/>
        </w:rPr>
        <w:drawing>
          <wp:inline distB="19050" distT="19050" distL="19050" distR="19050">
            <wp:extent cx="530066" cy="234744"/>
            <wp:effectExtent b="0" l="0" r="0" t="0"/>
            <wp:docPr id="11"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30066" cy="234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оценивающий интенсивность убытков для тех, кто подвержен риску.</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Интеграция ZIPB2 в пайплайн позволит максимально точно выделить Группу 1 (полисы, где стоимость должна быть сохранена или снижена), поощряя аккуратных водителей, как того требует бизнес-задача.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Гибридные нейросетевые архитектуры (Combined Actuarial Neural Networks)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Набор данных кейса характеризуется наличием 133 признаков, многие из которых имеют сложную структурную природу, включая коды регионов, названия моделей автомобилей, коды КАТО (Классификатор административно-территориальных объектов) и множество анонимизированных SCORE предикторов.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Хотя градиентный бустинг превосходно справляется с табличными данными, он ограничен в возможностях извлечения глубоких семантических связей из категориальных переменных с тысячами уникальных уровней.</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максимизации предсказательной способности рекомендуется внедрить архитектуру Combined Actuarial Neural Networks (CANN).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Концепция CANN заключается в использовании классического актуарного алгоритма (например, CatBoost с распределением Твиди) в качестве базовой модели (base learner), поверх которой обучается глубокая нейронная сеть прямого распространения (Feed-Forward Neural Network). Главное преимущество такого симбиоза — возможность использования слоев эмбеддингов (Embedding layers) для обработки высококардинальных категориальных признаков.</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Нейронная сеть проецирует каждый населенный пункт или марку автомобиля в плотное многомерное векторное пространство, выявляя скрытые закономерности (например, сходство профилей аварийности между различными модификациями одной марки автомобиля), и генерирует нелинейную корректировку к базовому предсказанию бустинга.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Это позволит значительно улучшить сегментацию полисов и точность индивидуальной оценки риска.</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данных: инженерия признаков для многосубъектных полисов</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Специфика автострахования заключается в сложной иерархической структуре данных: один страховой полис (contract_number) может покрывать несколько транспортных средств, к управлению которыми допущено несколько водителей.</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 этом целевые финансовые переменные — общая премия (premium), премия за вычетом расторжений (premium_wo_term) и итоговая сумма выплат (claim_amount) — фиксируются исключительно на уровне полиса в целом.</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Текущее решение команды по агрегации обучающей выборки на уровень contract_number является математически корректным и единственно верным способом избежать дублирования суммы выплат при расчете общего коэффициента убыточности портфеля.</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Однако дьявол кроется в деталях процесса агрегации. Если в полис вписан отец (50 лет, 30 лет безаварийного стажа, максимальный бонус-малус) и сын (18 лет, стаж 0 лет, базовый класс риска), простое усреднение их возраста и стажа создаст синтетический профиль 34-летнего водителя с 15-летним стажем.</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Модель будет оценивать этот полис как "средне-безопасный". В реальности же риск наступления страхового события определяется наиболее неопытным и склонным к риску участником дорожного движения — в данном случае, молодым водителем.</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Потеря информации об экстремальных значениях при усреднении является критической ошибкой инженерии признаков.</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таблице ниже представлена рекомендуемая архитектура агрегации признаков для трансформации датасета от уровня водителей к уровню полисов:</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Категория признаков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Исходный признак на уровне водителя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Стратегия агрегации на уровень полиса (contract_number)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Актуарное обоснование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Демография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Возраст (age), Пол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min_age, max_age, mean_age, age_variance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Минимальный возраст выявляет молодых водителей, дисперсия указывает на кросс-генерационные полисы (семьи)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Опыт вождения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Стаж в годах (experience_year)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min_experience, max_experience, has_novice_driver (стаж &lt; 3 лет)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Наименее опытный водитель формирует верхнюю границу риска аварийности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Страховая история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Класс Бонус-Малус (bonus_malus)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max_malus_class, min_malus_class, avg_malus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Наличие хотя бы одного водителя с плохой историей (высокий класс малуса) экспоненциально увеличивает ожидаемый убыток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Транспортное средство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Возраст ТС (car_age), Объем двигателя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min_car_age, max_engine_power, vehicle_count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Старые автомобили чаще не имеют систем активной безопасности; мощные авто провоцируют агрессивную езду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Структура полиса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Идентификаторы водителей и авто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driver_count, vehicles_per_driver_ratio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Эффект масштаба: больше водителей означает более интенсивную эксплуатацию; соотношение авто/водители указывает на тип использования</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Особое внимание следует уделить матрице анонимизированных признаков SCORE_X_Y, состоящей из десятков колонок.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 современной актуарной практике подобные блоки данных обычно представляют собой результаты интеграции с внешними источниками: кредитным бюро, скорингом телематики (Usage-Based Insurance), историей штрафов из баз данных дорожной полиции или анализом графов связей.</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Текущий статус проекта отмечает проблему разреженности (sparsity) в блоках SCORE_11 и SCORE_12.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страховании отсутствие данных зачастую является не менее мощным предиктором, чем их наличие. Если у водителя отсутствует кредитная история или нет записей в базе страховых историй, это само по себе свидетельствует о повышенном риске (возможно, это новый участник рынка или лицо, скрывающее свою предыдущую историю). Поэтому использование бинарных индикаторов пропусков (is_missing_SCORE_11) является обязательным этапом препроцессинга.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борьбы с "проклятием размерности" и мультиколлинеарностью внутри скоринговых блоков рекомендуется отказаться от прямой подачи всех сырых скоров в алгоритм градиентного бустинга. Применение методов снижения размерности, таких как метод главных компонент (PCA) или обучение вариационных автокодировщиков (Variational Autoencoders), позволит сжать десятки коррелированных переменных в компактное пространство латентных факторов риска.</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Это не только ускорит процесс инференса модели, но и защитит пайплайн от переобучения на шумовых зависимостях в редких группах водителей. Кроме того, глубокий анализ важности признаков (Feature Importance Analysis) через значения Шепли (SHAP values) поможет интерпретировать сложную нелинейную природу взаимодействия этих скоров с классическими характеристиками (возраст, стаж, марка авто).</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Продвинутая актуарная валидация: за пределами стандартных метрик ML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Анализ архитектуры выявил, что качество моделей в пайплайне оценивается стандартным набором метрик из области машинного обучения: Gini, ROC-AUC, F1-score для классификационных аспектов (факт выплаты) и </w:t>
      </w:r>
      <w:r w:rsidDel="00000000" w:rsidR="00000000" w:rsidRPr="00000000">
        <w:rPr>
          <w:rFonts w:ascii="Google Sans" w:cs="Google Sans" w:eastAsia="Google Sans" w:hAnsi="Google Sans"/>
          <w:color w:val="1f1f1f"/>
        </w:rPr>
        <w:drawing>
          <wp:inline distB="19050" distT="19050" distL="19050" distR="19050">
            <wp:extent cx="188238" cy="203297"/>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8238" cy="2032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для регрессии.</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Хотя высокий показатель ROC-AUC свидетельствует о хорошей разделяющей способности классификатора, он не гарантирует, что предсказанные вероятности корректно масштабируются в денежном выражении чистой премии. Модель с превосходным ROC-AUC может систематически недооценивать абсолютные значения многомиллионных выплат, что приведет к катастрофической недоимке премий на уровне портфеля.</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того чтобы отчет экспертно соответствовал высочайшим стандартам актуарной индустрии и требованиям кейс-чемпионата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необходимо полностью трансформировать систему оценки качества, внедрив специализированные инструменты актуарной валидации. В основе этой трансформации лежит переход от оценки предсказаний на уровне индивидуальных наблюдений к оценке экономического лифта (Economic Lift) и калибровки на уровне сегментов портфеля.</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таблице ниже приведено сопоставление метрик машинного обучения с их актуарными аналогами, необходимыми для внедрения:</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Метрика машинного обучения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Назначение в Data 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Актуарный аналог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Назначение в страховом ценообразовании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ROC-AUC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Способность разделить классы (1 - убыток, 0 - нет убытка)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Gini Index for Loss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Способность ранжировать полисы по ожидаемым убыткам в денежном выражении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RMSE / 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Абсолютная или квадратичная ошибка предсказания непрерывной величины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Double Lift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Сравнение предсказательной силы новой модели относительно старого (действующего) тарифа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Precision /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Доля верных классификаций в дисбалансированной выборке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Lorenz Curve (Кривая Лоренца)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Визуализация концентрации риска (какая доля полисов генерирует основную долю убытков)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88238" cy="203297"/>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8238" cy="2032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Доля объясненной дисперсии целевой переменной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Auto-calibration Test (A/E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Проверка балансового свойства: равенство суммы предсказанных убытков фактическим по сегментам</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Кривая Лоренца и Актуарный Индекс Джини</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страховом контексте Индекс Джини кардинально отличается от аналогичного показателя в задачах бинарной классификации банковского скоринга.</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Актуарный индекс Джини измеряет способность рейтингового плана (модели) дифференцировать лучшие и худшие риски с точки зрения их финансового влияния на портфель.</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построения Кривой Лоренца по убыткам на отложенной (test) выборке необходимо отсортировать все полисы по возрастанию предсказанной ожидаемой чистой премии (Expected Loss Cost).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Затем на графике по оси абсцисс откладывается кумулятивная доля экспозиции (совокупное количество полисов или общая заработанная премия), а по оси ординат — кумулятивная доля фактических понесенных убытков (Actual Incurred Losses).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Идеальная модель тарификации, способная предвидеть все крупные аварии, сформирует кривую, которая долгое время будет идти вблизи оси X (поскольку полисы с низким скором не приносят выплат), а затем резко устремится вверх на последних процентилях экспозиции. График, явно демонстрирующий, что "наихудшие 10% водителей по оценке модели сгенерировали 80% всех финансовых потерь компании", станет неоспоримым доказательством эффективности предложенного алгоритма.</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Индекс Джини вычисляется как отношение площади между построенной кривой и диагональю к общей площади под диагональю. Эта метрика должна стать основным критерием выбора между различными конфигурациями CatBoost и нейронных сетей в пайплайне валидации.</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График двойного лифта (Double Lift Chart)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Главный вопрос, на который должна ответить команда в финальном отчете: "Действительно ли предложенные новые цены превосходят исторически усредненные тарифы Freedom Insurance?".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Обычные метрики точности на этот вопрос ответить не могут. Для доказательства превосходства новой стратегии ценообразования над старой используется График двойного лифта.</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Процедура его построения представляет собой квинтэссенцию проверки модели на предмет предотвращения антиселекции (adverse selection).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На первом шаге для каждого полиса в тестовой выборке рассчитывается индекс изменения цены: отношение новой предложенной премии к старой текущей премии (</w:t>
      </w:r>
      <w:r w:rsidDel="00000000" w:rsidR="00000000" w:rsidRPr="00000000">
        <w:rPr>
          <w:rFonts w:ascii="Google Sans" w:cs="Google Sans" w:eastAsia="Google Sans" w:hAnsi="Google Sans"/>
          <w:color w:val="1f1f1f"/>
        </w:rPr>
        <w:drawing>
          <wp:inline distB="19050" distT="19050" distL="19050" distR="19050">
            <wp:extent cx="1456849" cy="236452"/>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456849" cy="236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На втором шаге весь портфель сортируется по этому индексу по возрастанию и делится на равные бакеты (например, децили по объему экспозиции). Бакет 1 будет содержать полисы аккуратных водителей, для которых модель предложила максимальную скидку. Бакет 10 будет включать наиболее токсичные риски, чья стоимость полиса была увеличена (вплоть до лимита в 3 раза).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Наконец, для каждого бакета рассчитывается фактический исторический коэффициент выплат (Historical Loss Ratio = Сумма фактических выплат / Сумма старых премий). Если предложенная модель машинного обучения корректно оценивает риск, на графике будет наблюдаться строгая монотонно возрастающая зависимость. В Бакете 1 исторический коэффициент выплат окажется на уровне 30-40% — это математически докажет жюри, что данные клиенты исторически переплачивали за страховку и их тариф объективно заслуживает снижения.</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 Бакетах 9 и 10 исторический коэффициент выплат превысит 150-200% — это докажет, что исторически усредненный тариф приносил компании огромные убытки на этом сегменте, и агрессивное повышение цены было абсолютно необходимо.</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Отсутствие монотонности на Double Lift Chart является красным флагом, сигнализирующим о том, что модель нашла ложные корреляции.</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Тестирование автокалибровки и свойства баланса</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машинном обучении алгоритмы градиентного бустинга часто грешат смещением предсказаний (bias), минимизируя среднеквадратичную ошибку за счет занижения оценок экстремально высоких значений. Для страхового ценообразования это недопустимо. Согласно принципу балансового свойства (balance property), средний уровень цен по всему портфелю должен быть специфицирован корректно: сумма всех предсказанных чистых премий должна равняться сумме всех фактических убытков.</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Это свойство должно выполняться не только глобально, но и локально — в разрезе ключевых групп риска. В пайплайн валидации необходимо встроить анализ отношения фактических убытков к ожидаемым (Actual-to-Expected Ratio, A/E Ratio).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Аналитик должен разбить портфель на кластеры (например, по маркам автомобилей, регионам, категориям опыта вождения) и проверить, что A/E Ratio в каждом кластере находится в доверительном интервале </w:t>
      </w:r>
      <w:r w:rsidDel="00000000" w:rsidR="00000000" w:rsidRPr="00000000">
        <w:rPr>
          <w:rFonts w:ascii="Google Sans" w:cs="Google Sans" w:eastAsia="Google Sans" w:hAnsi="Google Sans"/>
          <w:color w:val="1f1f1f"/>
        </w:rPr>
        <w:drawing>
          <wp:inline distB="19050" distT="19050" distL="19050" distR="19050">
            <wp:extent cx="881182" cy="212699"/>
            <wp:effectExtent b="0" l="0" r="0" t="0"/>
            <wp:docPr id="1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881182" cy="212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Если, например, для автомобилей марки Toyota коэффициент A/E систематически равен 1.3, это означает, что модель недооценивает риск данной категории на 30%, и алгоритм требует перекалибровки с использованием изотонической регрессии (isotonic regression) или корректировки смещения.</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Демонстрация локальной автокалибровки модели станет сильнейшим аргументом в пользу ее готовности к внедрению в промышленную эксплуатацию.</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Детерминированная оптимизация ценообразования (Pricing Optimization)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Машинное обучение отвечает лишь на вопрос "Каков истинный ожидаемый убыток клиента?". Перевод этого ожидаемого убытка в финальную коммерческую премию (тариф) — это сложнейшая задача оптимизации, требующая учета бизнес-ограничений компании. Анализ текущего подхода команды показывает, что задача ценообразования решается через включение бизнес-штрафов в целевую метрику policy_score, которая затем оптимизируется алгоритмом поиска гиперпараметров Optuna.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Этот подход концептуально ошибочен. Эвристический поиск параметров (таких как Tree-structured Parzen Estimator в Optuna) не гарантирует нахождения глобального оптимума в задачах с жесткими линейными и нелинейными ограничениями.</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Цель кейса четко сформулирована: необходимо рассчитать новую стоимость полисов так, чтобы коэффициент выплат составил около 70% по всему портфелю в целом, а также отдельно в Группе 1 (полисы со снижением цены) и Группе 2 (полисы с увеличением цены).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Важно максимизировать размер Группы 1, поощряя безопасное вождение. Ограничения жестко заданы: премия не может стать отрицательной, и ее максимальный рост ограничен трехкратным увеличением (</w:t>
      </w:r>
      <w:r w:rsidDel="00000000" w:rsidR="00000000" w:rsidRPr="00000000">
        <w:rPr>
          <w:rFonts w:ascii="Google Sans" w:cs="Google Sans" w:eastAsia="Google Sans" w:hAnsi="Google Sans"/>
          <w:color w:val="1f1f1f"/>
        </w:rPr>
        <w:drawing>
          <wp:inline distB="19050" distT="19050" distL="19050" distR="19050">
            <wp:extent cx="197763" cy="235794"/>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7763" cy="235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от текущего базового тарифа.</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достижения оптимального решения необходимо перевести процесс репрайсинга (repricing) на рельсы исследования операций (Operations Research), внедрив методы нелинейного программирования (например, алгоритм Sequential Least Squares Programming - SLSQP). В данном подходе ML-модель выступает лишь поставщиком входных данных — она генерирует вектор ожидаемых чистых премий </w:t>
      </w:r>
      <w:r w:rsidDel="00000000" w:rsidR="00000000" w:rsidRPr="00000000">
        <w:rPr>
          <w:rFonts w:ascii="Google Sans" w:cs="Google Sans" w:eastAsia="Google Sans" w:hAnsi="Google Sans"/>
          <w:color w:val="1f1f1f"/>
        </w:rPr>
        <w:drawing>
          <wp:inline distB="19050" distT="19050" distL="19050" distR="19050">
            <wp:extent cx="691396" cy="235530"/>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91396" cy="235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для каждого полиса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2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Вектор текущих премий </w:t>
      </w:r>
      <w:r w:rsidDel="00000000" w:rsidR="00000000" w:rsidRPr="00000000">
        <w:rPr>
          <w:rFonts w:ascii="Google Sans" w:cs="Google Sans" w:eastAsia="Google Sans" w:hAnsi="Google Sans"/>
          <w:color w:val="1f1f1f"/>
        </w:rPr>
        <w:drawing>
          <wp:inline distB="19050" distT="19050" distL="19050" distR="19050">
            <wp:extent cx="379095" cy="235039"/>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79095" cy="235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также известен из датасета. Задачей оптимизатора является нахождение вектора новых премий </w:t>
      </w:r>
      <w:r w:rsidDel="00000000" w:rsidR="00000000" w:rsidRPr="00000000">
        <w:rPr>
          <w:rFonts w:ascii="Google Sans" w:cs="Google Sans" w:eastAsia="Google Sans" w:hAnsi="Google Sans"/>
          <w:color w:val="1f1f1f"/>
        </w:rPr>
        <w:drawing>
          <wp:inline distB="19050" distT="19050" distL="19050" distR="19050">
            <wp:extent cx="441960" cy="240364"/>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1960" cy="240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минимизирующего возмущение портфеля при соблюдении системы ограничений.</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таблице ниже приведена строгая математическая формализация задачи оптимизации тарифа:</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Компонент задачи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Математическая формулировка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Физический и бизнес-смысл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Целевая функция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965971" cy="321059"/>
                  <wp:effectExtent b="0" l="0" r="0" t="0"/>
                  <wp:docPr id="2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965971" cy="32105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Минимизация отклонения новой премии от математически идеального справедливого тарифа, взвешенная на вероятность удержания клиента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Альтернативная Цель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713909" cy="205669"/>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713909" cy="20566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Максимизация количества клиентов в Группе 1 (удержание как можно большего числа хороших водителей)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Ограничение: Глобальный LR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609963" cy="244165"/>
                  <wp:effectExtent b="0" l="0" r="0" t="0"/>
                  <wp:docPr id="24"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609963" cy="244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Ограничение общего портфеля рамками здоровой убыточности в 70% для покрытия административных расходов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Ограничение: LR Группы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803444" cy="267460"/>
                  <wp:effectExtent b="0" l="0" r="0" t="0"/>
                  <wp:docPr id="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803444" cy="267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Снижение стоимости не должно превращать хороших клиентов в убыточных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Ограничение: LR Группы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803444" cy="267460"/>
                  <wp:effectExtent b="0" l="0" r="0" t="0"/>
                  <wp:docPr id="2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803444" cy="267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Увеличение цены должно полностью покрыть высокий риск плохих клиентов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Граничные условия (Bounds)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663189" cy="205991"/>
                  <wp:effectExtent b="0" l="0" r="0" t="0"/>
                  <wp:docPr id="27"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663189" cy="20599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Защита от демпинга (необходим минимальный порог) и законодательная/бизнес-защита от шокового роста тарифов (кэппинг)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Механика кросс-субсидирования и кэппинга (Capping)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Соблюдение целевого ориентира Loss Ratio в 70% одновременно во всех группах сталкивается с непреодолимым математическим противоречием из-за наличия жесткого лимита на рост цены в 3 раза.</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Если ML-модель выявляет полис экстремального риска, где ожидаемый убыток </w:t>
      </w:r>
      <w:r w:rsidDel="00000000" w:rsidR="00000000" w:rsidRPr="00000000">
        <w:rPr>
          <w:rFonts w:ascii="Google Sans" w:cs="Google Sans" w:eastAsia="Google Sans" w:hAnsi="Google Sans"/>
          <w:color w:val="1f1f1f"/>
        </w:rPr>
        <w:drawing>
          <wp:inline distB="19050" distT="19050" distL="19050" distR="19050">
            <wp:extent cx="691396" cy="235530"/>
            <wp:effectExtent b="0" l="0" r="0" t="0"/>
            <wp:docPr id="2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91396" cy="235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превышает текущую премию </w:t>
      </w:r>
      <w:r w:rsidDel="00000000" w:rsidR="00000000" w:rsidRPr="00000000">
        <w:rPr>
          <w:rFonts w:ascii="Google Sans" w:cs="Google Sans" w:eastAsia="Google Sans" w:hAnsi="Google Sans"/>
          <w:color w:val="1f1f1f"/>
        </w:rPr>
        <w:drawing>
          <wp:inline distB="19050" distT="19050" distL="19050" distR="19050">
            <wp:extent cx="379095" cy="235039"/>
            <wp:effectExtent b="0" l="0" r="0" t="0"/>
            <wp:docPr id="2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79095" cy="235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 10 раз, справедливая премия должна вырасти минимум на 1000%. Однако оптимизатор упрется в границу </w:t>
      </w:r>
      <w:r w:rsidDel="00000000" w:rsidR="00000000" w:rsidRPr="00000000">
        <w:rPr>
          <w:rFonts w:ascii="Google Sans" w:cs="Google Sans" w:eastAsia="Google Sans" w:hAnsi="Google Sans"/>
          <w:color w:val="1f1f1f"/>
        </w:rPr>
        <w:drawing>
          <wp:inline distB="19050" distT="19050" distL="19050" distR="19050">
            <wp:extent cx="604599" cy="240289"/>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04599" cy="240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В результате, даже после максимально разрешенного повышения цены, этот клиент останется глубоко убыточным (Loss Ratio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70%).</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Поскольку самые токсичные риски физически не могут быть выведены на рентабельность из-за кэппинга, Группа 2 (куда они попадут) неизбежно будет иметь тенденцию к Loss Ratio &gt; 70%.</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Чтобы глобальный коэффициент выплат по всему портфелю сошелся к целевым 70%, оптимизатор вынужден будет применить механизм кросс-субсидирования (cross-subsidization).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Это означает, что для покрытия финансовой дыры, генерируемой экстремальными рисками, компания должна немного повысить маржинальность на средних или хороших рисках. Оптимизатор сознательно не до конца снизит цену для Группы 1, зафиксировав их индивидуальный Loss Ratio на уровне, например, 65-68%. Дополнительная прибыль, полученная от аккуратных водителей, покроет недостачу от рискованных, что позволит удержать общий баланс экосистемы в заданных рамках.</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Глубокое описание этого актуарного компромисса в финальном отчете продемонстрирует беспрецедентный уровень понимания бизнес-логики страхования.</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эластичности спроса (Price Elasticity of Demand)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Одним из ключевых требований кейса является необходимость "сохранить как можно больше клиентов".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При этом текущий пайплайн policy_score игнорирует фундаментальный закон экономики — ценовую эластичность спроса (Price Elasticity of Demand, PED).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В текущей логике изменение цены для клиента на 290% (почти в 3 раза) трактуется лишь как математический факт, находящийся в пределах ограничений. В реальном бизнесе клиент, столкнувшийся с трехкратным ростом стоимости обязательной страховки, с вероятностью 99.9% откажется от пролонгации договора и уйдет к конкурентам.</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Следовательно, расчет ожидаемого Loss Ratio по портфелю на основе простой суммы премий и убытков является иллюзией. Если рискованный клиент уходит, портфель не получает ни его увеличенную премию, ни его катастрофические ожидаемые убытки. Изменение структуры портфеля (Portfolio Mix) напрямую влияет на финансовый результат.</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решения этой проблемы передовые актуарные команды интегрируют логистические кривые удержания (Retention Models) непосредственно в функцию расчета ожидаемого Loss Ratio.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Модель вероятности пролонгации полиса </w:t>
      </w:r>
      <w:r w:rsidDel="00000000" w:rsidR="00000000" w:rsidRPr="00000000">
        <w:rPr>
          <w:rFonts w:ascii="Google Sans" w:cs="Google Sans" w:eastAsia="Google Sans" w:hAnsi="Google Sans"/>
          <w:color w:val="1f1f1f"/>
        </w:rPr>
        <w:drawing>
          <wp:inline distB="19050" distT="19050" distL="19050" distR="19050">
            <wp:extent cx="1004773" cy="237771"/>
            <wp:effectExtent b="0" l="0" r="0" t="0"/>
            <wp:docPr id="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004773" cy="237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зависит в первую очередь от относительного шока изменения цены:</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2582"/>
            <wp:effectExtent b="0" l="0" r="0" t="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05500" cy="69258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Где </w:t>
      </w:r>
      <w:r w:rsidDel="00000000" w:rsidR="00000000" w:rsidRPr="00000000">
        <w:rPr>
          <w:rFonts w:ascii="Google Sans" w:cs="Google Sans" w:eastAsia="Google Sans" w:hAnsi="Google Sans"/>
          <w:color w:val="1f1f1f"/>
        </w:rPr>
        <w:drawing>
          <wp:inline distB="19050" distT="19050" distL="19050" distR="19050">
            <wp:extent cx="114062" cy="235728"/>
            <wp:effectExtent b="0" l="0" r="0" t="0"/>
            <wp:docPr id="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14062" cy="235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коэффициент чувствительности к цене (эластичность). Поскольку в рамках кейса исторические данные об отказах не предоставлены, команда может задать параметр </w:t>
      </w:r>
      <w:r w:rsidDel="00000000" w:rsidR="00000000" w:rsidRPr="00000000">
        <w:rPr>
          <w:rFonts w:ascii="Google Sans" w:cs="Google Sans" w:eastAsia="Google Sans" w:hAnsi="Google Sans"/>
          <w:color w:val="1f1f1f"/>
        </w:rPr>
        <w:drawing>
          <wp:inline distB="19050" distT="19050" distL="19050" distR="19050">
            <wp:extent cx="114062" cy="235728"/>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14062" cy="235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экспертно (например, смоделировать сценарий, при котором рост цены на 20% снижает вероятность удержания до 70%, а рост на 100% — до 10%).</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Интеграция этой формулы в слой оптимизации означает, что целевой Loss Ratio и суммарная прибыль будут рассчитываться как математическое ожидание:</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9826"/>
            <wp:effectExtent b="0" l="0" r="0" t="0"/>
            <wp:docPr id="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05500" cy="59982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Учет эластичности спроса позволит оптимизатору находить более тонкие решения. Вместо того чтобы агрессивно повышать цену умеренно рискованному клиенту и терять его премию, алгоритм может найти оптимальную точку повышения (например, на 12%), при которой клиент останется в компании, а его маржинальность приблизится к допустимому уровню.</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Этот подход гарантирует выполнение требования "сохранить как можно больше клиентов" через строгий математический аппарат.</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Стратегическое руководство и дорожная карта внедрения</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основании проведенного аудита, для максимизации шансов на победу в чемпионате KBTU Risk Case Competition, предлагается следующая поэтапная дорожная карта рефакторинга архитектуры проекта и подготовки аналитических материалов.</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1: Трансформация слоя данных и признаков (Data &amp; Feature Layer)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Необходимо переписать скрипты в директории src/risk_case/data/.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Заменить простую агрегацию водителей на расчет экстремальных показателей (max_malus, min_experience, age_variance).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Реализовать блок предобработки для массивов анонимизированных переменных SCORE. Внедрить индикаторы пропущенных значений для разреженных сегментов (SCORE_11, SCORE_12)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 применить алгоритмы снижения размерности (PCA или Autoencoders) для извлечения латентных телематических и кредитных паттернов.</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2: Модернизация предиктивного слоя (Predictive ML Layer)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Отказаться от двухкомпонентной архитектуры Frequency-Severity в пользу единой модели оценки ожидаемой чистой премии.</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Настроить CatBoostRegressor с использованием функции потерь Твиди (loss_function='Tweedie') и провести точечный тюнинг параметра дисперсии (variance power).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Параллельно обучить бинарный классификатор на выявление "структурных нулей" для реализации архитектуры Zero-Inflated Boosted Trees (ZIPB2).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Настроить Optuna исключительно на максимизацию точности предсказания чистого убытка (через минимизацию девиансы Твиди), исключив из ML-слоя любые бизнес-штрафы.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3: Внедрение алгоритмического ценообразования (Pricing Layer)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Разработать новый модуль детерминированной оптимизации в src/risk_case/pricing/.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Использовать библиотеки для нелинейного программирования (например, scipy.optimize.minimize с методом SLSQP). Задать целевую функцию минимизации квадратичного отклонения от справедливого тарифа с учетом логистической кривой удержания клиентов (PED).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Жестко прописать в алгоритме ограничения: Loss Ratio = 70%, </w:t>
      </w:r>
      <w:r w:rsidDel="00000000" w:rsidR="00000000" w:rsidRPr="00000000">
        <w:rPr>
          <w:rFonts w:ascii="Google Sans" w:cs="Google Sans" w:eastAsia="Google Sans" w:hAnsi="Google Sans"/>
          <w:color w:val="1f1f1f"/>
        </w:rPr>
        <w:drawing>
          <wp:inline distB="19050" distT="19050" distL="19050" distR="19050">
            <wp:extent cx="1131218" cy="236944"/>
            <wp:effectExtent b="0" l="0" r="0" t="0"/>
            <wp:docPr id="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131218" cy="236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99492" cy="238289"/>
            <wp:effectExtent b="0" l="0" r="0" t="0"/>
            <wp:docPr id="9"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99492" cy="238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Алгоритм должен автоматически рассчитывать необходимый уровень кросс-субсидирования для компенсации эффекта кэппинга убыточных полисов.</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4: Актуарная аналитика и подготовка итогового отчета</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Структура финального отчета, подаваемого жюри Freedom Insurance, должна быть выдержана в строгом академическом и бизнес-стиле. Отчет должен начинаться с постановки проблематики перекрестного субсидирования в усредненных тарифах ОГПО.</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В разделе анализа данных обязательно представить визуализацию Information Value (IV) и Weight of Evidence (WOE) для доказательства статистической значимости синтезированных полисных признаков.</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В разделе валидации заменить классические графики ROC-кривых на визуализацию Кривой Лоренца для убытков и расчет Актуарного индекса Джини.</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Ключевым аргументом в отчете должен стать График двойного лифта (Double Lift Chart), наглядно демонстрирующий, что новая модель ценообразования безошибочно выявляет недооцененные и переоцененные сегменты исторического портфеля.</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Завершить отчет демонстрацией симуляции финансового результата портфеля, явно показывающей распределение полисов между Группой 1 и Группой 2, достижение 70% коэффициента выплат с учетом вероятностной модели оттока клиентов из-за шока цен.</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Реализация данной стратегии позволит не только с блеском выполнить все технические требования кейса, но и продемонстрировать глубочайшую экспертизу на стыке Data Science, классической актуарной математики и бизнес-стратегии. Переход от эвристического поиска к строгой связке предсказательного машинного обучения и исследования операций гарантированно выведет архитектуру решения на уровень промышленных стандартов ведущих InsurTech компаний.</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Кейс Freedom Insurance_постановка задачи.pdf</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Gradient Boosting for Zero-Inflated Insurance Claims and ..., дата последнего обращения: февраля 27, 2026, </w:t>
      </w:r>
      <w:hyperlink r:id="rId31">
        <w:r w:rsidDel="00000000" w:rsidR="00000000" w:rsidRPr="00000000">
          <w:rPr>
            <w:rFonts w:ascii="Google Sans" w:cs="Google Sans" w:eastAsia="Google Sans" w:hAnsi="Google Sans"/>
            <w:color w:val="0000ee"/>
            <w:sz w:val="24"/>
            <w:szCs w:val="24"/>
            <w:u w:val="single"/>
            <w:rtl w:val="0"/>
          </w:rPr>
          <w:t xml:space="preserve">https://arxiv.org/pdf/2307.07771</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point to probabilistic gradient boosting for claim frequency and severity prediction - PMC, дата последнего обращения: февраля 27,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https://pmc.ncbi.nlm.nih.gov/articles/PMC12575580/</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gradient boosting frequency-severity model of insurance claims | PLOS One, дата последнего обращения: февраля 27, 2026, </w:t>
      </w:r>
      <w:hyperlink r:id="rId3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https://journals.plos.org/plosone/article?id=10.1371/journal.pone.0238000</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Insurance Claims Data Using the Tweedie Approach | by Warda Rahim | Medium, дата последнего обращения: февраля 27, 2026, </w:t>
      </w:r>
      <w:hyperlink r:id="rId34">
        <w:r w:rsidDel="00000000" w:rsidR="00000000" w:rsidRPr="00000000">
          <w:rPr>
            <w:rFonts w:ascii="Google Sans" w:cs="Google Sans" w:eastAsia="Google Sans" w:hAnsi="Google Sans"/>
            <w:color w:val="0000ee"/>
            <w:sz w:val="24"/>
            <w:szCs w:val="24"/>
            <w:u w:val="single"/>
            <w:rtl w:val="0"/>
          </w:rPr>
          <w:t xml:space="preserve">https://medium.com/@wardarahim25/modelling-insurance-claims-data-using-the-tweedie-approach-94db8b14bfb5</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Advancing Zero-Inflated Tweedie Models and Evaluating Gradient Boosting Libraries for Auto Claims - ResearchGate, дата последнего обращения: февраля 27,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https://www.researchgate.net/publication/389963605_Advancing_Zero-Inflated_Tweedie_Models_and_Evaluating_Gradient_Boosting_Libraries_for_Auto_Claims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gradient boosting frequency-severity model of insurance claims - PMC - NIH, дата последнего обращения: февраля 27,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https://pmc.ncbi.nlm.nih.gov/articles/PMC7458339/</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Predictive Models for Dependent Risk Pricing | Published in Variance, дата последнего обращения: февраля 27, 2026, </w:t>
      </w:r>
      <w:hyperlink r:id="rId37">
        <w:r w:rsidDel="00000000" w:rsidR="00000000" w:rsidRPr="00000000">
          <w:rPr>
            <w:rFonts w:ascii="Google Sans" w:cs="Google Sans" w:eastAsia="Google Sans" w:hAnsi="Google Sans"/>
            <w:color w:val="0000ee"/>
            <w:sz w:val="24"/>
            <w:szCs w:val="24"/>
            <w:u w:val="single"/>
            <w:rtl w:val="0"/>
          </w:rPr>
          <w:t xml:space="preserve">https://variancejournal.org/article/146234-comparing-predictive-models-for-dependent-risk-pricing</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Motor Insurance Claim Frequency and Severity Using Gradient Boosting - MDPI, дата последнего обращения: февраля 27, 2026, </w:t>
      </w:r>
      <w:hyperlink r:id="rId38">
        <w:r w:rsidDel="00000000" w:rsidR="00000000" w:rsidRPr="00000000">
          <w:rPr>
            <w:rFonts w:ascii="Google Sans" w:cs="Google Sans" w:eastAsia="Google Sans" w:hAnsi="Google Sans"/>
            <w:color w:val="0000ee"/>
            <w:sz w:val="24"/>
            <w:szCs w:val="24"/>
            <w:u w:val="single"/>
            <w:rtl w:val="0"/>
          </w:rPr>
          <w:t xml:space="preserve">https://www.mdpi.com/2227-9091/11/9/163</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Analysis of Pre-Adjusted Loss Cost, Frequency or Severity in Tweedie Models - Casualty Actuarial Society, дата последнего обращения: февраля 27, 2026, </w:t>
      </w:r>
      <w:hyperlink r:id="rId39">
        <w:r w:rsidDel="00000000" w:rsidR="00000000" w:rsidRPr="00000000">
          <w:rPr>
            <w:rFonts w:ascii="Google Sans" w:cs="Google Sans" w:eastAsia="Google Sans" w:hAnsi="Google Sans"/>
            <w:color w:val="0000ee"/>
            <w:sz w:val="24"/>
            <w:szCs w:val="24"/>
            <w:u w:val="single"/>
            <w:rtl w:val="0"/>
          </w:rPr>
          <w:t xml:space="preserve">https://www.casact.org/sites/default/files/database/forum_10wforum_shi.pdf</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Claim Frequency Estimation in Motor Third-Party Liability (MTPL): Classical Statistical Models versus Machine Learning Methods - Annals of Computer Science and Information Systems, дата последнего обращения: февраля 27, 2026, </w:t>
      </w:r>
      <w:hyperlink r:id="rId40">
        <w:r w:rsidDel="00000000" w:rsidR="00000000" w:rsidRPr="00000000">
          <w:rPr>
            <w:rFonts w:ascii="Google Sans" w:cs="Google Sans" w:eastAsia="Google Sans" w:hAnsi="Google Sans"/>
            <w:color w:val="0000ee"/>
            <w:sz w:val="24"/>
            <w:szCs w:val="24"/>
            <w:u w:val="single"/>
            <w:rtl w:val="0"/>
          </w:rPr>
          <w:t xml:space="preserve">https://annals-csis.org/proceedings/2025/pliks/5118.pdf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networks for insurance pricing with frequency and severity data: a benchmark study from data preprocessing to technical tariff - IDEAS/RePEc, дата последнего обращения: февраля 27, 2026, </w:t>
      </w:r>
      <w:hyperlink r:id="rId41">
        <w:r w:rsidDel="00000000" w:rsidR="00000000" w:rsidRPr="00000000">
          <w:rPr>
            <w:rFonts w:ascii="Google Sans" w:cs="Google Sans" w:eastAsia="Google Sans" w:hAnsi="Google Sans"/>
            <w:color w:val="0000ee"/>
            <w:sz w:val="24"/>
            <w:szCs w:val="24"/>
            <w:u w:val="single"/>
            <w:rtl w:val="0"/>
          </w:rPr>
          <w:t xml:space="preserve">https://ideas.repec.org/p/arx/papers/2310.12671.html</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Rating Variables: What They Are and Why They Matter - Casualty Actuarial Society, дата последнего обращения: февраля 27, 2026, </w:t>
      </w:r>
      <w:hyperlink r:id="rId42">
        <w:r w:rsidDel="00000000" w:rsidR="00000000" w:rsidRPr="00000000">
          <w:rPr>
            <w:rFonts w:ascii="Google Sans" w:cs="Google Sans" w:eastAsia="Google Sans" w:hAnsi="Google Sans"/>
            <w:color w:val="0000ee"/>
            <w:sz w:val="24"/>
            <w:szCs w:val="24"/>
            <w:u w:val="single"/>
            <w:rtl w:val="0"/>
          </w:rPr>
          <w:t xml:space="preserve">https://www.casact.org/sites/default/files/2021-06/Insurance_rating_variables_white_paper.pdf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if You Add a Driver to Your Car Insurance? - Bankrate, дата последнего обращения: февраля 27, 2026, </w:t>
      </w:r>
      <w:hyperlink r:id="rId43">
        <w:r w:rsidDel="00000000" w:rsidR="00000000" w:rsidRPr="00000000">
          <w:rPr>
            <w:rFonts w:ascii="Google Sans" w:cs="Google Sans" w:eastAsia="Google Sans" w:hAnsi="Google Sans"/>
            <w:color w:val="0000ee"/>
            <w:sz w:val="24"/>
            <w:szCs w:val="24"/>
            <w:u w:val="single"/>
            <w:rtl w:val="0"/>
          </w:rPr>
          <w:t xml:space="preserve">https://www.bankrate.com/insurance/car/multiple-drivers/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Rating Plan with a Telematics-Based Scoring Model - LexisNexis Risk Solutions, дата последнего обращения: февраля 27, 2026, </w:t>
      </w:r>
      <w:hyperlink r:id="rId44">
        <w:r w:rsidDel="00000000" w:rsidR="00000000" w:rsidRPr="00000000">
          <w:rPr>
            <w:rFonts w:ascii="Google Sans" w:cs="Google Sans" w:eastAsia="Google Sans" w:hAnsi="Google Sans"/>
            <w:color w:val="0000ee"/>
            <w:sz w:val="24"/>
            <w:szCs w:val="24"/>
            <w:u w:val="single"/>
            <w:rtl w:val="0"/>
          </w:rPr>
          <w:t xml:space="preserve">https://risk.lexisnexis.com/insights-resources/blog-post/boost-your-rating-plan-with-telematics-scoring-model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Machine-Learning Methods for Insurance Applications – A Survey - SOA.org, дата последнего обращения: февраля 27, 2026, </w:t>
      </w:r>
      <w:hyperlink r:id="rId45">
        <w:r w:rsidDel="00000000" w:rsidR="00000000" w:rsidRPr="00000000">
          <w:rPr>
            <w:rFonts w:ascii="Google Sans" w:cs="Google Sans" w:eastAsia="Google Sans" w:hAnsi="Google Sans"/>
            <w:color w:val="0000ee"/>
            <w:sz w:val="24"/>
            <w:szCs w:val="24"/>
            <w:u w:val="single"/>
            <w:rtl w:val="0"/>
          </w:rPr>
          <w:t xml:space="preserve">https://www.soa.org/493479/globalassets/assets/files/resources/research-report/2019/machine-learning-methods.pdf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Interlude - AI TOOLS FOR ACTUARIES Chapter 4, дата последнего обращения: февраля 27, 2026, </w:t>
      </w:r>
      <w:hyperlink r:id="rId46">
        <w:r w:rsidDel="00000000" w:rsidR="00000000" w:rsidRPr="00000000">
          <w:rPr>
            <w:rFonts w:ascii="Google Sans" w:cs="Google Sans" w:eastAsia="Google Sans" w:hAnsi="Google Sans"/>
            <w:color w:val="0000ee"/>
            <w:sz w:val="24"/>
            <w:szCs w:val="24"/>
            <w:u w:val="single"/>
            <w:rtl w:val="0"/>
          </w:rPr>
          <w:t xml:space="preserve">https://aitools4actuaries.com/Ch4/Ch4A-Interlude.pdf</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Explainability of Machine Learning Models in Insurance Pricing, дата последнего обращения: февраля 27, 2026, </w:t>
      </w:r>
      <w:hyperlink r:id="rId47">
        <w:r w:rsidDel="00000000" w:rsidR="00000000" w:rsidRPr="00000000">
          <w:rPr>
            <w:rFonts w:ascii="Google Sans" w:cs="Google Sans" w:eastAsia="Google Sans" w:hAnsi="Google Sans"/>
            <w:color w:val="0000ee"/>
            <w:sz w:val="24"/>
            <w:szCs w:val="24"/>
            <w:u w:val="single"/>
            <w:rtl w:val="0"/>
          </w:rPr>
          <w:t xml:space="preserve">https://www.casact.org/abstract/towards-explainability-machine-learning-models-insurance-pricing</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Note: Model Validation and Holdout Data - The CAS Institute, дата последнего обращения: февраля 27, 2026, </w:t>
      </w:r>
      <w:hyperlink r:id="rId48">
        <w:r w:rsidDel="00000000" w:rsidR="00000000" w:rsidRPr="00000000">
          <w:rPr>
            <w:rFonts w:ascii="Google Sans" w:cs="Google Sans" w:eastAsia="Google Sans" w:hAnsi="Google Sans"/>
            <w:color w:val="0000ee"/>
            <w:sz w:val="24"/>
            <w:szCs w:val="24"/>
            <w:u w:val="single"/>
            <w:rtl w:val="0"/>
          </w:rPr>
          <w:t xml:space="preserve">https://thecasinstitute.org/wp-content/uploads/2019/01/Exam-3-Study-Note-Model-Validation-01162019.pdf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statistical models for the pricing of health insurance - Netspar, дата последнего обращения: февраля 27, 2026, </w:t>
      </w:r>
      <w:hyperlink r:id="rId49">
        <w:r w:rsidDel="00000000" w:rsidR="00000000" w:rsidRPr="00000000">
          <w:rPr>
            <w:rFonts w:ascii="Google Sans" w:cs="Google Sans" w:eastAsia="Google Sans" w:hAnsi="Google Sans"/>
            <w:color w:val="0000ee"/>
            <w:sz w:val="24"/>
            <w:szCs w:val="24"/>
            <w:u w:val="single"/>
            <w:rtl w:val="0"/>
          </w:rPr>
          <w:t xml:space="preserve">https://www.netspar.nl/wp-content/uploads/P20200710_MSc012_Degeneffe.pdf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GENERALIZED LINEAR MODELS FOR INSURANCE RATING Second Edition (2025 revision) - Casualty Actuarial Society, дата последнего обращения: февраля 27, 2026, </w:t>
      </w:r>
      <w:hyperlink r:id="rId50">
        <w:r w:rsidDel="00000000" w:rsidR="00000000" w:rsidRPr="00000000">
          <w:rPr>
            <w:rFonts w:ascii="Google Sans" w:cs="Google Sans" w:eastAsia="Google Sans" w:hAnsi="Google Sans"/>
            <w:color w:val="0000ee"/>
            <w:sz w:val="24"/>
            <w:szCs w:val="24"/>
            <w:u w:val="single"/>
            <w:rtl w:val="0"/>
          </w:rPr>
          <w:t xml:space="preserve">https://www.casact.org/sites/default/files/2021-01/05-Goldburd-Khare-Tevet.pdf</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 The Winner Is…? How to Pick a Better Model, дата последнего обращения: февраля 27, 2026, </w:t>
      </w:r>
      <w:hyperlink r:id="rId51">
        <w:r w:rsidDel="00000000" w:rsidR="00000000" w:rsidRPr="00000000">
          <w:rPr>
            <w:rFonts w:ascii="Google Sans" w:cs="Google Sans" w:eastAsia="Google Sans" w:hAnsi="Google Sans"/>
            <w:color w:val="0000ee"/>
            <w:sz w:val="24"/>
            <w:szCs w:val="24"/>
            <w:u w:val="single"/>
            <w:rtl w:val="0"/>
          </w:rPr>
          <w:t xml:space="preserve">https://www.casact.org/sites/default/files/presentation/rpm_2016_presentations_pm-lm-4.pdf</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RATEMAKING - Casualty Actuarial Society, дата последнего обращения: февраля 27, 2026, </w:t>
      </w:r>
      <w:hyperlink r:id="rId52">
        <w:r w:rsidDel="00000000" w:rsidR="00000000" w:rsidRPr="00000000">
          <w:rPr>
            <w:rFonts w:ascii="Google Sans" w:cs="Google Sans" w:eastAsia="Google Sans" w:hAnsi="Google Sans"/>
            <w:color w:val="0000ee"/>
            <w:sz w:val="24"/>
            <w:szCs w:val="24"/>
            <w:u w:val="single"/>
            <w:rtl w:val="0"/>
          </w:rPr>
          <w:t xml:space="preserve">https://www.casact.org/sites/default/files/old/studynotes_werner_modlin_ratemaking.pdf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VI: Basic Causes of Loss | WSRB Blog, дата последнего обращения: февраля 27, 2026, </w:t>
      </w:r>
      <w:hyperlink r:id="rId53">
        <w:r w:rsidDel="00000000" w:rsidR="00000000" w:rsidRPr="00000000">
          <w:rPr>
            <w:rFonts w:ascii="Google Sans" w:cs="Google Sans" w:eastAsia="Google Sans" w:hAnsi="Google Sans"/>
            <w:color w:val="0000ee"/>
            <w:sz w:val="24"/>
            <w:szCs w:val="24"/>
            <w:u w:val="single"/>
            <w:rtl w:val="0"/>
          </w:rPr>
          <w:t xml:space="preserve">https://www1.wsrb.com/blog/the-basics-on-the-basic-cause-of-loss-part-6-in-the-commercial-lines-rating-series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PRICE OPTIMIZATION, дата последнего обращения: февраля 27, 2026, </w:t>
      </w:r>
      <w:hyperlink r:id="rId54">
        <w:r w:rsidDel="00000000" w:rsidR="00000000" w:rsidRPr="00000000">
          <w:rPr>
            <w:rFonts w:ascii="Google Sans" w:cs="Google Sans" w:eastAsia="Google Sans" w:hAnsi="Google Sans"/>
            <w:color w:val="0000ee"/>
            <w:sz w:val="24"/>
            <w:szCs w:val="24"/>
            <w:u w:val="single"/>
            <w:rtl w:val="0"/>
          </w:rPr>
          <w:t xml:space="preserve">https://www.casact.org/sites/default/files/presentation/rpm_2014_handouts_paper_2951_handout_1983_0.pdf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 RATING FOR DOCTOR PROFESSIONAL LIABILITY INSURANCE - Casualty Actuarial Society, дата последнего обращения: февраля 27, 2026, </w:t>
      </w:r>
      <w:hyperlink r:id="rId55">
        <w:r w:rsidDel="00000000" w:rsidR="00000000" w:rsidRPr="00000000">
          <w:rPr>
            <w:rFonts w:ascii="Google Sans" w:cs="Google Sans" w:eastAsia="Google Sans" w:hAnsi="Google Sans"/>
            <w:color w:val="0000ee"/>
            <w:sz w:val="24"/>
            <w:szCs w:val="24"/>
            <w:u w:val="single"/>
            <w:rtl w:val="0"/>
          </w:rPr>
          <w:t xml:space="preserve">https://www.casact.org/sites/default/files/database/forum_93seforum_93sp495.pdf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approaches to multiplicative tariff of rates estimation in non-life insurance - International Actuarial Association, дата последнего обращения: февраля 27, 2026, </w:t>
      </w:r>
      <w:hyperlink r:id="rId56">
        <w:r w:rsidDel="00000000" w:rsidR="00000000" w:rsidRPr="00000000">
          <w:rPr>
            <w:rFonts w:ascii="Google Sans" w:cs="Google Sans" w:eastAsia="Google Sans" w:hAnsi="Google Sans"/>
            <w:color w:val="0000ee"/>
            <w:sz w:val="24"/>
            <w:szCs w:val="24"/>
            <w:u w:val="single"/>
            <w:rtl w:val="0"/>
          </w:rPr>
          <w:t xml:space="preserve">https://www.actuaries.org/app/uploads/2025/07/Branda_Paper_Hague2013.pdf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approaches to multiplicative tariff of rates estimation in non-life insurance - Semantic Scholar, дата последнего обращения: февраля 27, 2026, </w:t>
      </w:r>
      <w:hyperlink r:id="rId57">
        <w:r w:rsidDel="00000000" w:rsidR="00000000" w:rsidRPr="00000000">
          <w:rPr>
            <w:rFonts w:ascii="Google Sans" w:cs="Google Sans" w:eastAsia="Google Sans" w:hAnsi="Google Sans"/>
            <w:color w:val="0000ee"/>
            <w:sz w:val="24"/>
            <w:szCs w:val="24"/>
            <w:u w:val="single"/>
            <w:rtl w:val="0"/>
          </w:rPr>
          <w:t xml:space="preserve">https://pdfs.semanticscholar.org/c7bc/73b3f128f1e5312426ee35f066c736dafb55.pdf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Loss Ratio: The Metric Sharing Economy Companies Must Track - DigiSure, дата последнего обращения: февраля 27, 2026, </w:t>
      </w:r>
      <w:hyperlink r:id="rId58">
        <w:r w:rsidDel="00000000" w:rsidR="00000000" w:rsidRPr="00000000">
          <w:rPr>
            <w:rFonts w:ascii="Google Sans" w:cs="Google Sans" w:eastAsia="Google Sans" w:hAnsi="Google Sans"/>
            <w:color w:val="0000ee"/>
            <w:sz w:val="24"/>
            <w:szCs w:val="24"/>
            <w:u w:val="single"/>
            <w:rtl w:val="0"/>
          </w:rPr>
          <w:t xml:space="preserve">https://digisure.ai/blog/insurance-loss-ratio-the-metric-sharing-economy-companies-must-track</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Optimizing Healthcare Pricing within Insurance-Based Systems - ResearchGate, дата последнего обращения: февраля 27,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https://www.researchgate.net/publication/400741296_Optimizing_Healthcare_Pricing_within_Insurance-Based_Systems</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of Climate Risk Insurance: Regulation and Cross-Subsidies - Federal Reserve Board, дата последнего обращения: февраля 27, 2026, </w:t>
      </w:r>
      <w:hyperlink r:id="rId60">
        <w:r w:rsidDel="00000000" w:rsidR="00000000" w:rsidRPr="00000000">
          <w:rPr>
            <w:rFonts w:ascii="Google Sans" w:cs="Google Sans" w:eastAsia="Google Sans" w:hAnsi="Google Sans"/>
            <w:color w:val="0000ee"/>
            <w:sz w:val="24"/>
            <w:szCs w:val="24"/>
            <w:u w:val="single"/>
            <w:rtl w:val="0"/>
          </w:rPr>
          <w:t xml:space="preserve">https://www.federalreserve.gov/econres/feds/files/2022064pap.pdf</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Cost Model: Understanding Price Elasticity and Its Applications, дата последнего обращения: февраля 27, 2026, </w:t>
      </w:r>
      <w:hyperlink r:id="rId61">
        <w:r w:rsidDel="00000000" w:rsidR="00000000" w:rsidRPr="00000000">
          <w:rPr>
            <w:rFonts w:ascii="Google Sans" w:cs="Google Sans" w:eastAsia="Google Sans" w:hAnsi="Google Sans"/>
            <w:color w:val="0000ee"/>
            <w:sz w:val="24"/>
            <w:szCs w:val="24"/>
            <w:u w:val="single"/>
            <w:rtl w:val="0"/>
          </w:rPr>
          <w:t xml:space="preserve">https://www.casact.org/sites/default/files/database/forum_13spforum_guven_mcphail.pdf</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Price Optimisation, дата последнего обращения: февраля 27, 2026, </w:t>
      </w:r>
      <w:hyperlink r:id="rId62">
        <w:r w:rsidDel="00000000" w:rsidR="00000000" w:rsidRPr="00000000">
          <w:rPr>
            <w:rFonts w:ascii="Google Sans" w:cs="Google Sans" w:eastAsia="Google Sans" w:hAnsi="Google Sans"/>
            <w:color w:val="0000ee"/>
            <w:sz w:val="24"/>
            <w:szCs w:val="24"/>
            <w:u w:val="single"/>
            <w:rtl w:val="0"/>
          </w:rPr>
          <w:t xml:space="preserve">https://www.actuaries.org.uk/system/files/documents/pdf/airey.pdf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 &amp; elasticity modelling for P&amp;C insurance pricing under various conditions - Singapore Actuarial Society, дата последнего обращения: февраля 27, 2026, </w:t>
      </w:r>
      <w:hyperlink r:id="rId63">
        <w:r w:rsidDel="00000000" w:rsidR="00000000" w:rsidRPr="00000000">
          <w:rPr>
            <w:rFonts w:ascii="Google Sans" w:cs="Google Sans" w:eastAsia="Google Sans" w:hAnsi="Google Sans"/>
            <w:color w:val="0000ee"/>
            <w:sz w:val="24"/>
            <w:szCs w:val="24"/>
            <w:u w:val="single"/>
            <w:rtl w:val="0"/>
          </w:rPr>
          <w:t xml:space="preserve">https://www.actuaries.org.sg/sites/default/files/2024-09/SAC%202024%20-%20Demand%20%26%20Elasticity%20Modelling%20for%20P%26C%20insurance%20pricing%20-%20Thibault%20Imbert.pdf</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Casualty Actuarial and Statistical (C) Task Force Price Optimization White Paper - NAIC, дата последнего обращения: февраля 27, 2026, </w:t>
      </w:r>
      <w:hyperlink r:id="rId64">
        <w:r w:rsidDel="00000000" w:rsidR="00000000" w:rsidRPr="00000000">
          <w:rPr>
            <w:rFonts w:ascii="Google Sans" w:cs="Google Sans" w:eastAsia="Google Sans" w:hAnsi="Google Sans"/>
            <w:color w:val="0000ee"/>
            <w:sz w:val="24"/>
            <w:szCs w:val="24"/>
            <w:u w:val="single"/>
            <w:rtl w:val="0"/>
          </w:rPr>
          <w:t xml:space="preserve">https://content.naic.org/sites/default/files/inline-files/committees_c_catf_related_price_optimization_white_paper.pdf</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Growth for P&amp;C Insurance Companies | Published in Variance, дата последнего обращения: февраля 27, 2026, </w:t>
      </w:r>
      <w:hyperlink r:id="rId65">
        <w:r w:rsidDel="00000000" w:rsidR="00000000" w:rsidRPr="00000000">
          <w:rPr>
            <w:rFonts w:ascii="Google Sans" w:cs="Google Sans" w:eastAsia="Google Sans" w:hAnsi="Google Sans"/>
            <w:color w:val="0000ee"/>
            <w:sz w:val="24"/>
            <w:szCs w:val="24"/>
            <w:u w:val="single"/>
            <w:rtl w:val="0"/>
          </w:rPr>
          <w:t xml:space="preserve">https://variancejournal.org/article/77957-optimal-growth-for-p-c-insurance-companies</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model for pricing optimization in auto insurance - International Actuarial Association, дата последнего обращения: февраля 27, 2026, </w:t>
      </w:r>
      <w:hyperlink r:id="rId66">
        <w:r w:rsidDel="00000000" w:rsidR="00000000" w:rsidRPr="00000000">
          <w:rPr>
            <w:rFonts w:ascii="Google Sans" w:cs="Google Sans" w:eastAsia="Google Sans" w:hAnsi="Google Sans"/>
            <w:color w:val="0000ee"/>
            <w:sz w:val="24"/>
            <w:szCs w:val="24"/>
            <w:u w:val="single"/>
            <w:rtl w:val="0"/>
          </w:rPr>
          <w:t xml:space="preserve">https://actuaries.org/app/uploads/2025/07/Mayorga_PPT_Panama2017.pdf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nnals-csis.org/proceedings/2025/pliks/5118.pdf" TargetMode="External"/><Relationship Id="rId42" Type="http://schemas.openxmlformats.org/officeDocument/2006/relationships/hyperlink" Target="https://www.casact.org/sites/default/files/2021-06/Insurance_rating_variables_white_paper.pdf" TargetMode="External"/><Relationship Id="rId41" Type="http://schemas.openxmlformats.org/officeDocument/2006/relationships/hyperlink" Target="https://ideas.repec.org/p/arx/papers/2310.12671.html" TargetMode="External"/><Relationship Id="rId44" Type="http://schemas.openxmlformats.org/officeDocument/2006/relationships/hyperlink" Target="https://risk.lexisnexis.com/insights-resources/blog-post/boost-your-rating-plan-with-telematics-scoring-model" TargetMode="External"/><Relationship Id="rId43" Type="http://schemas.openxmlformats.org/officeDocument/2006/relationships/hyperlink" Target="https://www.bankrate.com/insurance/car/multiple-drivers/" TargetMode="External"/><Relationship Id="rId46" Type="http://schemas.openxmlformats.org/officeDocument/2006/relationships/hyperlink" Target="https://aitools4actuaries.com/Ch4/Ch4A-Interlude.pdf" TargetMode="External"/><Relationship Id="rId45" Type="http://schemas.openxmlformats.org/officeDocument/2006/relationships/hyperlink" Target="https://www.soa.org/493479/globalassets/assets/files/resources/research-report/2019/machine-learning-method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thecasinstitute.org/wp-content/uploads/2019/01/Exam-3-Study-Note-Model-Validation-01162019.pdf" TargetMode="External"/><Relationship Id="rId47" Type="http://schemas.openxmlformats.org/officeDocument/2006/relationships/hyperlink" Target="https://www.casact.org/abstract/towards-explainability-machine-learning-models-insurance-pricing" TargetMode="External"/><Relationship Id="rId49" Type="http://schemas.openxmlformats.org/officeDocument/2006/relationships/hyperlink" Target="https://www.netspar.nl/wp-content/uploads/P20200710_MSc012_Degeneffe.pd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5.png"/><Relationship Id="rId8" Type="http://schemas.openxmlformats.org/officeDocument/2006/relationships/image" Target="media/image25.png"/><Relationship Id="rId31" Type="http://schemas.openxmlformats.org/officeDocument/2006/relationships/hyperlink" Target="https://arxiv.org/pdf/2307.07771" TargetMode="External"/><Relationship Id="rId30" Type="http://schemas.openxmlformats.org/officeDocument/2006/relationships/image" Target="media/image10.png"/><Relationship Id="rId33" Type="http://schemas.openxmlformats.org/officeDocument/2006/relationships/hyperlink" Target="https://journals.plos.org/plosone/article?id=10.1371/journal.pone.0238000" TargetMode="External"/><Relationship Id="rId32" Type="http://schemas.openxmlformats.org/officeDocument/2006/relationships/hyperlink" Target="https://pmc.ncbi.nlm.nih.gov/articles/PMC12575580/" TargetMode="External"/><Relationship Id="rId35" Type="http://schemas.openxmlformats.org/officeDocument/2006/relationships/hyperlink" Target="https://www.researchgate.net/publication/389963605_Advancing_Zero-Inflated_Tweedie_Models_and_Evaluating_Gradient_Boosting_Libraries_for_Auto_Claims" TargetMode="External"/><Relationship Id="rId34" Type="http://schemas.openxmlformats.org/officeDocument/2006/relationships/hyperlink" Target="https://medium.com/@wardarahim25/modelling-insurance-claims-data-using-the-tweedie-approach-94db8b14bfb5" TargetMode="External"/><Relationship Id="rId37" Type="http://schemas.openxmlformats.org/officeDocument/2006/relationships/hyperlink" Target="https://variancejournal.org/article/146234-comparing-predictive-models-for-dependent-risk-pricing" TargetMode="External"/><Relationship Id="rId36" Type="http://schemas.openxmlformats.org/officeDocument/2006/relationships/hyperlink" Target="https://pmc.ncbi.nlm.nih.gov/articles/PMC7458339/" TargetMode="External"/><Relationship Id="rId39" Type="http://schemas.openxmlformats.org/officeDocument/2006/relationships/hyperlink" Target="https://www.casact.org/sites/default/files/database/forum_10wforum_shi.pdf" TargetMode="External"/><Relationship Id="rId38" Type="http://schemas.openxmlformats.org/officeDocument/2006/relationships/hyperlink" Target="https://www.mdpi.com/2227-9091/11/9/163" TargetMode="External"/><Relationship Id="rId62" Type="http://schemas.openxmlformats.org/officeDocument/2006/relationships/hyperlink" Target="https://www.actuaries.org.uk/system/files/documents/pdf/airey.pdf" TargetMode="External"/><Relationship Id="rId61" Type="http://schemas.openxmlformats.org/officeDocument/2006/relationships/hyperlink" Target="https://www.casact.org/sites/default/files/database/forum_13spforum_guven_mcphail.pdf" TargetMode="External"/><Relationship Id="rId20" Type="http://schemas.openxmlformats.org/officeDocument/2006/relationships/image" Target="media/image22.png"/><Relationship Id="rId64" Type="http://schemas.openxmlformats.org/officeDocument/2006/relationships/hyperlink" Target="https://content.naic.org/sites/default/files/inline-files/committees_c_catf_related_price_optimization_white_paper.pdf" TargetMode="External"/><Relationship Id="rId63" Type="http://schemas.openxmlformats.org/officeDocument/2006/relationships/hyperlink" Target="https://www.actuaries.org.sg/sites/default/files/2024-09/SAC%202024%20-%20Demand%20%26%20Elasticity%20Modelling%20for%20P%26C%20insurance%20pricing%20-%20Thibault%20Imbert.pdf" TargetMode="External"/><Relationship Id="rId22" Type="http://schemas.openxmlformats.org/officeDocument/2006/relationships/image" Target="media/image23.png"/><Relationship Id="rId66" Type="http://schemas.openxmlformats.org/officeDocument/2006/relationships/hyperlink" Target="https://actuaries.org/app/uploads/2025/07/Mayorga_PPT_Panama2017.pdf" TargetMode="External"/><Relationship Id="rId21" Type="http://schemas.openxmlformats.org/officeDocument/2006/relationships/image" Target="media/image20.png"/><Relationship Id="rId65" Type="http://schemas.openxmlformats.org/officeDocument/2006/relationships/hyperlink" Target="https://variancejournal.org/article/77957-optimal-growth-for-p-c-insurance-companies" TargetMode="External"/><Relationship Id="rId24" Type="http://schemas.openxmlformats.org/officeDocument/2006/relationships/image" Target="media/image24.png"/><Relationship Id="rId23" Type="http://schemas.openxmlformats.org/officeDocument/2006/relationships/image" Target="media/image3.png"/><Relationship Id="rId60" Type="http://schemas.openxmlformats.org/officeDocument/2006/relationships/hyperlink" Target="https://www.federalreserve.gov/econres/feds/files/2022064pap.pdf" TargetMode="External"/><Relationship Id="rId26" Type="http://schemas.openxmlformats.org/officeDocument/2006/relationships/image" Target="media/image13.png"/><Relationship Id="rId25" Type="http://schemas.openxmlformats.org/officeDocument/2006/relationships/image" Target="media/image7.png"/><Relationship Id="rId28" Type="http://schemas.openxmlformats.org/officeDocument/2006/relationships/image" Target="media/image16.png"/><Relationship Id="rId27" Type="http://schemas.openxmlformats.org/officeDocument/2006/relationships/image" Target="media/image14.png"/><Relationship Id="rId29" Type="http://schemas.openxmlformats.org/officeDocument/2006/relationships/image" Target="media/image2.png"/><Relationship Id="rId51" Type="http://schemas.openxmlformats.org/officeDocument/2006/relationships/hyperlink" Target="https://www.casact.org/sites/default/files/presentation/rpm_2016_presentations_pm-lm-4.pdf" TargetMode="External"/><Relationship Id="rId50" Type="http://schemas.openxmlformats.org/officeDocument/2006/relationships/hyperlink" Target="https://www.casact.org/sites/default/files/2021-01/05-Goldburd-Khare-Tevet.pdf" TargetMode="External"/><Relationship Id="rId53" Type="http://schemas.openxmlformats.org/officeDocument/2006/relationships/hyperlink" Target="https://www1.wsrb.com/blog/the-basics-on-the-basic-cause-of-loss-part-6-in-the-commercial-lines-rating-series" TargetMode="External"/><Relationship Id="rId52" Type="http://schemas.openxmlformats.org/officeDocument/2006/relationships/hyperlink" Target="https://www.casact.org/sites/default/files/old/studynotes_werner_modlin_ratemaking.pdf" TargetMode="External"/><Relationship Id="rId11" Type="http://schemas.openxmlformats.org/officeDocument/2006/relationships/image" Target="media/image18.png"/><Relationship Id="rId55" Type="http://schemas.openxmlformats.org/officeDocument/2006/relationships/hyperlink" Target="https://www.casact.org/sites/default/files/database/forum_93seforum_93sp495.pdf" TargetMode="External"/><Relationship Id="rId10" Type="http://schemas.openxmlformats.org/officeDocument/2006/relationships/image" Target="media/image6.png"/><Relationship Id="rId54" Type="http://schemas.openxmlformats.org/officeDocument/2006/relationships/hyperlink" Target="https://www.casact.org/sites/default/files/presentation/rpm_2014_handouts_paper_2951_handout_1983_0.pdf" TargetMode="External"/><Relationship Id="rId13" Type="http://schemas.openxmlformats.org/officeDocument/2006/relationships/image" Target="media/image9.png"/><Relationship Id="rId57" Type="http://schemas.openxmlformats.org/officeDocument/2006/relationships/hyperlink" Target="https://pdfs.semanticscholar.org/c7bc/73b3f128f1e5312426ee35f066c736dafb55.pdf" TargetMode="External"/><Relationship Id="rId12" Type="http://schemas.openxmlformats.org/officeDocument/2006/relationships/image" Target="media/image1.png"/><Relationship Id="rId56" Type="http://schemas.openxmlformats.org/officeDocument/2006/relationships/hyperlink" Target="https://www.actuaries.org/app/uploads/2025/07/Branda_Paper_Hague2013.pdf" TargetMode="External"/><Relationship Id="rId15" Type="http://schemas.openxmlformats.org/officeDocument/2006/relationships/image" Target="media/image19.png"/><Relationship Id="rId59" Type="http://schemas.openxmlformats.org/officeDocument/2006/relationships/hyperlink" Target="https://www.researchgate.net/publication/400741296_Optimizing_Healthcare_Pricing_within_Insurance-Based_Systems" TargetMode="External"/><Relationship Id="rId14" Type="http://schemas.openxmlformats.org/officeDocument/2006/relationships/image" Target="media/image12.png"/><Relationship Id="rId58" Type="http://schemas.openxmlformats.org/officeDocument/2006/relationships/hyperlink" Target="https://digisure.ai/blog/insurance-loss-ratio-the-metric-sharing-economy-companies-must-track" TargetMode="External"/><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1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