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Стратегическое управление убыточностью портфеля ОГПО: Архитектура предиктивного скоринга и математическая оптимизация ценообразования</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Фундаментальная проблематика и бизнес-контекст справедливого ценообразования</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Обязательное страхование гражданско-правовой ответственности владельцев транспортных средств (ОГПО) представляет собой один из наиболее сложных сегментов страхового рынка с точки зрения управления рентабельностью. Будучи массовым и социально значимым продуктом, ОГПО исторически характеризуется хронической убыточностью для страховщиков. Коренная причина этой финансовой диспропорции кроется в применении усредненных тарифов, которые не способны адекватно отразить истинный профиль риска каждого индивидуального водителя и транспортного средства.</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В результате на рынке формируется классическая проблема антиселекции (adverse selection), при которой аккуратные водители систематически переплачивают, фактически субсидируя высокорискованных участников дорожного движения, уплачивающих несправедливо низкую премию.</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преодоления этой неэффективности требуется переход от нормативного тарифообразования к индивидуализированному скорингу риска на базе методов машинного обучения. Цель заключается в разработке предиктивной модели, способной оценивать вероятность попадания конкретного полиса в дорожно-транспортное происшествие (ДТП) и на основе этой вероятности рассчитывать новую, справедливую премию.</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Данная бизнес-задача сопряжена с жесткими финансовыми и клиентскими ограничениями, определяющими архитектуру решения.</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Ключевой метрикой эффективности выступает коэффициент выплат (Loss Ratio), который рассчитывается как отношение суммы выплаченных страховых возмещений к сумме собранных премий за вычетом возвратов при расторжении договоров. Здоровым уровнем убыточности, позволяющим страховой компании покрывать операционные и административные расходы, а также инвестировать в развитие клиентского сервиса, признан показатель, стремящийся к 70%.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Оптимизационная задача требует достижения этого целевого показателя не только на уровне всего портфеля в целом, но и строго в разрезе двух стратегических сегментов:</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Группа 1:</w:t>
      </w:r>
      <w:r w:rsidDel="00000000" w:rsidR="00000000" w:rsidRPr="00000000">
        <w:rPr>
          <w:rFonts w:ascii="Google Sans" w:cs="Google Sans" w:eastAsia="Google Sans" w:hAnsi="Google Sans"/>
          <w:color w:val="1f1f1f"/>
          <w:rtl w:val="0"/>
        </w:rPr>
        <w:t xml:space="preserve"> Полисы, для которых оптимизированная стоимость сохранилась на прежнем уровне или была снижена. Стратегический приоритет компании — максимизировать объем данной группы, поощряя безопасное вождение и удерживая лояльных клиентов.</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Группа 2:</w:t>
      </w:r>
      <w:r w:rsidDel="00000000" w:rsidR="00000000" w:rsidRPr="00000000">
        <w:rPr>
          <w:rFonts w:ascii="Google Sans" w:cs="Google Sans" w:eastAsia="Google Sans" w:hAnsi="Google Sans"/>
          <w:color w:val="1f1f1f"/>
          <w:rtl w:val="0"/>
        </w:rPr>
        <w:t xml:space="preserve"> Полисы, для которых стоимость была увеличена ввиду высокого прогнозируемого риска.</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Математическая оптимизация тарифов строго лимитирована регуляторными и бизнес-рамками. Максимально допустимое снижение страховой премии ограничено 100%, в то время как максимальное увеличение цены не может превышать трехкратного размера (увеличение не более чем в 3 раза) от исходного тарифа.</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Любое нарушение данных границ в процессе генерации предсказаний классифицируется как нарушение ограничений (violations) и делает пайплайн неприемлемым для внедрения в производственную среду.</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Структурный анализ данных и разрешение конфликта гранулярности</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Построение надежной скоринговой модели начинается с глубокого понимания структуры и связей в предоставленном наборе данных. Специфика ОГПО порождает структурный конфликт между объектом страхования (полисом) и субъектами риска (водителями). В анализируемом наборе данных информация представлена на уровне индивидуальных водителей, однако финансовые результаты агрегируются на уровне страхового полиса.</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Обучающая выборка содержит 569,508 строк (159 признаков), а тестовая выборка — 244,073 строки (156 признаков), которые в совокупности агрегируются в 180,635 уникальных страховых полисов.</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Связующим звеном выступает идентификатор полиса contract_number, в рамках которого может быть зарегистрировано несколько водителей, каждый из которых идентифицируется уникальным кодом driver_iin, в то время как страхователь (владелец) определяется через insurer_iin.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Критически важным аспектом обработки данных является правило дедупликации финансовых метрик. Для всех водителей, вписанных в один и тот же полис, значения общей премии (premium), премии за вычетом расторжений (premium_wo_term) и итоговой суммы выплат (claim_amount) дублируются во всех строках, относящихся к данному contract_number.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При расчете агрегированных показателей портфеля — таких как общая прибыль, совокупная убыточность или суммарная премия — эти величины должны учитываться строго один раз на каждый полис. Механическое суммирование данных столбцов по всем строкам датасета приведет к многократной инфляции показателей и полному искажению финансовой картины.</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Целевое распределение и обработка экстремального дисбаланса</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Разведочный анализ данных (Exploratory Data Analysis, EDA) выявляет экстремальный дисбаланс классов в целевой переменной. Базовая частота наступления страховых случаев (Claim rate) в историческом портфеле составляет всего 0.019480, то есть менее 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Столь сильный перекос делает применение стандартных алгоритмов бинарной классификации (например, логистической регрессии с порогом отсечения 0.5) неэффективным, так как модель будет склонна предсказывать мажоритарный класс (отсутствие ДТП) для подавляющего большинства наблюдений, игнорируя реальную дифференциацию рисков. Данный факт требует внедрения специализированных функций потерь, процедур сэмплинга и частотно-убыточных (frequency-severity) подходов к моделированию.</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Важным этапом препроцессинга стала диагностика утечек данных (Data Leakage). Алгоритмы выявили три признака с критически высоким риском утечки (risk score </w:t>
      </w:r>
      <w:r w:rsidDel="00000000" w:rsidR="00000000" w:rsidRPr="00000000">
        <w:rPr>
          <w:rFonts w:ascii="Google Sans" w:cs="Google Sans" w:eastAsia="Google Sans" w:hAnsi="Google Sans"/>
          <w:color w:val="1f1f1f"/>
        </w:rPr>
        <w:drawing>
          <wp:inline distB="19050" distT="19050" distL="19050" distR="19050">
            <wp:extent cx="379095" cy="212293"/>
            <wp:effectExtent b="0" l="0" r="0" t="0"/>
            <wp:docPr id="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379095" cy="2122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Эти признаки содержат информацию, которая становится известна только после завершения срока действия полиса, и их включение в модель приводит к переобучению и ложной высокой точности на кросс-валидации. В соответствии с правилами инженерии признаков, переменные факта выплаты (is_claim), количества выплат (claim_cnt) и суммы выплат (claim_amount) были принудительно исключены (force_drop) из пространства предикторов на этапе обучения.</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Аналогичной блокировке подверглись уникальные идентификаторы (unique_id, contract_number, driver_iin, insurer_iin, car_number), не несущие обобщающей предсказательной силы.</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Декомпозиция пространства анонимизированных предикторов SCORE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Фундаментальную ценность для дифференциации рисков представляют анонимизированные предикторы, имеющие префикс SCORE. В отличие от финансовых метрик полиса, эти переменные обладают гранулярностью на уровне конкретного водителя («Предиктор по водителю») и отражают его индивидуальный профиль.</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датасете представлено 128 уникальных предикторов SCORE, которые структурно разделены на 12 логических групп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Группы 1 и 3</w:t>
      </w:r>
      <w:r w:rsidDel="00000000" w:rsidR="00000000" w:rsidRPr="00000000">
        <w:rPr>
          <w:rFonts w:ascii="Google Sans" w:cs="Google Sans" w:eastAsia="Google Sans" w:hAnsi="Google Sans"/>
          <w:color w:val="1f1f1f"/>
          <w:rtl w:val="0"/>
        </w:rPr>
        <w:t xml:space="preserve"> включают по 10 предикторов (от SCORE_1_1 до SCORE_1_10 и от SCORE_3_1 до SCORE_3_10 соответственно), что типично для скоринговых карт финансовой или кредитной дисциплины, часто коррелирующих с аккуратностью вождения.</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Группа 4</w:t>
      </w:r>
      <w:r w:rsidDel="00000000" w:rsidR="00000000" w:rsidRPr="00000000">
        <w:rPr>
          <w:rFonts w:ascii="Google Sans" w:cs="Google Sans" w:eastAsia="Google Sans" w:hAnsi="Google Sans"/>
          <w:color w:val="1f1f1f"/>
          <w:rtl w:val="0"/>
        </w:rPr>
        <w:t xml:space="preserve"> является наиболее обширной и содержит 30 переменных (SCORE_4_1 – SCORE_4_30), что может указывать на телематические данные, высокочастотную транзакционную историю или детализированную историю административных правонарушений.</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Группы 5, 10 и 11</w:t>
      </w:r>
      <w:r w:rsidDel="00000000" w:rsidR="00000000" w:rsidRPr="00000000">
        <w:rPr>
          <w:rFonts w:ascii="Google Sans" w:cs="Google Sans" w:eastAsia="Google Sans" w:hAnsi="Google Sans"/>
          <w:color w:val="1f1f1f"/>
          <w:rtl w:val="0"/>
        </w:rPr>
        <w:t xml:space="preserve"> включают 12, 6 и 14 предикторов соответственно.</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Группа 9</w:t>
      </w:r>
      <w:r w:rsidDel="00000000" w:rsidR="00000000" w:rsidRPr="00000000">
        <w:rPr>
          <w:rFonts w:ascii="Google Sans" w:cs="Google Sans" w:eastAsia="Google Sans" w:hAnsi="Google Sans"/>
          <w:color w:val="1f1f1f"/>
          <w:rtl w:val="0"/>
        </w:rPr>
        <w:t xml:space="preserve"> содержит 24 предиктора (SCORE_9_1 – SCORE_9_24), предположительно описывающих взаимодействие водителя с различными типами транспортных средств или сезонные паттерны вождения.</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Группы 2, 6, 7 и 8</w:t>
      </w:r>
      <w:r w:rsidDel="00000000" w:rsidR="00000000" w:rsidRPr="00000000">
        <w:rPr>
          <w:rFonts w:ascii="Google Sans" w:cs="Google Sans" w:eastAsia="Google Sans" w:hAnsi="Google Sans"/>
          <w:color w:val="1f1f1f"/>
          <w:rtl w:val="0"/>
        </w:rPr>
        <w:t xml:space="preserve"> представлены компактными наборами по 3 предиктора, что характерно для макроэкономических, региональных или бинарных индикаторов риска.</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Группа 12</w:t>
      </w:r>
      <w:r w:rsidDel="00000000" w:rsidR="00000000" w:rsidRPr="00000000">
        <w:rPr>
          <w:rFonts w:ascii="Google Sans" w:cs="Google Sans" w:eastAsia="Google Sans" w:hAnsi="Google Sans"/>
          <w:color w:val="1f1f1f"/>
          <w:rtl w:val="0"/>
        </w:rPr>
        <w:t xml:space="preserve"> включает 10 предикторов с нестандартной индексацией (например, наличие SCORE_12_9_1), что указывает на сложную иерархическую природу данных переменных.</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Процедура отбора признаков (Feature Selection) базировалась на строгих статистических порогах. Из 152 изначальных кандидатов в финальный белый список (Whitelist) вошли 133 признака.</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Признаки с долей пропущенных значений более 90% (missing_drop_threshold: 0.9) автоматически удалялись, а признаки с пропусками от 60% до 90% (missing_review_threshold: 0.6) или корреляцией с целевой переменной ниже 0.08 (corr_review_threshold: 0.08) отправлялись на ручную модерацию.</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Финансовые базы для тарификации — premium и premium_wo_term — были защищены правилом принудительного сохранения (force_keep).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Методология агрегации мульти-субъектных рисков (Multi-driver Aggregation)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Наличие нескольких водителей в одном страховом полисе создает проблему трансформации индивидуальных предикторов (таких как SCORE_X_Y, стаж experience_year, класс bonus_malus) в единый вектор признаков полиса, пригодный для машинного обучения. Классическая актуарная практика и исследования в области телематического страхования предлагают несколько подходов к агрегации риска, каждый из которых имеет существенные ограничения.</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Первый подход — </w:t>
      </w:r>
      <w:r w:rsidDel="00000000" w:rsidR="00000000" w:rsidRPr="00000000">
        <w:rPr>
          <w:rFonts w:ascii="Google Sans" w:cs="Google Sans" w:eastAsia="Google Sans" w:hAnsi="Google Sans"/>
          <w:b w:val="1"/>
          <w:bCs w:val="1"/>
          <w:color w:val="1f1f1f"/>
          <w:rtl w:val="0"/>
        </w:rPr>
        <w:t xml:space="preserve">оценка по максимальному риску (Worst-driver approach / Max Risk)</w:t>
      </w:r>
      <w:r w:rsidDel="00000000" w:rsidR="00000000" w:rsidRPr="00000000">
        <w:rPr>
          <w:rFonts w:ascii="Google Sans" w:cs="Google Sans" w:eastAsia="Google Sans" w:hAnsi="Google Sans"/>
          <w:color w:val="1f1f1f"/>
          <w:rtl w:val="0"/>
        </w:rPr>
        <w:t xml:space="preserve">. В этой парадигме полису присваивается профиль водителя с наименьшим стажем, наихудшим классом бонус-малус или максимальными значениями штрафных баллов.</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Данный метод консервативен и надежно защищает страховщика от недооценки риска. Однако с точки зрения ценовой оптимизации он деструктивен: тариф завышается, что неизбежно ведет к оттоку клиентов и провалу бизнес-цели по максимизации Группы 1 (полисы со сниженной или сохраненной премией).</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Второй подход — </w:t>
      </w:r>
      <w:r w:rsidDel="00000000" w:rsidR="00000000" w:rsidRPr="00000000">
        <w:rPr>
          <w:rFonts w:ascii="Google Sans" w:cs="Google Sans" w:eastAsia="Google Sans" w:hAnsi="Google Sans"/>
          <w:b w:val="1"/>
          <w:bCs w:val="1"/>
          <w:color w:val="1f1f1f"/>
          <w:rtl w:val="0"/>
        </w:rPr>
        <w:t xml:space="preserve">наивное усреднение (Mean Risk)</w:t>
      </w:r>
      <w:r w:rsidDel="00000000" w:rsidR="00000000" w:rsidRPr="00000000">
        <w:rPr>
          <w:rFonts w:ascii="Google Sans" w:cs="Google Sans" w:eastAsia="Google Sans" w:hAnsi="Google Sans"/>
          <w:color w:val="1f1f1f"/>
          <w:rtl w:val="0"/>
        </w:rPr>
        <w:t xml:space="preserve">. Вычисление арифметического среднего всех предикторов по полису.</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Этот метод уязвим к манипуляциям со стороны клиентов. Часто молодой, высокорисковый водитель вписывает в полис возрастных родственников с идеальной историей вождения (которые фактически не управляют данным автомобилем), чтобы искусственно занизить средний риск и получить дешевый тариф.</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Использование среднего значения SCORE приведет к недополучению премии в Группе 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Третий, наиболее эффективный подход, применяемый в современных ML-архитектурах, заключается в </w:t>
      </w:r>
      <w:r w:rsidDel="00000000" w:rsidR="00000000" w:rsidRPr="00000000">
        <w:rPr>
          <w:rFonts w:ascii="Google Sans" w:cs="Google Sans" w:eastAsia="Google Sans" w:hAnsi="Google Sans"/>
          <w:b w:val="1"/>
          <w:bCs w:val="1"/>
          <w:color w:val="1f1f1f"/>
          <w:rtl w:val="0"/>
        </w:rPr>
        <w:t xml:space="preserve">создании нелинейных статистических агрегатов и метрик взаимодействия (Interaction Features)</w:t>
      </w:r>
      <w:r w:rsidDel="00000000" w:rsidR="00000000" w:rsidRPr="00000000">
        <w:rPr>
          <w:rFonts w:ascii="Google Sans" w:cs="Google Sans" w:eastAsia="Google Sans" w:hAnsi="Google Sans"/>
          <w:color w:val="1f1f1f"/>
          <w:rtl w:val="0"/>
        </w:rPr>
        <w:t xml:space="preserve">. Вместо выбора одной стратегии, пайплайн препроцессинга должен генерировать расширенный набор полисных признаков:</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Количество водителей в полисе (driver_count). Практика показывает, что зависимость убыточности от числа водителей нелинейна: добавление второго водителя может снижать удельный риск, но наличие трех и более лиц, допущенных к управлению, резко повышает частоту претензий.</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Минимальные, максимальные и средние значения стажа и возраста (min_experience_year, max_age, mean_bonus_malus).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Разрывы в характеристиках (Gaps): разница в возрасте между самым старшим и самым младшим водителем в полисе. Большой разрыв часто сигнализирует о паттерне "родитель-ребенок", который обладает специфической, высокой частотой мелких ДТП.</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Дисперсия или стандартное отклонение предиктора SCORE_4_X внутри одного полиса.</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Передача такого расширенного вектора агрегатов в алгоритм на базе деревьев решений (например, CatBoost) позволяет модели самостоятельно находить оптимальные разделения и оценивать истинный вклад каждого водителя через механизмы SHAP-взаимодействий, минуя жесткие параметрические ограничения классических GLM-моделей.</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Архитектура моделирования: Frequency-Severity против распределения Tweedie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Учитывая крайнюю несбалансированность данных (Claim rate 1.95%) и высокую волатильность сумм выплат, прямое прогнозирование чистой премии (Pure Premium) с помощью стандартных регрессионных моделей на базе среднеквадратичной ошибки (MSE) приводит к смещенным оценкам и сильному недопрогнозу в хвостах распределения.</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В актуарном машинном обучении доминируют два продвинутых подхода: независимое моделирование частоты и тяжести (Frequency-Severity) и совместное моделирование через составное распределение Твиди (Tweedie Compound Poisson).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Метод Frequency-Severity (Декомпозиция риска)</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Этот подход разделяет задачу прогнозирования ожидаемого убытка (</w:t>
      </w:r>
      <w:r w:rsidDel="00000000" w:rsidR="00000000" w:rsidRPr="00000000">
        <w:rPr>
          <w:rFonts w:ascii="Google Sans" w:cs="Google Sans" w:eastAsia="Google Sans" w:hAnsi="Google Sans"/>
          <w:color w:val="1f1f1f"/>
        </w:rPr>
        <w:drawing>
          <wp:inline distB="19050" distT="19050" distL="19050" distR="19050">
            <wp:extent cx="602218" cy="239343"/>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02218" cy="2393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на две независимые модели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Модель частоты (Claim Frequency):</w:t>
      </w:r>
      <w:r w:rsidDel="00000000" w:rsidR="00000000" w:rsidRPr="00000000">
        <w:rPr>
          <w:rFonts w:ascii="Google Sans" w:cs="Google Sans" w:eastAsia="Google Sans" w:hAnsi="Google Sans"/>
          <w:color w:val="1f1f1f"/>
          <w:rtl w:val="0"/>
        </w:rPr>
        <w:t xml:space="preserve"> Оценивает вероятность наступления страхового события. Математически это реализуется через регрессию Пуассона или отрицательную биномиальную регрессию (Negative Binomial) с логарифмической функцией связи (log-link).</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Критическим элементом является учет экспозиции (времени нахождения полиса под риском), что в градиентном бустинге реализуется через добавление смещения (offset), равного </w:t>
      </w:r>
      <w:r w:rsidDel="00000000" w:rsidR="00000000" w:rsidRPr="00000000">
        <w:rPr>
          <w:rFonts w:ascii="Google Sans" w:cs="Google Sans" w:eastAsia="Google Sans" w:hAnsi="Google Sans"/>
          <w:color w:val="1f1f1f"/>
        </w:rPr>
        <w:drawing>
          <wp:inline distB="19050" distT="19050" distL="19050" distR="19050">
            <wp:extent cx="1000839" cy="213920"/>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000839" cy="213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в базовый скор модели.</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Модель тяжести (Claim Severity):</w:t>
      </w:r>
      <w:r w:rsidDel="00000000" w:rsidR="00000000" w:rsidRPr="00000000">
        <w:rPr>
          <w:rFonts w:ascii="Google Sans" w:cs="Google Sans" w:eastAsia="Google Sans" w:hAnsi="Google Sans"/>
          <w:color w:val="1f1f1f"/>
          <w:rtl w:val="0"/>
        </w:rPr>
        <w:t xml:space="preserve"> Обучается исключительно на тех наблюдениях, где убыток превышает ноль. Традиционно используется Гамма-распределение, которое идеально подходит для непрерывных, строго положительных величин с тяжелым правым хвостом.</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Итоговая техническая премия вычисляется как произведение предсказаний двух моделей.</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Главное преимущество данного подхода заключается в интерпретируемости и возможности изолированного анализа факторов риска. Например, возраст водителя может сильно коррелировать с частотой мелких аварий, но при этом марка автомобиля будет являться главным драйвером тяжести (стоимости запчастей). Раздельное моделирование позволяет алгоритмам градиентного бустинга точнее настраивать архитектуру деревьев под специфику каждого распределения.</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Метод прямого моделирования Tweedie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Альтернативой выступает распределение Твиди, принадлежащее к семейству экспоненциальных дисперсионных моделей (EDM). Уникальность распределения Твиди с параметром дисперсии </w:t>
      </w:r>
      <w:r w:rsidDel="00000000" w:rsidR="00000000" w:rsidRPr="00000000">
        <w:rPr>
          <w:rFonts w:ascii="Google Sans" w:cs="Google Sans" w:eastAsia="Google Sans" w:hAnsi="Google Sans"/>
          <w:color w:val="1f1f1f"/>
        </w:rPr>
        <w:drawing>
          <wp:inline distB="19050" distT="19050" distL="19050" distR="19050">
            <wp:extent cx="728543" cy="237735"/>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728543" cy="2377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состоит в том, что оно описывает непрерывное распределение на положительной полуоси с точечной массой строго в нуле.</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Это математически точно описывает природу страховых выплат: большинство полисов имеют убыток равный нулю, а остальные распределены асимметрично.</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Несмотря на математическую элегантность распределения Твиди, позволяющую обучать одну модель вместо двух, эмпирические исследования и результаты бенчмарков текущего проекта отдают предпочтение парадигме Frequency-Severity. Раздельное моделирование демонстрирует более стабильное поведение градиентов при наличии экстремальных выбросов в суммах претензий.</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Превосходство градиентного бустинга (CatBoost)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рамках пайплайна реализован автоматизированный бенчмаркинг четырех архитектур: baseline_freq_sev, xgboost_freq_sev, lightgbm_freq_sev и catboost_freq_sev.</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Исторические метрики неопровержимо свидетельствуют о доминации алгоритма </w:t>
      </w:r>
      <w:r w:rsidDel="00000000" w:rsidR="00000000" w:rsidRPr="00000000">
        <w:rPr>
          <w:rFonts w:ascii="Google Sans" w:cs="Google Sans" w:eastAsia="Google Sans" w:hAnsi="Google Sans"/>
          <w:b w:val="1"/>
          <w:bCs w:val="1"/>
          <w:color w:val="1f1f1f"/>
          <w:rtl w:val="0"/>
        </w:rPr>
        <w:t xml:space="preserve">CatBoost</w:t>
      </w:r>
      <w:r w:rsidDel="00000000" w:rsidR="00000000" w:rsidRPr="00000000">
        <w:rPr>
          <w:rFonts w:ascii="Google Sans" w:cs="Google Sans" w:eastAsia="Google Sans" w:hAnsi="Google Sans"/>
          <w:color w:val="1f1f1f"/>
          <w:rtl w:val="0"/>
        </w:rPr>
        <w:t xml:space="preserve">, который стабильно побеждает в соревновании моделей.</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Лучший подтвержденный запуск на единичной отложенной выборке (Run ID: 20260303_091029) зафиксировал следующие метрики для победителя catboost_freq_sev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Policy Score:</w:t>
      </w:r>
      <w:r w:rsidDel="00000000" w:rsidR="00000000" w:rsidRPr="00000000">
        <w:rPr>
          <w:rFonts w:ascii="Google Sans" w:cs="Google Sans" w:eastAsia="Google Sans" w:hAnsi="Google Sans"/>
          <w:color w:val="1f1f1f"/>
          <w:rtl w:val="0"/>
        </w:rPr>
        <w:t xml:space="preserve"> 0.513335 (главная композитная бизнес-метрика).</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ROC-AUC:</w:t>
      </w:r>
      <w:r w:rsidDel="00000000" w:rsidR="00000000" w:rsidRPr="00000000">
        <w:rPr>
          <w:rFonts w:ascii="Google Sans" w:cs="Google Sans" w:eastAsia="Google Sans" w:hAnsi="Google Sans"/>
          <w:color w:val="1f1f1f"/>
          <w:rtl w:val="0"/>
        </w:rPr>
        <w:t xml:space="preserve"> 0.719006.</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Gini:</w:t>
      </w:r>
      <w:r w:rsidDel="00000000" w:rsidR="00000000" w:rsidRPr="00000000">
        <w:rPr>
          <w:rFonts w:ascii="Google Sans" w:cs="Google Sans" w:eastAsia="Google Sans" w:hAnsi="Google Sans"/>
          <w:color w:val="1f1f1f"/>
          <w:rtl w:val="0"/>
        </w:rPr>
        <w:t xml:space="preserve"> 0.438012.</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Итоговый Loss Ratio:</w:t>
      </w:r>
      <w:r w:rsidDel="00000000" w:rsidR="00000000" w:rsidRPr="00000000">
        <w:rPr>
          <w:rFonts w:ascii="Google Sans" w:cs="Google Sans" w:eastAsia="Google Sans" w:hAnsi="Google Sans"/>
          <w:color w:val="1f1f1f"/>
          <w:rtl w:val="0"/>
        </w:rPr>
        <w:t xml:space="preserve"> 0.6989 (идеальное попадание в целевой диапазон 0.69–0.71).</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Violations:</w:t>
      </w:r>
      <w:r w:rsidDel="00000000" w:rsidR="00000000" w:rsidRPr="00000000">
        <w:rPr>
          <w:rFonts w:ascii="Google Sans" w:cs="Google Sans" w:eastAsia="Google Sans" w:hAnsi="Google Sans"/>
          <w:color w:val="1f1f1f"/>
          <w:rtl w:val="0"/>
        </w:rPr>
        <w:t xml:space="preserve"> 0 (полное соблюдение ценовых ограничений).</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Технологическое превосходство CatBoost в задаче скоринга ОГПО объясняется его способностью нативно обрабатывать категориальные переменные. Датасет содержит высококардинальные признаки (такие как model, mark, ownerkato), для которых традиционное One-Hot кодирование (OHE) в XGBoost создает разреженные матрицы, ведущие к переобучению и взрыву размерности. LightGBM использует кодирование на основе градиентов, но склонен к переобучению на малых выборках узких категорий. CatBoost решает эту проблему через упорядоченное целевое кодирование (Ordered Target Encoding), вычисляя статистику по категории только на основе случайных перестановок исторических данных, предшествующих текущему наблюдению. Это радикально снижает риск утечки цели (target leakage).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Кроме того, построение симметричных (необливиозных) деревьев в CatBoost действует как мощный естественный регуляризатор, обеспечивая высокую скорость инференса и стабильность скоринга на шумных данных.</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Валидационные стратегии и проблема временно́го дрейфа</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предиктивном моделировании страховых рисков стандартная случайная кросс-валидация (K-Fold CV) методически ошибочна. Данные ОГПО обладают выраженной временной структурой: инфляция стоимости восстановительного ремонта, изменение климатических условий (сезонность), макроэкономические шоки и поведенческие сдвиги делают наблюдения хронологически зависимыми. Случайное перемешивание (shuffling) приводит к тому, что модель неявно заглядывает в будущее, обучаясь на паттернах декабря для предсказания январских убытков, что разрушает ее обобщающую способность в реальных условиях.</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гарантии надежности в проекте реализован строгий протокол group_time валидации, основанный на 5-кратном разбиении по времени (5-split time-based validation) с холдаутом, начинающимся с 22 сентября 2022 года.</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Модель признается успешной не по максимальному пиковому значению метрики на одном фолде, а по ее среднему значению и минимальной дисперсии. Лучший стабильный результат (Run ID: 20260302_062439) показал среднее значение mean_policy_score = 0.472403 при стандартном отклонении std_policy_score = 0.022659, достигнув 100% доли успешного прохождения бизнес-ограничений на всех временных срезах.</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достижения таких результатов процесс подбора гиперпараметров (Tuning) CatBoost переведен в специализированный режим objective_mode: stability_adjusted. Функция потерь при оптимизации модифицирована для штрафования за волатильность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9048"/>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05500" cy="43904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При установленном гиперпараметре stability_lambda = 0.35 алгоритм байесовской оптимизации отбраковывает нестабильные конфигурации, гарантируя, что внедряемая модель не приведет к финансовым провалам в отдельные месяцы. В ходе тюнингового эксперимента 20260303_050925 этот подход позволил достичь целевого значения stability_min_constraints_rate = 1.0 и stability_min_in_target_rate = 1.0 (полное отсутствие нарушений по всем фолдам).</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Анатомия провала эксперимента Drift Pruning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Стремление минимизировать дисперсию модели привело к проведению 3 марта 2026 года эксперимента с удалением нестабильных признаков (Drift Pruning). Гипотеза заключалась в том, что исключение предикторов, распределение которых сильно меняется во времени, повысит робастность модели.</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Мерой смещения служил Индекс стабильности популяции (Population Stability Index, PSI), который вычисляется путем сравнения распределений признака в базовом и тестовом периодах.</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Для эксперимента (Run ID: 20260303_105410) был установлен жесткий порог psi_threshold = 0.25.</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результате препроцессинга размерность пространства признаков сократилась с 209 до 161. Помимо 44 полных дубликатов и одной переменной с высокой долей пропусков (score_missing_share), алгоритм удалил три признака исключительно из-за превышения порога PSI:</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operation_date_sin_month (PSI: 10.7329)</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operation_date_month (PSI: 7.5728)</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operation_date_cos_month (PSI: 5.4732).</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Последствия этого отсечения оказались деструктивными. На единичной выборке policy_score рухнул до 0.445673. При проверке стабильности на 5 фолдах (Run ID: 20260303_113006) средний скор деградировал с 0.361351 до 0.329060, а стандартное отклонение (мера нестабильности) выросло с 0.145191 до 0.165433.</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Математическое обоснование неудачи:</w:t>
      </w:r>
      <w:r w:rsidDel="00000000" w:rsidR="00000000" w:rsidRPr="00000000">
        <w:rPr>
          <w:rFonts w:ascii="Google Sans" w:cs="Google Sans" w:eastAsia="Google Sans" w:hAnsi="Google Sans"/>
          <w:color w:val="1f1f1f"/>
          <w:rtl w:val="0"/>
        </w:rPr>
        <w:t xml:space="preserve"> Применение метрики PSI к периодическим временным функциям (синус и косинус месяца) является фундаментальной ошибкой. Если обучающая выборка охватывает летне-осенний период, а тестовая валидация проводится на зимне-весенних данных, распределение значений месяцев (и их тригонометрических проекций) кардинально меняется. Алгоритм расценивает это как масштабный дрейф данных (PSI &gt; 10), хотя фактически это естественная смена сезонов. Сезонность в автостраховании критически важна: зимой превалируют мелкие кузовные ДТП из-за гололеда (высокая частота, низкая тяжесть), летом возрастает доля тяжелых аварий из-за превышения скоростного режима. Удалив сезонные маркеры, алгоритм лишил CatBoost возможности адаптировать предсказания к времени года, что закономерно разрушило точность частотно-убыточной модели.</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Ценовая оптимизация (Pricing Optimization) и управление портфелем</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Получение точных оценок математического ожидания убытка (технической премии) с помощью ансамблей машинного обучения — это лишь первый этап. Трансформация этого чистого риска в финальный рыночный тариф требует применения математического аппарата ценовой оптимизации (Price Optimization).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Актуарная ценовая оптимизация определяется как интеграция традиционных моделей оценки риска с количественными моделями эластичности спроса и потребительского поведения для максимизации бизнес-целей в условиях жестких ограничений.</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В классической литературе целевая функция направлена на максимизацию маржинальной прибыли или удержания (Retention Rate) путем оценки вероятности конверсии </w:t>
      </w:r>
      <w:r w:rsidDel="00000000" w:rsidR="00000000" w:rsidRPr="00000000">
        <w:rPr>
          <w:rFonts w:ascii="Google Sans" w:cs="Google Sans" w:eastAsia="Google Sans" w:hAnsi="Google Sans"/>
          <w:color w:val="1f1f1f"/>
        </w:rPr>
        <w:drawing>
          <wp:inline distB="19050" distT="19050" distL="19050" distR="19050">
            <wp:extent cx="316349" cy="239191"/>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16349" cy="2391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при предложенной цене </w:t>
      </w:r>
      <w:r w:rsidDel="00000000" w:rsidR="00000000" w:rsidRPr="00000000">
        <w:rPr>
          <w:rFonts w:ascii="Google Sans" w:cs="Google Sans" w:eastAsia="Google Sans" w:hAnsi="Google Sans"/>
          <w:color w:val="1f1f1f"/>
        </w:rPr>
        <w:drawing>
          <wp:inline distB="19050" distT="19050" distL="19050" distR="19050">
            <wp:extent cx="92869" cy="239911"/>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92869" cy="2399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Специфика кейса Freedom Insurance смещает фокус оптимизации. Цель алгоритма (реализованного в модуле src/risk_case/pricing) — максимизировать кастомную метрику policy_score, которая поощряет:</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Приближение общего Loss Ratio к целевому таргету ~70%.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Балансировку убыточности между Группой 1 (полисы без повышения цены) и Группой 2 (полисы с повышением цены) на уровне 70%.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Максимальное увеличение численности Группы 1.</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Оптимизатор работает с полисной функцией, зависящей от скалярных гиперпараметров </w:t>
      </w:r>
      <w:r w:rsidDel="00000000" w:rsidR="00000000" w:rsidRPr="00000000">
        <w:rPr>
          <w:rFonts w:ascii="Google Sans" w:cs="Google Sans" w:eastAsia="Google Sans" w:hAnsi="Google Sans"/>
          <w:color w:val="1f1f1f"/>
        </w:rPr>
        <w:drawing>
          <wp:inline distB="19050" distT="19050" distL="19050" distR="19050">
            <wp:extent cx="118705" cy="245324"/>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18705" cy="2453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(базовый сдвиг или нагрузка) и </w:t>
      </w:r>
      <w:r w:rsidDel="00000000" w:rsidR="00000000" w:rsidRPr="00000000">
        <w:rPr>
          <w:rFonts w:ascii="Google Sans" w:cs="Google Sans" w:eastAsia="Google Sans" w:hAnsi="Google Sans"/>
          <w:color w:val="1f1f1f"/>
        </w:rPr>
        <w:drawing>
          <wp:inline distB="19050" distT="19050" distL="19050" distR="19050">
            <wp:extent cx="114062" cy="235728"/>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4062" cy="2357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(чувствительность или эластичность шкалы риска).</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Алгоритм реализует сеточный поиск (Grid Search) в непрерывном пространстве тарифов, решая систему нелинейных уравнений с жесткими ограничениями: ни одна премия не может упасть ниже 0 (скидка не более 100%) и не может вырасти более чем в 3 раза по сравнению с историческим значением.</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Чтобы достичь LR=70% в обеих группах, алгоритм вынужден применять стратегию перекрестного субсидирования (cross-subsidization). Поскольку исторические тарифы усредняли риск, высокорисковые водители оплачивали лишь часть своего реального математического ожидания убытка. Алгоритм применяет максимальный мультипликатор (</w:t>
      </w:r>
      <w:r w:rsidDel="00000000" w:rsidR="00000000" w:rsidRPr="00000000">
        <w:rPr>
          <w:rFonts w:ascii="Google Sans" w:cs="Google Sans" w:eastAsia="Google Sans" w:hAnsi="Google Sans"/>
          <w:color w:val="1f1f1f"/>
        </w:rPr>
        <w:drawing>
          <wp:inline distB="19050" distT="19050" distL="19050" distR="19050">
            <wp:extent cx="235744" cy="212930"/>
            <wp:effectExtent b="0" l="0" r="0" t="0"/>
            <wp:docPr id="1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к верхнему квантилю распределения риска, формируя Группу 2. Избыточная премия, собранная с Группы 2, компенсирует дефицит, позволяя алгоритму агрессивно снижать тарифы для низкорисковых водителей, тем самым искусственно расширяя Группу 1 в соответствии с бизнес-задачей. Любой выход за границы целевого коридора LR [0.69, 0.71] генерирует штрафы и обнуляет policy_score.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Конкретные следующие шаги и эксперименты для улучшения модели</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 целью преодоления текущего "потолка" точности (рекорд 0.5133 на холдауте и 0.4724 на кросс-валидации) и обеспечения абсолютной финансовой стабильности портфеля, предлагается внедрить следующий комплекс последовательных шагов и экспериментов:</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Шаг 1: Реструктуризация алгоритма препроцессинга и коррекция Drift Pruning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Первоочередной задачей является устранение деструктивных последствий неверно откалиброванного препроцессинга.</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Откат к стабильной конфигурации:</w:t>
      </w:r>
      <w:r w:rsidDel="00000000" w:rsidR="00000000" w:rsidRPr="00000000">
        <w:rPr>
          <w:rFonts w:ascii="Google Sans" w:cs="Google Sans" w:eastAsia="Google Sans" w:hAnsi="Google Sans"/>
          <w:color w:val="1f1f1f"/>
          <w:rtl w:val="0"/>
        </w:rPr>
        <w:t xml:space="preserve"> Необходимо немедленно восстановить параметры препроцессинга, использовавшиеся в наиболее стабильном запуске 20260302_062439.</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Интеллектуальная фильтрация PSI:</w:t>
      </w:r>
      <w:r w:rsidDel="00000000" w:rsidR="00000000" w:rsidRPr="00000000">
        <w:rPr>
          <w:rFonts w:ascii="Google Sans" w:cs="Google Sans" w:eastAsia="Google Sans" w:hAnsi="Google Sans"/>
          <w:color w:val="1f1f1f"/>
          <w:rtl w:val="0"/>
        </w:rPr>
        <w:t xml:space="preserve"> Функцию drift_pruning следует перевести в щадящий режим. Во-первых, порог psi_threshold необходимо повысить с агрессивного 0.25 до более консервативных значений (0.50 - 0.75). Во-вторых, необходимо внедрить "белый список" (Exception List) или маскирование признаков на базе регулярных выражений, чтобы запретить удаление любых тригонометрических и календарных фичей (таких как operation_date_sin_month, operation_date_cos_month, month), несущих жизненно важную для страхования сезонную компоненту.</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Шаг 2: Калибровка предсказанных вероятностей (Probability Calibration)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Древовидные ансамбли, включая CatBoost, оптимизирующие логистическую функцию потерь (log-loss), систематически искажают вероятностные оценки при сильном дисбалансе классов (claim rate 1.95%). Они демонстрируют избыточную самоуверенность, сжимая предсказания к среднему значению и недооценивая истинные риски в хвостах распределения.</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Эксперимент:</w:t>
      </w:r>
      <w:r w:rsidDel="00000000" w:rsidR="00000000" w:rsidRPr="00000000">
        <w:rPr>
          <w:rFonts w:ascii="Google Sans" w:cs="Google Sans" w:eastAsia="Google Sans" w:hAnsi="Google Sans"/>
          <w:color w:val="1f1f1f"/>
          <w:rtl w:val="0"/>
        </w:rPr>
        <w:t xml:space="preserve"> Внедрить пост-обработку вероятностей модели частоты (Frequency). Сравнить методы Платта (Platt Scaling) и Изотонической регрессии (Isotonic Regression). Поскольку объем обучающей выборки колоссален (&gt;560 тыс. строк), параметрические ограничения Platt Scaling не требуются. Изотоническая регрессия (неубывающая кусочно-постоянная функция) позволит идеально откалибровать предсказания </w:t>
      </w:r>
      <w:r w:rsidDel="00000000" w:rsidR="00000000" w:rsidRPr="00000000">
        <w:rPr>
          <w:rFonts w:ascii="Google Sans" w:cs="Google Sans" w:eastAsia="Google Sans" w:hAnsi="Google Sans"/>
          <w:color w:val="1f1f1f"/>
        </w:rPr>
        <w:drawing>
          <wp:inline distB="19050" distT="19050" distL="19050" distR="19050">
            <wp:extent cx="92869" cy="216694"/>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92869" cy="2166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к эмпирическим частотам </w:t>
      </w:r>
      <w:r w:rsidDel="00000000" w:rsidR="00000000" w:rsidRPr="00000000">
        <w:rPr>
          <w:rFonts w:ascii="Google Sans" w:cs="Google Sans" w:eastAsia="Google Sans" w:hAnsi="Google Sans"/>
          <w:color w:val="1f1f1f"/>
        </w:rPr>
        <w:drawing>
          <wp:inline distB="19050" distT="19050" distL="19050" distR="19050">
            <wp:extent cx="1307906" cy="237106"/>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307906" cy="2371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Идеально откалиброванные вероятности позволят алгоритму Price Optimization работать с истинным математическим ожиданием, минимизируя штрафы за отклонение LR.</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Шаг 3: Активация OOF Ансамблирования (Out-of-Fold Blending)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архитектуре пайплайна заложен кандидат oof_blend_freq_sev, который в данный момент отключен из дефолтного бенчмарка.</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Эксперимент:</w:t>
      </w:r>
      <w:r w:rsidDel="00000000" w:rsidR="00000000" w:rsidRPr="00000000">
        <w:rPr>
          <w:rFonts w:ascii="Google Sans" w:cs="Google Sans" w:eastAsia="Google Sans" w:hAnsi="Google Sans"/>
          <w:color w:val="1f1f1f"/>
          <w:rtl w:val="0"/>
        </w:rPr>
        <w:t xml:space="preserve"> Перевести oof_blend в активный режим. Провести стекинг предсказаний (Stacking) на базе CatBoost, XGBoost и LightGBM. Различные фреймворки используют принципиально разные стратегии роста деревьев (leaf-wise в LightGBM против level-wise/symmetric в CatBoost) и подходы к кодированию категорий.</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Объединение их прогнозов через простую гребневую регрессию (Ridge Regression) в качестве мета-модели позволит сгладить дисперсию ошибок индивидуальных моделей, что приведет к снижению показателя std_policy_score на 5-кратной кросс-валидации и повысит итоговую робастность.</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Шаг 4: Глубокая инженерия признаков полисного взаимодействия (Interaction Features)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Текущий пайплайн обрабатывает признаки SCORE_X_Y на уровне водителя, но не извлекает достаточной информации из структуры взаимосвязей внутри полиса.</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Эксперимент:</w:t>
      </w:r>
      <w:r w:rsidDel="00000000" w:rsidR="00000000" w:rsidRPr="00000000">
        <w:rPr>
          <w:rFonts w:ascii="Google Sans" w:cs="Google Sans" w:eastAsia="Google Sans" w:hAnsi="Google Sans"/>
          <w:color w:val="1f1f1f"/>
          <w:rtl w:val="0"/>
        </w:rPr>
        <w:t xml:space="preserve"> Разработать контекстные мета-признаки, агрегирующие данные на уровне contract_number. Вычислить дельту между индивидуальным предиктором водителя (например, SCORE_4_X) и средним (или медианным) значением этого предиктора по всем остальным водителям, вписанным в этот же полис.</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Если значение дельты велико, это сигнализирует о присутствии "слабого звена" (например, крайне рискованного новичка среди опытных водителей), что выступает мощным нелинейным предиктором наступления страхового случая, который бустинг не может извлечь из сырых строчных данных самостоятельно.</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Шаг 5: Кастомные функции потерь для обработки экстремальных убытков</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Текущая Гамма-регрессия для предсказания тяжести (Severity) чувствительна к экстремально большим выплатам (heavy-tailed outliers), которые могут сместить вектор градиентов всей модели.</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Аналогично, модель частоты игнорирует степень уверенности в сложно классифицируемых примерах.</w:t>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Эксперимент 1 (Focal Loss):</w:t>
      </w:r>
      <w:r w:rsidDel="00000000" w:rsidR="00000000" w:rsidRPr="00000000">
        <w:rPr>
          <w:rFonts w:ascii="Google Sans" w:cs="Google Sans" w:eastAsia="Google Sans" w:hAnsi="Google Sans"/>
          <w:color w:val="1f1f1f"/>
          <w:rtl w:val="0"/>
        </w:rPr>
        <w:t xml:space="preserve"> Внедрить фокальную функцию потерь (Focal Loss) с параметром фокусировки </w:t>
      </w:r>
      <w:r w:rsidDel="00000000" w:rsidR="00000000" w:rsidRPr="00000000">
        <w:rPr>
          <w:rFonts w:ascii="Google Sans" w:cs="Google Sans" w:eastAsia="Google Sans" w:hAnsi="Google Sans"/>
          <w:color w:val="1f1f1f"/>
        </w:rPr>
        <w:drawing>
          <wp:inline distB="19050" distT="19050" distL="19050" distR="19050">
            <wp:extent cx="105847" cy="252403"/>
            <wp:effectExtent b="0" l="0" r="0" t="0"/>
            <wp:docPr id="1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05847" cy="2524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для модели частоты. В отличие от стандартного log-loss, Focal Loss динамически масштабирует штрафы, уменьшая вес легко классифицируемых "нулевых" полисов (majority class) и концентрируя внимание градиентов на сложных, редких случаях ДТП (minority class).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Эксперимент 2 (Zero-Inflated Tweedie - ZIT):</w:t>
      </w:r>
      <w:r w:rsidDel="00000000" w:rsidR="00000000" w:rsidRPr="00000000">
        <w:rPr>
          <w:rFonts w:ascii="Google Sans" w:cs="Google Sans" w:eastAsia="Google Sans" w:hAnsi="Google Sans"/>
          <w:color w:val="1f1f1f"/>
          <w:rtl w:val="0"/>
        </w:rPr>
        <w:t xml:space="preserve"> В качестве параллельного бенчмарка протестировать интеграцию кастомной лосс-функции Zero-Inflated Tweedie для CatBoost. В отличие от классического Tweedie, ZIT моделирует вероятность инфляции нулей как прямую функцию от параметра среднего (</w:t>
      </w:r>
      <w:r w:rsidDel="00000000" w:rsidR="00000000" w:rsidRPr="00000000">
        <w:rPr>
          <w:rFonts w:ascii="Google Sans" w:cs="Google Sans" w:eastAsia="Google Sans" w:hAnsi="Google Sans"/>
          <w:color w:val="1f1f1f"/>
        </w:rPr>
        <w:drawing>
          <wp:inline distB="19050" distT="19050" distL="19050" distR="19050">
            <wp:extent cx="111204" cy="229822"/>
            <wp:effectExtent b="0" l="0" r="0" t="0"/>
            <wp:docPr id="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11204" cy="2298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Это позволяет осуществлять прямое (direct) моделирование "чистой премии" (Loss Cost) в один шаг, избегая эффекта мультипликативного накопления ошибок, характерного для перемножения моделей Frequency и Severity.</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Комплексное внедрение данных мероприятий — отказ от деструктивного прунинга, калибровка вероятностей, OOF ансамблирование и внедрение фокальных функций потерь — обеспечит максимизацию бизнес-метрики policy_score, гарантируя стабильное удержание портфельного Loss Ratio в коридоре 69-71% с максимальным расширением доли лояльных клиентов (Группа 1).</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Источники</w:t>
      </w:r>
    </w:p>
    <w:p w:rsidR="00000000" w:rsidDel="00000000" w:rsidP="00000000" w:rsidRDefault="00000000" w:rsidRPr="00000000" w14:paraId="0000006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Dataset_описание.xlsx</w:t>
      </w:r>
    </w:p>
    <w:p w:rsidR="00000000" w:rsidDel="00000000" w:rsidP="00000000" w:rsidRDefault="00000000" w:rsidRPr="00000000" w14:paraId="0000006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Imbalanced Learning for Insurance using Modified Loss Functions in Tree-Based Models, дата последнего обращения: марта 3, 2026, </w:t>
      </w:r>
      <w:hyperlink r:id="rId20">
        <w:r w:rsidDel="00000000" w:rsidR="00000000" w:rsidRPr="00000000">
          <w:rPr>
            <w:rFonts w:ascii="Google Sans" w:cs="Google Sans" w:eastAsia="Google Sans" w:hAnsi="Google Sans"/>
            <w:color w:val="0000ee"/>
            <w:sz w:val="24"/>
            <w:szCs w:val="24"/>
            <w:u w:val="single"/>
            <w:rtl w:val="0"/>
          </w:rPr>
          <w:t xml:space="preserve">https://insurancedatascience.org/downloads/London2023/Zhiyu_Quan.pdf</w:t>
        </w:r>
      </w:hyperlink>
      <w:r w:rsidDel="00000000" w:rsidR="00000000" w:rsidRPr="00000000">
        <w:rPr>
          <w:rtl w:val="0"/>
        </w:rPr>
      </w:r>
    </w:p>
    <w:p w:rsidR="00000000" w:rsidDel="00000000" w:rsidP="00000000" w:rsidRDefault="00000000" w:rsidRPr="00000000" w14:paraId="0000006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Aggregation and Diversification - Belk College of Business, дата последнего обращения: марта 3, 2026, </w:t>
      </w:r>
      <w:hyperlink r:id="rId21">
        <w:r w:rsidDel="00000000" w:rsidR="00000000" w:rsidRPr="00000000">
          <w:rPr>
            <w:rFonts w:ascii="Google Sans" w:cs="Google Sans" w:eastAsia="Google Sans" w:hAnsi="Google Sans"/>
            <w:color w:val="0000ee"/>
            <w:sz w:val="24"/>
            <w:szCs w:val="24"/>
            <w:u w:val="single"/>
            <w:rtl w:val="0"/>
          </w:rPr>
          <w:t xml:space="preserve">https://belkcollege.charlotte.edu/wp-content/uploads/sites/953/2023/12/Risk-Aggregation-and-Diversification.pdf</w:t>
        </w:r>
      </w:hyperlink>
      <w:r w:rsidDel="00000000" w:rsidR="00000000" w:rsidRPr="00000000">
        <w:rPr>
          <w:rtl w:val="0"/>
        </w:rPr>
      </w:r>
    </w:p>
    <w:p w:rsidR="00000000" w:rsidDel="00000000" w:rsidP="00000000" w:rsidRDefault="00000000" w:rsidRPr="00000000" w14:paraId="0000006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Predictive Modeling for Driver Insurance Premium Calculation Using Advanced Driver Assistance Systems and Contextual Information - Research Repository - University of Limerick, дата последнего обращения: марта 3, 2026, </w:t>
      </w:r>
      <w:hyperlink r:id="rId22">
        <w:r w:rsidDel="00000000" w:rsidR="00000000" w:rsidRPr="00000000">
          <w:rPr>
            <w:rFonts w:ascii="Google Sans" w:cs="Google Sans" w:eastAsia="Google Sans" w:hAnsi="Google Sans"/>
            <w:color w:val="0000ee"/>
            <w:sz w:val="24"/>
            <w:szCs w:val="24"/>
            <w:u w:val="single"/>
            <w:rtl w:val="0"/>
          </w:rPr>
          <w:t xml:space="preserve">https://researchrepository.ul.ie/bitstreams/10848aee-8803-471f-8a84-fd21e9e7b700/download</w:t>
        </w:r>
      </w:hyperlink>
      <w:r w:rsidDel="00000000" w:rsidR="00000000" w:rsidRPr="00000000">
        <w:rPr>
          <w:rtl w:val="0"/>
        </w:rPr>
      </w:r>
    </w:p>
    <w:p w:rsidR="00000000" w:rsidDel="00000000" w:rsidP="00000000" w:rsidRDefault="00000000" w:rsidRPr="00000000" w14:paraId="0000006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Risk Aggregation? - Metricstream, дата последнего обращения: марта 3, 2026, </w:t>
      </w:r>
      <w:hyperlink r:id="rId23">
        <w:r w:rsidDel="00000000" w:rsidR="00000000" w:rsidRPr="00000000">
          <w:rPr>
            <w:rFonts w:ascii="Google Sans" w:cs="Google Sans" w:eastAsia="Google Sans" w:hAnsi="Google Sans"/>
            <w:color w:val="0000ee"/>
            <w:sz w:val="24"/>
            <w:szCs w:val="24"/>
            <w:u w:val="single"/>
            <w:rtl w:val="0"/>
          </w:rPr>
          <w:t xml:space="preserve">https://www.metricstream.com/blog/art-and-science-of-risk-aggregation</w:t>
        </w:r>
      </w:hyperlink>
      <w:r w:rsidDel="00000000" w:rsidR="00000000" w:rsidRPr="00000000">
        <w:rPr>
          <w:rtl w:val="0"/>
        </w:rPr>
      </w:r>
    </w:p>
    <w:p w:rsidR="00000000" w:rsidDel="00000000" w:rsidP="00000000" w:rsidRDefault="00000000" w:rsidRPr="00000000" w14:paraId="0000006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DRIVE risk score. - Fleet management, дата последнего обращения: марта 3, 2026, </w:t>
      </w:r>
      <w:hyperlink r:id="rId24">
        <w:r w:rsidDel="00000000" w:rsidR="00000000" w:rsidRPr="00000000">
          <w:rPr>
            <w:rFonts w:ascii="Google Sans" w:cs="Google Sans" w:eastAsia="Google Sans" w:hAnsi="Google Sans"/>
            <w:color w:val="0000ee"/>
            <w:sz w:val="24"/>
            <w:szCs w:val="24"/>
            <w:u w:val="single"/>
            <w:rtl w:val="0"/>
          </w:rPr>
          <w:t xml:space="preserve">https://gomotive.com/wp-content/uploads/2023/03/drive_risk_score_guide.pdf</w:t>
        </w:r>
      </w:hyperlink>
      <w:r w:rsidDel="00000000" w:rsidR="00000000" w:rsidRPr="00000000">
        <w:rPr>
          <w:rtl w:val="0"/>
        </w:rPr>
      </w:r>
    </w:p>
    <w:p w:rsidR="00000000" w:rsidDel="00000000" w:rsidP="00000000" w:rsidRDefault="00000000" w:rsidRPr="00000000" w14:paraId="0000006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Multiple Drivers Affect the Cost of Commercial Auto Insurance? - Scautub Agency, дата последнего обращения: марта 3, 2026, </w:t>
      </w:r>
      <w:hyperlink r:id="rId25">
        <w:r w:rsidDel="00000000" w:rsidR="00000000" w:rsidRPr="00000000">
          <w:rPr>
            <w:rFonts w:ascii="Google Sans" w:cs="Google Sans" w:eastAsia="Google Sans" w:hAnsi="Google Sans"/>
            <w:color w:val="0000ee"/>
            <w:sz w:val="24"/>
            <w:szCs w:val="24"/>
            <w:u w:val="single"/>
            <w:rtl w:val="0"/>
          </w:rPr>
          <w:t xml:space="preserve">https://www.scautub.com/multiple-drivers-affect-commercial-auto-insurance-cost/</w:t>
        </w:r>
      </w:hyperlink>
      <w:r w:rsidDel="00000000" w:rsidR="00000000" w:rsidRPr="00000000">
        <w:rPr>
          <w:rtl w:val="0"/>
        </w:rPr>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aggregation in insurance - Chalmers Publication Library, дата последнего обращения: марта 3, 2026, </w:t>
      </w:r>
      <w:hyperlink r:id="rId26">
        <w:r w:rsidDel="00000000" w:rsidR="00000000" w:rsidRPr="00000000">
          <w:rPr>
            <w:rFonts w:ascii="Google Sans" w:cs="Google Sans" w:eastAsia="Google Sans" w:hAnsi="Google Sans"/>
            <w:color w:val="0000ee"/>
            <w:sz w:val="24"/>
            <w:szCs w:val="24"/>
            <w:u w:val="single"/>
            <w:rtl w:val="0"/>
          </w:rPr>
          <w:t xml:space="preserve">https://publications.lib.chalmers.se/records/fulltext/173913/173913.pdf</w:t>
        </w:r>
      </w:hyperlink>
      <w:r w:rsidDel="00000000" w:rsidR="00000000" w:rsidRPr="00000000">
        <w:rPr>
          <w:rtl w:val="0"/>
        </w:rPr>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Insurance Capital Adequacy Test (2025) – Chapter 11 Aggregation and Diversification of Risks - Office of the Superintendent of Financial Institutions - OSFI, дата последнего обращения: марта 3, 2026, </w:t>
      </w:r>
      <w:hyperlink r:id="rId27">
        <w:r w:rsidDel="00000000" w:rsidR="00000000" w:rsidRPr="00000000">
          <w:rPr>
            <w:rFonts w:ascii="Google Sans" w:cs="Google Sans" w:eastAsia="Google Sans" w:hAnsi="Google Sans"/>
            <w:color w:val="0000ee"/>
            <w:sz w:val="24"/>
            <w:szCs w:val="24"/>
            <w:u w:val="single"/>
            <w:rtl w:val="0"/>
          </w:rPr>
          <w:t xml:space="preserve">https://www.osfi-bsif.gc.ca/en/guidance/guidance-library/life-insurance-capital-adequacy-test-2025-chapter-11-aggregation-diversification-risks</w:t>
        </w:r>
      </w:hyperlink>
      <w:r w:rsidDel="00000000" w:rsidR="00000000" w:rsidRPr="00000000">
        <w:rPr>
          <w:rtl w:val="0"/>
        </w:rPr>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Interpretation Methods for Black-Box Machine Learning Models in Insurance Rating-Type Applications - SAS Support, дата последнего обращения: марта 3, 2026, </w:t>
      </w:r>
      <w:hyperlink r:id="rId28">
        <w:r w:rsidDel="00000000" w:rsidR="00000000" w:rsidRPr="00000000">
          <w:rPr>
            <w:rFonts w:ascii="Google Sans" w:cs="Google Sans" w:eastAsia="Google Sans" w:hAnsi="Google Sans"/>
            <w:color w:val="0000ee"/>
            <w:sz w:val="24"/>
            <w:szCs w:val="24"/>
            <w:u w:val="single"/>
            <w:rtl w:val="0"/>
          </w:rPr>
          <w:t xml:space="preserve">https://support.sas.com/resources/papers/proceedings20/5116-2020.pdf</w:t>
        </w:r>
      </w:hyperlink>
      <w:r w:rsidDel="00000000" w:rsidR="00000000" w:rsidRPr="00000000">
        <w:rPr>
          <w:rtl w:val="0"/>
        </w:rPr>
      </w:r>
    </w:p>
    <w:p w:rsidR="00000000" w:rsidDel="00000000" w:rsidP="00000000" w:rsidRDefault="00000000" w:rsidRPr="00000000" w14:paraId="0000006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Feature Interaction – Interpretable Machine Learning, дата последнего обращения: марта 3, 2026, </w:t>
      </w:r>
      <w:hyperlink r:id="rId29">
        <w:r w:rsidDel="00000000" w:rsidR="00000000" w:rsidRPr="00000000">
          <w:rPr>
            <w:rFonts w:ascii="Google Sans" w:cs="Google Sans" w:eastAsia="Google Sans" w:hAnsi="Google Sans"/>
            <w:color w:val="0000ee"/>
            <w:sz w:val="24"/>
            <w:szCs w:val="24"/>
            <w:u w:val="single"/>
            <w:rtl w:val="0"/>
          </w:rPr>
          <w:t xml:space="preserve">https://christophm.github.io/interpretable-ml-book/interaction.html</w:t>
        </w:r>
      </w:hyperlink>
      <w:r w:rsidDel="00000000" w:rsidR="00000000" w:rsidRPr="00000000">
        <w:rPr>
          <w:rtl w:val="0"/>
        </w:rPr>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Predictive Modeling for Driver Insurance Premium Calculation Using Advanced Driver Assistance Systems and Contextual Information - IEEE Xplore, дата последнего обращения: марта 3, 2026, </w:t>
      </w:r>
      <w:hyperlink r:id="rId30">
        <w:r w:rsidDel="00000000" w:rsidR="00000000" w:rsidRPr="00000000">
          <w:rPr>
            <w:rFonts w:ascii="Google Sans" w:cs="Google Sans" w:eastAsia="Google Sans" w:hAnsi="Google Sans"/>
            <w:color w:val="0000ee"/>
            <w:sz w:val="24"/>
            <w:szCs w:val="24"/>
            <w:u w:val="single"/>
            <w:rtl w:val="0"/>
          </w:rPr>
          <w:t xml:space="preserve">https://ieeexplore.ieee.org/iel8/6979/10871168/10834470.pdf</w:t>
        </w:r>
      </w:hyperlink>
      <w:r w:rsidDel="00000000" w:rsidR="00000000" w:rsidRPr="00000000">
        <w:rPr>
          <w:rtl w:val="0"/>
        </w:rPr>
      </w:r>
    </w:p>
    <w:p w:rsidR="00000000" w:rsidDel="00000000" w:rsidP="00000000" w:rsidRDefault="00000000" w:rsidRPr="00000000" w14:paraId="0000007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for Insurance Risk: An End-to-End Claim Severity Modeling Case Study | by Omkar Gawade | Feb, 2026 | Medium, дата последнего обращения: марта 3, 2026, </w:t>
      </w:r>
      <w:hyperlink r:id="rId31">
        <w:r w:rsidDel="00000000" w:rsidR="00000000" w:rsidRPr="00000000">
          <w:rPr>
            <w:rFonts w:ascii="Google Sans" w:cs="Google Sans" w:eastAsia="Google Sans" w:hAnsi="Google Sans"/>
            <w:color w:val="0000ee"/>
            <w:sz w:val="24"/>
            <w:szCs w:val="24"/>
            <w:u w:val="single"/>
            <w:rtl w:val="0"/>
          </w:rPr>
          <w:t xml:space="preserve">https://medium.com/@omkargawade/machine-learning-for-insurance-risk-an-end-to-end-claim-severity-modeling-case-study-a265acc04275</w:t>
        </w:r>
      </w:hyperlink>
      <w:r w:rsidDel="00000000" w:rsidR="00000000" w:rsidRPr="00000000">
        <w:rPr>
          <w:rtl w:val="0"/>
        </w:rPr>
      </w:r>
    </w:p>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Strategies for Predicting and Managing Auto Insurance Claims using Machine Learning Models - ResearchGate, дата последнего обращения: марта 3,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https://www.researchgate.net/publication/395712028_Advanced_Strategies_for_Predicting_and_Managing_Auto_Insurance_Claims_using_Machine_Learning_Models</w:t>
        </w:r>
      </w:hyperlink>
      <w:r w:rsidDel="00000000" w:rsidR="00000000" w:rsidRPr="00000000">
        <w:rPr>
          <w:rtl w:val="0"/>
        </w:rPr>
      </w:r>
    </w:p>
    <w:p w:rsidR="00000000" w:rsidDel="00000000" w:rsidP="00000000" w:rsidRDefault="00000000" w:rsidRPr="00000000" w14:paraId="0000007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Tweedie vs Poisson * Gamma - Simon's snippets, дата последнего обращения: марта 3, 2026, </w:t>
      </w:r>
      <w:hyperlink r:id="rId33">
        <w:r w:rsidDel="00000000" w:rsidR="00000000" w:rsidRPr="00000000">
          <w:rPr>
            <w:rFonts w:ascii="Google Sans" w:cs="Google Sans" w:eastAsia="Google Sans" w:hAnsi="Google Sans"/>
            <w:color w:val="0000ee"/>
            <w:sz w:val="24"/>
            <w:szCs w:val="24"/>
            <w:u w:val="single"/>
            <w:rtl w:val="0"/>
          </w:rPr>
          <w:t xml:space="preserve">https://old.simoncoulombe.com/2020/03/tweedie-vs-poisson-gamma/</w:t>
        </w:r>
      </w:hyperlink>
      <w:r w:rsidDel="00000000" w:rsidR="00000000" w:rsidRPr="00000000">
        <w:rPr>
          <w:rtl w:val="0"/>
        </w:rPr>
      </w:r>
    </w:p>
    <w:p w:rsidR="00000000" w:rsidDel="00000000" w:rsidP="00000000" w:rsidRDefault="00000000" w:rsidRPr="00000000" w14:paraId="0000007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Machine Learning: Alternative Methods for Insurance Pricing – Poisson-Gamma GLM's, Tweedie GLM's and Artificial Neural Networks, дата последнего обращения: марта 3, 2026, </w:t>
      </w:r>
      <w:hyperlink r:id="rId34">
        <w:r w:rsidDel="00000000" w:rsidR="00000000" w:rsidRPr="00000000">
          <w:rPr>
            <w:rFonts w:ascii="Google Sans" w:cs="Google Sans" w:eastAsia="Google Sans" w:hAnsi="Google Sans"/>
            <w:color w:val="0000ee"/>
            <w:sz w:val="24"/>
            <w:szCs w:val="24"/>
            <w:u w:val="single"/>
            <w:rtl w:val="0"/>
          </w:rPr>
          <w:t xml:space="preserve">https://www.actuaries.org.uk/system/files/field/document/F7%20Navarun%20Jain.pdf</w:t>
        </w:r>
      </w:hyperlink>
      <w:r w:rsidDel="00000000" w:rsidR="00000000" w:rsidRPr="00000000">
        <w:rPr>
          <w:rtl w:val="0"/>
        </w:rPr>
      </w:r>
    </w:p>
    <w:p w:rsidR="00000000" w:rsidDel="00000000" w:rsidP="00000000" w:rsidRDefault="00000000" w:rsidRPr="00000000" w14:paraId="0000007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GLM, Neural Nets and XGBoost for Insurance Pricing - Kaggle, дата последнего обращения: марта 3, 2026, </w:t>
      </w:r>
      <w:hyperlink r:id="rId35">
        <w:r w:rsidDel="00000000" w:rsidR="00000000" w:rsidRPr="00000000">
          <w:rPr>
            <w:rFonts w:ascii="Google Sans" w:cs="Google Sans" w:eastAsia="Google Sans" w:hAnsi="Google Sans"/>
            <w:color w:val="0000ee"/>
            <w:sz w:val="24"/>
            <w:szCs w:val="24"/>
            <w:u w:val="single"/>
            <w:rtl w:val="0"/>
          </w:rPr>
          <w:t xml:space="preserve">https://www.kaggle.com/code/floser/glm-neural-nets-and-xgboost-for-insurance-pricing</w:t>
        </w:r>
      </w:hyperlink>
      <w:r w:rsidDel="00000000" w:rsidR="00000000" w:rsidRPr="00000000">
        <w:rPr>
          <w:rtl w:val="0"/>
        </w:rPr>
      </w:r>
    </w:p>
    <w:p w:rsidR="00000000" w:rsidDel="00000000" w:rsidP="00000000" w:rsidRDefault="00000000" w:rsidRPr="00000000" w14:paraId="0000007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Tweedie regression on insurance claims - Scikit-learn, дата последнего обращения: марта 3, 2026, </w:t>
      </w:r>
      <w:hyperlink r:id="rId36">
        <w:r w:rsidDel="00000000" w:rsidR="00000000" w:rsidRPr="00000000">
          <w:rPr>
            <w:rFonts w:ascii="Google Sans" w:cs="Google Sans" w:eastAsia="Google Sans" w:hAnsi="Google Sans"/>
            <w:color w:val="0000ee"/>
            <w:sz w:val="24"/>
            <w:szCs w:val="24"/>
            <w:u w:val="single"/>
            <w:rtl w:val="0"/>
          </w:rPr>
          <w:t xml:space="preserve">https://scikit-learn.org/stable/auto_examples/linear_model/plot_tweedie_regression_insurance_claims.html</w:t>
        </w:r>
      </w:hyperlink>
      <w:r w:rsidDel="00000000" w:rsidR="00000000" w:rsidRPr="00000000">
        <w:rPr>
          <w:rtl w:val="0"/>
        </w:rPr>
      </w:r>
    </w:p>
    <w:p w:rsidR="00000000" w:rsidDel="00000000" w:rsidP="00000000" w:rsidRDefault="00000000" w:rsidRPr="00000000" w14:paraId="0000007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Modelling Insurance Claims Data Using the Tweedie Approach | by Warda Rahim | Medium, дата последнего обращения: марта 3, 2026, </w:t>
      </w:r>
      <w:hyperlink r:id="rId37">
        <w:r w:rsidDel="00000000" w:rsidR="00000000" w:rsidRPr="00000000">
          <w:rPr>
            <w:rFonts w:ascii="Google Sans" w:cs="Google Sans" w:eastAsia="Google Sans" w:hAnsi="Google Sans"/>
            <w:color w:val="0000ee"/>
            <w:sz w:val="24"/>
            <w:szCs w:val="24"/>
            <w:u w:val="single"/>
            <w:rtl w:val="0"/>
          </w:rPr>
          <w:t xml:space="preserve">https://medium.com/@wardarahim25/modelling-insurance-claims-data-using-the-tweedie-approach-94db8b14bfb5</w:t>
        </w:r>
      </w:hyperlink>
      <w:r w:rsidDel="00000000" w:rsidR="00000000" w:rsidRPr="00000000">
        <w:rPr>
          <w:rtl w:val="0"/>
        </w:rPr>
      </w:r>
    </w:p>
    <w:p w:rsidR="00000000" w:rsidDel="00000000" w:rsidP="00000000" w:rsidRDefault="00000000" w:rsidRPr="00000000" w14:paraId="0000007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Modelling Motor Insurance Claim Frequency and Severity Using Gradient Boosting - MDPI, дата последнего обращения: марта 3, 2026, </w:t>
      </w:r>
      <w:hyperlink r:id="rId38">
        <w:r w:rsidDel="00000000" w:rsidR="00000000" w:rsidRPr="00000000">
          <w:rPr>
            <w:rFonts w:ascii="Google Sans" w:cs="Google Sans" w:eastAsia="Google Sans" w:hAnsi="Google Sans"/>
            <w:color w:val="0000ee"/>
            <w:sz w:val="24"/>
            <w:szCs w:val="24"/>
            <w:u w:val="single"/>
            <w:rtl w:val="0"/>
          </w:rPr>
          <w:t xml:space="preserve">https://www.mdpi.com/2227-9091/11/9/163</w:t>
        </w:r>
      </w:hyperlink>
      <w:r w:rsidDel="00000000" w:rsidR="00000000" w:rsidRPr="00000000">
        <w:rPr>
          <w:rtl w:val="0"/>
        </w:rPr>
      </w:r>
    </w:p>
    <w:p w:rsidR="00000000" w:rsidDel="00000000" w:rsidP="00000000" w:rsidRDefault="00000000" w:rsidRPr="00000000" w14:paraId="0000007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point to probabilistic gradient boosting for claim frequency and severity prediction - PMC, дата последнего обращения: марта 3,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https://pmc.ncbi.nlm.nih.gov/articles/PMC12575580/</w:t>
        </w:r>
      </w:hyperlink>
      <w:r w:rsidDel="00000000" w:rsidR="00000000" w:rsidRPr="00000000">
        <w:rPr>
          <w:rtl w:val="0"/>
        </w:rPr>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GENERALIZED LINEAR MODELS FOR INSURANCE RATING Second Edition (2025 revision) - Casualty Actuarial Society, дата последнего обращения: марта 3, 2026, </w:t>
      </w:r>
      <w:hyperlink r:id="rId40">
        <w:r w:rsidDel="00000000" w:rsidR="00000000" w:rsidRPr="00000000">
          <w:rPr>
            <w:rFonts w:ascii="Google Sans" w:cs="Google Sans" w:eastAsia="Google Sans" w:hAnsi="Google Sans"/>
            <w:color w:val="0000ee"/>
            <w:sz w:val="24"/>
            <w:szCs w:val="24"/>
            <w:u w:val="single"/>
            <w:rtl w:val="0"/>
          </w:rPr>
          <w:t xml:space="preserve">https://www.casact.org/sites/default/files/2021-01/05-Goldburd-Khare-Tevet.pdf</w:t>
        </w:r>
      </w:hyperlink>
      <w:r w:rsidDel="00000000" w:rsidR="00000000" w:rsidRPr="00000000">
        <w:rPr>
          <w:rtl w:val="0"/>
        </w:rPr>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neural network-based frequency and severity model for insurance claims - arXiv.org, дата последнего обращения: марта 3, 2026, </w:t>
      </w:r>
      <w:hyperlink r:id="rId41">
        <w:r w:rsidDel="00000000" w:rsidR="00000000" w:rsidRPr="00000000">
          <w:rPr>
            <w:rFonts w:ascii="Google Sans" w:cs="Google Sans" w:eastAsia="Google Sans" w:hAnsi="Google Sans"/>
            <w:color w:val="0000ee"/>
            <w:sz w:val="24"/>
            <w:szCs w:val="24"/>
            <w:u w:val="single"/>
            <w:rtl w:val="0"/>
          </w:rPr>
          <w:t xml:space="preserve">https://arxiv.org/html/2106.10770v2</w:t>
        </w:r>
      </w:hyperlink>
      <w:r w:rsidDel="00000000" w:rsidR="00000000" w:rsidRPr="00000000">
        <w:rPr>
          <w:rtl w:val="0"/>
        </w:rPr>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and Comparison of Machine Learning and Traditional Methods to Insurance Pricing in Scarce Data Environments - SCOR, дата последнего обращения: марта 3, 2026, </w:t>
      </w:r>
      <w:hyperlink r:id="rId42">
        <w:r w:rsidDel="00000000" w:rsidR="00000000" w:rsidRPr="00000000">
          <w:rPr>
            <w:rFonts w:ascii="Google Sans" w:cs="Google Sans" w:eastAsia="Google Sans" w:hAnsi="Google Sans"/>
            <w:color w:val="0000ee"/>
            <w:sz w:val="24"/>
            <w:szCs w:val="24"/>
            <w:u w:val="single"/>
            <w:rtl w:val="0"/>
          </w:rPr>
          <w:t xml:space="preserve">https://www.scor.com/download/file?token=def50200ca467e31a8c5cc98c81e836de1f93f61d3faccbc1329d81e8ac50bbf62d1a309d7a8aaa986d0683abc22afdff53098ea7802757c127c17a82db7e78e21656bb5dae30156db1202795e0c45d99c58c85596cc473828fde5da49fa773fa649fbd6a9772f3e4f5774f834b43f2a3238aaa40520e18c7c7793618380ca003751bf8e6c</w:t>
        </w:r>
      </w:hyperlink>
      <w:r w:rsidDel="00000000" w:rsidR="00000000" w:rsidRPr="00000000">
        <w:rPr>
          <w:rtl w:val="0"/>
        </w:rPr>
      </w:r>
    </w:p>
    <w:p w:rsidR="00000000" w:rsidDel="00000000" w:rsidP="00000000" w:rsidRDefault="00000000" w:rsidRPr="00000000" w14:paraId="0000007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Insurance Risk Pricing — Tweedie Approach | by Ajay Tiwari | TDS Archive | Medium, дата последнего обращения: марта 3, 2026, </w:t>
      </w:r>
      <w:hyperlink r:id="rId43">
        <w:r w:rsidDel="00000000" w:rsidR="00000000" w:rsidRPr="00000000">
          <w:rPr>
            <w:rFonts w:ascii="Google Sans" w:cs="Google Sans" w:eastAsia="Google Sans" w:hAnsi="Google Sans"/>
            <w:color w:val="0000ee"/>
            <w:sz w:val="24"/>
            <w:szCs w:val="24"/>
            <w:u w:val="single"/>
            <w:rtl w:val="0"/>
          </w:rPr>
          <w:t xml:space="preserve">https://medium.com/data-science/insurance-risk-pricing-tweedie-approach-1d71207268fc</w:t>
        </w:r>
      </w:hyperlink>
      <w:r w:rsidDel="00000000" w:rsidR="00000000" w:rsidRPr="00000000">
        <w:rPr>
          <w:rtl w:val="0"/>
        </w:rPr>
      </w:r>
    </w:p>
    <w:p w:rsidR="00000000" w:rsidDel="00000000" w:rsidP="00000000" w:rsidRDefault="00000000" w:rsidRPr="00000000" w14:paraId="0000007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Optimized Feature Selection and Advanced Machine Learning for Stroke Risk Prediction in Revascularized Coronary Artery Disease P - medRxiv.org, дата последнего обращения: марта 3, 2026, </w:t>
      </w:r>
      <w:hyperlink r:id="rId44">
        <w:r w:rsidDel="00000000" w:rsidR="00000000" w:rsidRPr="00000000">
          <w:rPr>
            <w:rFonts w:ascii="Google Sans" w:cs="Google Sans" w:eastAsia="Google Sans" w:hAnsi="Google Sans"/>
            <w:color w:val="0000ee"/>
            <w:sz w:val="24"/>
            <w:szCs w:val="24"/>
            <w:u w:val="single"/>
            <w:rtl w:val="0"/>
          </w:rPr>
          <w:t xml:space="preserve">https://www.medrxiv.org/content/10.1101/2025.03.14.25324005v1.full.pdf</w:t>
        </w:r>
      </w:hyperlink>
      <w:r w:rsidDel="00000000" w:rsidR="00000000" w:rsidRPr="00000000">
        <w:rPr>
          <w:rtl w:val="0"/>
        </w:rPr>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CatBoost for big data: an interdisciplinary review - PMC, дата последнего обращения: марта 3, 2026,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https://pmc.ncbi.nlm.nih.gov/articles/PMC7610170/</w:t>
        </w:r>
      </w:hyperlink>
      <w:r w:rsidDel="00000000" w:rsidR="00000000" w:rsidRPr="00000000">
        <w:rPr>
          <w:rtl w:val="0"/>
        </w:rPr>
      </w:r>
    </w:p>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Zero-Inflated Tweedie Boosted Trees with CatBoost for Insurance Loss Analytics - arXiv, дата последнего обращения: марта 3, 2026, </w:t>
      </w:r>
      <w:hyperlink r:id="rId46">
        <w:r w:rsidDel="00000000" w:rsidR="00000000" w:rsidRPr="00000000">
          <w:rPr>
            <w:rFonts w:ascii="Google Sans" w:cs="Google Sans" w:eastAsia="Google Sans" w:hAnsi="Google Sans"/>
            <w:color w:val="0000ee"/>
            <w:sz w:val="24"/>
            <w:szCs w:val="24"/>
            <w:u w:val="single"/>
            <w:rtl w:val="0"/>
          </w:rPr>
          <w:t xml:space="preserve">https://arxiv.org/html/2406.16206v2</w:t>
        </w:r>
      </w:hyperlink>
      <w:r w:rsidDel="00000000" w:rsidR="00000000" w:rsidRPr="00000000">
        <w:rPr>
          <w:rtl w:val="0"/>
        </w:rPr>
      </w:r>
    </w:p>
    <w:p w:rsidR="00000000" w:rsidDel="00000000" w:rsidP="00000000" w:rsidRDefault="00000000" w:rsidRPr="00000000" w14:paraId="0000008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Study of XGBoost, LightGBM, and CatBoost Models for Customer Churn Prediction in the Banking Industry - ResearchGate, дата последнего обращения: марта 3,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https://www.researchgate.net/publication/397440582_A_Comparative_Study_of_XGBoost_LightGBM_and_CatBoost_Models_for_Customer_Churn_Prediction_in_the_Banking_Industry</w:t>
        </w:r>
      </w:hyperlink>
      <w:r w:rsidDel="00000000" w:rsidR="00000000" w:rsidRPr="00000000">
        <w:rPr>
          <w:rtl w:val="0"/>
        </w:rPr>
      </w:r>
    </w:p>
    <w:p w:rsidR="00000000" w:rsidDel="00000000" w:rsidP="00000000" w:rsidRDefault="00000000" w:rsidRPr="00000000" w14:paraId="0000008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Hyperparameter Tuning of Random Forest and CatBoost on Complex and Imbalanced Real-world Datasets - Pertanika Journal, дата последнего обращения: марта 3, 2026, </w:t>
      </w:r>
      <w:hyperlink r:id="rId48">
        <w:r w:rsidDel="00000000" w:rsidR="00000000" w:rsidRPr="00000000">
          <w:rPr>
            <w:rFonts w:ascii="Google Sans" w:cs="Google Sans" w:eastAsia="Google Sans" w:hAnsi="Google Sans"/>
            <w:color w:val="0000ee"/>
            <w:sz w:val="24"/>
            <w:szCs w:val="24"/>
            <w:u w:val="single"/>
            <w:rtl w:val="0"/>
          </w:rPr>
          <w:t xml:space="preserve">http://www.pertanika.upm.edu.my/resources/files/Pertanika%20PAPERS/JST%20Vol.%2034%20(1)%20Feb.%202026/13%20JST-5709-2024.pdf</w:t>
        </w:r>
      </w:hyperlink>
      <w:r w:rsidDel="00000000" w:rsidR="00000000" w:rsidRPr="00000000">
        <w:rPr>
          <w:rtl w:val="0"/>
        </w:rPr>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k-fold cross-validation for time-series model selection, дата последнего обращения: марта 3, 2026, </w:t>
      </w:r>
      <w:hyperlink r:id="rId49">
        <w:r w:rsidDel="00000000" w:rsidR="00000000" w:rsidRPr="00000000">
          <w:rPr>
            <w:rFonts w:ascii="Google Sans" w:cs="Google Sans" w:eastAsia="Google Sans" w:hAnsi="Google Sans"/>
            <w:color w:val="0000ee"/>
            <w:sz w:val="24"/>
            <w:szCs w:val="24"/>
            <w:u w:val="single"/>
            <w:rtl w:val="0"/>
          </w:rPr>
          <w:t xml:space="preserve">https://stats.stackexchange.com/questions/14099/using-k-fold-cross-validation-for-time-series-model-selection</w:t>
        </w:r>
      </w:hyperlink>
      <w:r w:rsidDel="00000000" w:rsidR="00000000" w:rsidRPr="00000000">
        <w:rPr>
          <w:rtl w:val="0"/>
        </w:rPr>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Cross-Validation in Time Series - Medium, дата последнего обращения: марта 3, 2026, </w:t>
      </w:r>
      <w:hyperlink r:id="rId50">
        <w:r w:rsidDel="00000000" w:rsidR="00000000" w:rsidRPr="00000000">
          <w:rPr>
            <w:rFonts w:ascii="Google Sans" w:cs="Google Sans" w:eastAsia="Google Sans" w:hAnsi="Google Sans"/>
            <w:color w:val="0000ee"/>
            <w:sz w:val="24"/>
            <w:szCs w:val="24"/>
            <w:u w:val="single"/>
            <w:rtl w:val="0"/>
          </w:rPr>
          <w:t xml:space="preserve">https://medium.com/@pacosun/respect-the-order-cross-validation-in-time-series-7d12beab79a1</w:t>
        </w:r>
      </w:hyperlink>
      <w:r w:rsidDel="00000000" w:rsidR="00000000" w:rsidRPr="00000000">
        <w:rPr>
          <w:rtl w:val="0"/>
        </w:rPr>
      </w:r>
    </w:p>
    <w:p w:rsidR="00000000" w:rsidDel="00000000" w:rsidP="00000000" w:rsidRDefault="00000000" w:rsidRPr="00000000" w14:paraId="0000008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Methods to Perform Pricing Optimization: A Comparison with Standard Generalized Linear Models | Published in Variance, дата последнего обращения: марта 3, 2026, </w:t>
      </w:r>
      <w:hyperlink r:id="rId51">
        <w:r w:rsidDel="00000000" w:rsidR="00000000" w:rsidRPr="00000000">
          <w:rPr>
            <w:rFonts w:ascii="Google Sans" w:cs="Google Sans" w:eastAsia="Google Sans" w:hAnsi="Google Sans"/>
            <w:color w:val="0000ee"/>
            <w:sz w:val="24"/>
            <w:szCs w:val="24"/>
            <w:u w:val="single"/>
            <w:rtl w:val="0"/>
          </w:rPr>
          <w:t xml:space="preserve">https://variancejournal.org/article/116043-machine-learning-methods-to-perform-pricing-optimization-a-comparison-with-standard-generalized-linear-models</w:t>
        </w:r>
      </w:hyperlink>
      <w:r w:rsidDel="00000000" w:rsidR="00000000" w:rsidRPr="00000000">
        <w:rPr>
          <w:rtl w:val="0"/>
        </w:rPr>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Price Optimization | III - Insurance Information Institute, дата последнего обращения: марта 3, 2026, </w:t>
      </w:r>
      <w:hyperlink r:id="rId52">
        <w:r w:rsidDel="00000000" w:rsidR="00000000" w:rsidRPr="00000000">
          <w:rPr>
            <w:rFonts w:ascii="Google Sans" w:cs="Google Sans" w:eastAsia="Google Sans" w:hAnsi="Google Sans"/>
            <w:color w:val="0000ee"/>
            <w:sz w:val="24"/>
            <w:szCs w:val="24"/>
            <w:u w:val="single"/>
            <w:rtl w:val="0"/>
          </w:rPr>
          <w:t xml:space="preserve">https://www.iii.org/article/price-optimization</w:t>
        </w:r>
      </w:hyperlink>
      <w:r w:rsidDel="00000000" w:rsidR="00000000" w:rsidRPr="00000000">
        <w:rPr>
          <w:rtl w:val="0"/>
        </w:rPr>
      </w:r>
    </w:p>
    <w:p w:rsidR="00000000" w:rsidDel="00000000" w:rsidP="00000000" w:rsidRDefault="00000000" w:rsidRPr="00000000" w14:paraId="0000008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Price Optimization Overview - Casualty Actuarial Society, дата последнего обращения: марта 3, 2026, </w:t>
      </w:r>
      <w:hyperlink r:id="rId53">
        <w:r w:rsidDel="00000000" w:rsidR="00000000" w:rsidRPr="00000000">
          <w:rPr>
            <w:rFonts w:ascii="Google Sans" w:cs="Google Sans" w:eastAsia="Google Sans" w:hAnsi="Google Sans"/>
            <w:color w:val="0000ee"/>
            <w:sz w:val="24"/>
            <w:szCs w:val="24"/>
            <w:u w:val="single"/>
            <w:rtl w:val="0"/>
          </w:rPr>
          <w:t xml:space="preserve">https://www.casact.org/sites/default/files/database/files_price_optimization_overview_final.pdf</w:t>
        </w:r>
      </w:hyperlink>
      <w:r w:rsidDel="00000000" w:rsidR="00000000" w:rsidRPr="00000000">
        <w:rPr>
          <w:rtl w:val="0"/>
        </w:rPr>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practical model for pricing optimization in car insurance - International Actuarial Association, дата последнего обращения: марта 3, 2026, </w:t>
      </w:r>
      <w:hyperlink r:id="rId54">
        <w:r w:rsidDel="00000000" w:rsidR="00000000" w:rsidRPr="00000000">
          <w:rPr>
            <w:rFonts w:ascii="Google Sans" w:cs="Google Sans" w:eastAsia="Google Sans" w:hAnsi="Google Sans"/>
            <w:color w:val="0000ee"/>
            <w:sz w:val="24"/>
            <w:szCs w:val="24"/>
            <w:u w:val="single"/>
            <w:rtl w:val="0"/>
          </w:rPr>
          <w:t xml:space="preserve">https://actuaries.org/app/uploads/2025/07/ASTIN_Paper_Mayorga_Panama2017.pdf</w:t>
        </w:r>
      </w:hyperlink>
      <w:r w:rsidDel="00000000" w:rsidR="00000000" w:rsidRPr="00000000">
        <w:rPr>
          <w:rtl w:val="0"/>
        </w:rPr>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Theoretical Framework Bridging Model Validation and Loss Ratio in Insurance - arXiv, дата последнего обращения: марта 3, 2026, </w:t>
      </w:r>
      <w:hyperlink r:id="rId55">
        <w:r w:rsidDel="00000000" w:rsidR="00000000" w:rsidRPr="00000000">
          <w:rPr>
            <w:rFonts w:ascii="Google Sans" w:cs="Google Sans" w:eastAsia="Google Sans" w:hAnsi="Google Sans"/>
            <w:color w:val="0000ee"/>
            <w:sz w:val="24"/>
            <w:szCs w:val="24"/>
            <w:u w:val="single"/>
            <w:rtl w:val="0"/>
          </w:rPr>
          <w:t xml:space="preserve">https://arxiv.org/html/2512.03242v1</w:t>
        </w:r>
      </w:hyperlink>
      <w:r w:rsidDel="00000000" w:rsidR="00000000" w:rsidRPr="00000000">
        <w:rPr>
          <w:rtl w:val="0"/>
        </w:rPr>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Reinforcement Learning applied to Insurance Portfolio Pursuit - The Alan Turing Institute, дата последнего обращения: марта 3, 2026, </w:t>
      </w:r>
      <w:hyperlink r:id="rId56">
        <w:r w:rsidDel="00000000" w:rsidR="00000000" w:rsidRPr="00000000">
          <w:rPr>
            <w:rFonts w:ascii="Google Sans" w:cs="Google Sans" w:eastAsia="Google Sans" w:hAnsi="Google Sans"/>
            <w:color w:val="0000ee"/>
            <w:sz w:val="24"/>
            <w:szCs w:val="24"/>
            <w:u w:val="single"/>
            <w:rtl w:val="0"/>
          </w:rPr>
          <w:t xml:space="preserve">https://www.turing.ac.uk/sites/default/files/2024-08/2408.00713v2.pdf</w:t>
        </w:r>
      </w:hyperlink>
      <w:r w:rsidDel="00000000" w:rsidR="00000000" w:rsidRPr="00000000">
        <w:rPr>
          <w:rtl w:val="0"/>
        </w:rPr>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Obtaining Calibrated Probabilities from Boosting - Computer Science, дата последнего обращения: марта 3, 2026, </w:t>
      </w:r>
      <w:hyperlink r:id="rId57">
        <w:r w:rsidDel="00000000" w:rsidR="00000000" w:rsidRPr="00000000">
          <w:rPr>
            <w:rFonts w:ascii="Google Sans" w:cs="Google Sans" w:eastAsia="Google Sans" w:hAnsi="Google Sans"/>
            <w:color w:val="0000ee"/>
            <w:sz w:val="24"/>
            <w:szCs w:val="24"/>
            <w:u w:val="single"/>
            <w:rtl w:val="0"/>
          </w:rPr>
          <w:t xml:space="preserve">https://www.cs.cornell.edu/~caruana/niculescu.scldbst.crc.rev4.pdf</w:t>
        </w:r>
      </w:hyperlink>
      <w:r w:rsidDel="00000000" w:rsidR="00000000" w:rsidRPr="00000000">
        <w:rPr>
          <w:rtl w:val="0"/>
        </w:rPr>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Your Probabilities Lie — A Hands-On Guide to Probability Calibration - Medium, дата последнего обращения: марта 3, 2026, </w:t>
      </w:r>
      <w:hyperlink r:id="rId58">
        <w:r w:rsidDel="00000000" w:rsidR="00000000" w:rsidRPr="00000000">
          <w:rPr>
            <w:rFonts w:ascii="Google Sans" w:cs="Google Sans" w:eastAsia="Google Sans" w:hAnsi="Google Sans"/>
            <w:color w:val="0000ee"/>
            <w:sz w:val="24"/>
            <w:szCs w:val="24"/>
            <w:u w:val="single"/>
            <w:rtl w:val="0"/>
          </w:rPr>
          <w:t xml:space="preserve">https://medium.com/@iamban/why-your-probabilities-lie-a-hands-on-guide-to-probability-calibration-5bc05e4cdb9e</w:t>
        </w:r>
      </w:hyperlink>
      <w:r w:rsidDel="00000000" w:rsidR="00000000" w:rsidRPr="00000000">
        <w:rPr>
          <w:rtl w:val="0"/>
        </w:rPr>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Probability Calibration in Machine Learning: Enhancing Model Usability, дата последнего обращения: марта 3, 2026, </w:t>
      </w:r>
      <w:hyperlink r:id="rId59">
        <w:r w:rsidDel="00000000" w:rsidR="00000000" w:rsidRPr="00000000">
          <w:rPr>
            <w:rFonts w:ascii="Google Sans" w:cs="Google Sans" w:eastAsia="Google Sans" w:hAnsi="Google Sans"/>
            <w:color w:val="0000ee"/>
            <w:sz w:val="24"/>
            <w:szCs w:val="24"/>
            <w:u w:val="single"/>
            <w:rtl w:val="0"/>
          </w:rPr>
          <w:t xml:space="preserve">https://www.blog.trainindata.com/probability-calibration-in-machine-learning/</w:t>
        </w:r>
      </w:hyperlink>
      <w:r w:rsidDel="00000000" w:rsidR="00000000" w:rsidRPr="00000000">
        <w:rPr>
          <w:rtl w:val="0"/>
        </w:rPr>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Enhanced Focal Loss Function to Mitigate Class Imbalance in Auto Insurance Fraud Detection with Explainable AI - arXiv, дата последнего обращения: марта 3, 2026, </w:t>
      </w:r>
      <w:hyperlink r:id="rId60">
        <w:r w:rsidDel="00000000" w:rsidR="00000000" w:rsidRPr="00000000">
          <w:rPr>
            <w:rFonts w:ascii="Google Sans" w:cs="Google Sans" w:eastAsia="Google Sans" w:hAnsi="Google Sans"/>
            <w:color w:val="0000ee"/>
            <w:sz w:val="24"/>
            <w:szCs w:val="24"/>
            <w:u w:val="single"/>
            <w:rtl w:val="0"/>
          </w:rPr>
          <w:t xml:space="preserve">https://arxiv.org/html/2508.02283v1</w:t>
        </w:r>
      </w:hyperlink>
      <w:r w:rsidDel="00000000" w:rsidR="00000000" w:rsidRPr="00000000">
        <w:rPr>
          <w:rtl w:val="0"/>
        </w:rPr>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Zero-Inflated Tweedie Boosted Trees with CatBoost for Insurance Loss Analytics, дата последнего обращения: марта 3, 2026,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https://www.researchgate.net/publication/381712326_Zero-Inflated_Tweedie_Boosted_Trees_with_Catboost_for_Insurance_Loss_Analytics</w:t>
        </w:r>
      </w:hyperlink>
      <w:r w:rsidDel="00000000" w:rsidR="00000000" w:rsidRPr="00000000">
        <w:rPr>
          <w:rtl w:val="0"/>
        </w:rPr>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Zero-Inflated Tweedie Boosted Trees with Catboost for Insurance Loss Analytics - SSRN, дата последнего обращения: марта 3, 2026, </w:t>
      </w:r>
      <w:hyperlink r:id="rId62">
        <w:r w:rsidDel="00000000" w:rsidR="00000000" w:rsidRPr="00000000">
          <w:rPr>
            <w:rFonts w:ascii="Google Sans" w:cs="Google Sans" w:eastAsia="Google Sans" w:hAnsi="Google Sans"/>
            <w:color w:val="0000ee"/>
            <w:sz w:val="24"/>
            <w:szCs w:val="24"/>
            <w:u w:val="single"/>
            <w:rtl w:val="0"/>
          </w:rPr>
          <w:t xml:space="preserve">https://papers.ssrn.com/sol3/papers.cfm?abstract_id=4876585</w:t>
        </w:r>
      </w:hyperlink>
      <w:r w:rsidDel="00000000" w:rsidR="00000000" w:rsidRPr="00000000">
        <w:rPr>
          <w:rtl w:val="0"/>
        </w:rPr>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Distribution-Free Inference for LightGBM and GLM with Tweedie Loss - arXiv, дата последнего обращения: марта 3, 2026, </w:t>
      </w:r>
      <w:hyperlink r:id="rId63">
        <w:r w:rsidDel="00000000" w:rsidR="00000000" w:rsidRPr="00000000">
          <w:rPr>
            <w:rFonts w:ascii="Google Sans" w:cs="Google Sans" w:eastAsia="Google Sans" w:hAnsi="Google Sans"/>
            <w:color w:val="0000ee"/>
            <w:sz w:val="24"/>
            <w:szCs w:val="24"/>
            <w:u w:val="single"/>
            <w:rtl w:val="0"/>
          </w:rPr>
          <w:t xml:space="preserve">https://arxiv.org/html/2507.06921v1</w:t>
        </w:r>
      </w:hyperlink>
      <w:r w:rsidDel="00000000" w:rsidR="00000000" w:rsidRPr="00000000">
        <w:rPr>
          <w:rtl w:val="0"/>
        </w:rPr>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Gradient Boosting for Zero-Inflated Insurance Claims and Comparative Analysis of CatBoost, XGBoost, and LightGBM - arXiv, дата последнего обращения: марта 3, 2026, </w:t>
      </w:r>
      <w:hyperlink r:id="rId64">
        <w:r w:rsidDel="00000000" w:rsidR="00000000" w:rsidRPr="00000000">
          <w:rPr>
            <w:rFonts w:ascii="Google Sans" w:cs="Google Sans" w:eastAsia="Google Sans" w:hAnsi="Google Sans"/>
            <w:color w:val="0000ee"/>
            <w:sz w:val="24"/>
            <w:szCs w:val="24"/>
            <w:u w:val="single"/>
            <w:rtl w:val="0"/>
          </w:rPr>
          <w:t xml:space="preserve">https://arxiv.org/html/2307.07771v3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asact.org/sites/default/files/2021-01/05-Goldburd-Khare-Tevet.pdf" TargetMode="External"/><Relationship Id="rId42" Type="http://schemas.openxmlformats.org/officeDocument/2006/relationships/hyperlink" Target="https://www.scor.com/download/file?token=def50200ca467e31a8c5cc98c81e836de1f93f61d3faccbc1329d81e8ac50bbf62d1a309d7a8aaa986d0683abc22afdff53098ea7802757c127c17a82db7e78e21656bb5dae30156db1202795e0c45d99c58c85596cc473828fde5da49fa773fa649fbd6a9772f3e4f5774f834b43f2a3238aaa40520e18c7c7793618380ca003751bf8e6c" TargetMode="External"/><Relationship Id="rId41" Type="http://schemas.openxmlformats.org/officeDocument/2006/relationships/hyperlink" Target="https://arxiv.org/html/2106.10770v2" TargetMode="External"/><Relationship Id="rId44" Type="http://schemas.openxmlformats.org/officeDocument/2006/relationships/hyperlink" Target="https://www.medrxiv.org/content/10.1101/2025.03.14.25324005v1.full.pdf" TargetMode="External"/><Relationship Id="rId43" Type="http://schemas.openxmlformats.org/officeDocument/2006/relationships/hyperlink" Target="https://medium.com/data-science/insurance-risk-pricing-tweedie-approach-1d71207268fc" TargetMode="External"/><Relationship Id="rId46" Type="http://schemas.openxmlformats.org/officeDocument/2006/relationships/hyperlink" Target="https://arxiv.org/html/2406.16206v2" TargetMode="External"/><Relationship Id="rId45" Type="http://schemas.openxmlformats.org/officeDocument/2006/relationships/hyperlink" Target="https://pmc.ncbi.nlm.nih.gov/articles/PMC76101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hyperlink" Target="http://www.pertanika.upm.edu.my/resources/files/Pertanika%20PAPERS/JST%20Vol.%2034%20(1)%20Feb.%202026/13%20JST-5709-2024.pdf" TargetMode="External"/><Relationship Id="rId47" Type="http://schemas.openxmlformats.org/officeDocument/2006/relationships/hyperlink" Target="https://www.researchgate.net/publication/397440582_A_Comparative_Study_of_XGBoost_LightGBM_and_CatBoost_Models_for_Customer_Churn_Prediction_in_the_Banking_Industry" TargetMode="External"/><Relationship Id="rId49" Type="http://schemas.openxmlformats.org/officeDocument/2006/relationships/hyperlink" Target="https://stats.stackexchange.com/questions/14099/using-k-fold-cross-validation-for-time-series-model-selection" TargetMode="Externa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4.png"/><Relationship Id="rId8" Type="http://schemas.openxmlformats.org/officeDocument/2006/relationships/image" Target="media/image11.png"/><Relationship Id="rId31" Type="http://schemas.openxmlformats.org/officeDocument/2006/relationships/hyperlink" Target="https://medium.com/@omkargawade/machine-learning-for-insurance-risk-an-end-to-end-claim-severity-modeling-case-study-a265acc04275" TargetMode="External"/><Relationship Id="rId30" Type="http://schemas.openxmlformats.org/officeDocument/2006/relationships/hyperlink" Target="https://ieeexplore.ieee.org/iel8/6979/10871168/10834470.pdf" TargetMode="External"/><Relationship Id="rId33" Type="http://schemas.openxmlformats.org/officeDocument/2006/relationships/hyperlink" Target="https://old.simoncoulombe.com/2020/03/tweedie-vs-poisson-gamma/" TargetMode="External"/><Relationship Id="rId32" Type="http://schemas.openxmlformats.org/officeDocument/2006/relationships/hyperlink" Target="https://www.researchgate.net/publication/395712028_Advanced_Strategies_for_Predicting_and_Managing_Auto_Insurance_Claims_using_Machine_Learning_Models" TargetMode="External"/><Relationship Id="rId35" Type="http://schemas.openxmlformats.org/officeDocument/2006/relationships/hyperlink" Target="https://www.kaggle.com/code/floser/glm-neural-nets-and-xgboost-for-insurance-pricing" TargetMode="External"/><Relationship Id="rId34" Type="http://schemas.openxmlformats.org/officeDocument/2006/relationships/hyperlink" Target="https://www.actuaries.org.uk/system/files/field/document/F7%20Navarun%20Jain.pdf" TargetMode="External"/><Relationship Id="rId37" Type="http://schemas.openxmlformats.org/officeDocument/2006/relationships/hyperlink" Target="https://medium.com/@wardarahim25/modelling-insurance-claims-data-using-the-tweedie-approach-94db8b14bfb5" TargetMode="External"/><Relationship Id="rId36" Type="http://schemas.openxmlformats.org/officeDocument/2006/relationships/hyperlink" Target="https://scikit-learn.org/stable/auto_examples/linear_model/plot_tweedie_regression_insurance_claims.html" TargetMode="External"/><Relationship Id="rId39" Type="http://schemas.openxmlformats.org/officeDocument/2006/relationships/hyperlink" Target="https://pmc.ncbi.nlm.nih.gov/articles/PMC12575580/" TargetMode="External"/><Relationship Id="rId38" Type="http://schemas.openxmlformats.org/officeDocument/2006/relationships/hyperlink" Target="https://www.mdpi.com/2227-9091/11/9/163" TargetMode="External"/><Relationship Id="rId62" Type="http://schemas.openxmlformats.org/officeDocument/2006/relationships/hyperlink" Target="https://papers.ssrn.com/sol3/papers.cfm?abstract_id=4876585" TargetMode="External"/><Relationship Id="rId61" Type="http://schemas.openxmlformats.org/officeDocument/2006/relationships/hyperlink" Target="https://www.researchgate.net/publication/381712326_Zero-Inflated_Tweedie_Boosted_Trees_with_Catboost_for_Insurance_Loss_Analytics" TargetMode="External"/><Relationship Id="rId20" Type="http://schemas.openxmlformats.org/officeDocument/2006/relationships/hyperlink" Target="https://insurancedatascience.org/downloads/London2023/Zhiyu_Quan.pdf" TargetMode="External"/><Relationship Id="rId64" Type="http://schemas.openxmlformats.org/officeDocument/2006/relationships/hyperlink" Target="https://arxiv.org/html/2307.07771v3" TargetMode="External"/><Relationship Id="rId63" Type="http://schemas.openxmlformats.org/officeDocument/2006/relationships/hyperlink" Target="https://arxiv.org/html/2507.06921v1" TargetMode="External"/><Relationship Id="rId22" Type="http://schemas.openxmlformats.org/officeDocument/2006/relationships/hyperlink" Target="https://researchrepository.ul.ie/bitstreams/10848aee-8803-471f-8a84-fd21e9e7b700/download" TargetMode="External"/><Relationship Id="rId21" Type="http://schemas.openxmlformats.org/officeDocument/2006/relationships/hyperlink" Target="https://belkcollege.charlotte.edu/wp-content/uploads/sites/953/2023/12/Risk-Aggregation-and-Diversification.pdf" TargetMode="External"/><Relationship Id="rId24" Type="http://schemas.openxmlformats.org/officeDocument/2006/relationships/hyperlink" Target="https://gomotive.com/wp-content/uploads/2023/03/drive_risk_score_guide.pdf" TargetMode="External"/><Relationship Id="rId23" Type="http://schemas.openxmlformats.org/officeDocument/2006/relationships/hyperlink" Target="https://www.metricstream.com/blog/art-and-science-of-risk-aggregation" TargetMode="External"/><Relationship Id="rId60" Type="http://schemas.openxmlformats.org/officeDocument/2006/relationships/hyperlink" Target="https://arxiv.org/html/2508.02283v1" TargetMode="External"/><Relationship Id="rId26" Type="http://schemas.openxmlformats.org/officeDocument/2006/relationships/hyperlink" Target="https://publications.lib.chalmers.se/records/fulltext/173913/173913.pdf" TargetMode="External"/><Relationship Id="rId25" Type="http://schemas.openxmlformats.org/officeDocument/2006/relationships/hyperlink" Target="https://www.scautub.com/multiple-drivers-affect-commercial-auto-insurance-cost/" TargetMode="External"/><Relationship Id="rId28" Type="http://schemas.openxmlformats.org/officeDocument/2006/relationships/hyperlink" Target="https://support.sas.com/resources/papers/proceedings20/5116-2020.pdf" TargetMode="External"/><Relationship Id="rId27" Type="http://schemas.openxmlformats.org/officeDocument/2006/relationships/hyperlink" Target="https://www.osfi-bsif.gc.ca/en/guidance/guidance-library/life-insurance-capital-adequacy-test-2025-chapter-11-aggregation-diversification-risks" TargetMode="External"/><Relationship Id="rId29" Type="http://schemas.openxmlformats.org/officeDocument/2006/relationships/hyperlink" Target="https://christophm.github.io/interpretable-ml-book/interaction.html" TargetMode="External"/><Relationship Id="rId51" Type="http://schemas.openxmlformats.org/officeDocument/2006/relationships/hyperlink" Target="https://variancejournal.org/article/116043-machine-learning-methods-to-perform-pricing-optimization-a-comparison-with-standard-generalized-linear-models" TargetMode="External"/><Relationship Id="rId50" Type="http://schemas.openxmlformats.org/officeDocument/2006/relationships/hyperlink" Target="https://medium.com/@pacosun/respect-the-order-cross-validation-in-time-series-7d12beab79a1" TargetMode="External"/><Relationship Id="rId53" Type="http://schemas.openxmlformats.org/officeDocument/2006/relationships/hyperlink" Target="https://www.casact.org/sites/default/files/database/files_price_optimization_overview_final.pdf" TargetMode="External"/><Relationship Id="rId52" Type="http://schemas.openxmlformats.org/officeDocument/2006/relationships/hyperlink" Target="https://www.iii.org/article/price-optimization" TargetMode="External"/><Relationship Id="rId11" Type="http://schemas.openxmlformats.org/officeDocument/2006/relationships/image" Target="media/image6.png"/><Relationship Id="rId55" Type="http://schemas.openxmlformats.org/officeDocument/2006/relationships/hyperlink" Target="https://arxiv.org/html/2512.03242v1" TargetMode="External"/><Relationship Id="rId10" Type="http://schemas.openxmlformats.org/officeDocument/2006/relationships/image" Target="media/image3.png"/><Relationship Id="rId54" Type="http://schemas.openxmlformats.org/officeDocument/2006/relationships/hyperlink" Target="https://actuaries.org/app/uploads/2025/07/ASTIN_Paper_Mayorga_Panama2017.pdf" TargetMode="External"/><Relationship Id="rId13" Type="http://schemas.openxmlformats.org/officeDocument/2006/relationships/image" Target="media/image5.png"/><Relationship Id="rId57" Type="http://schemas.openxmlformats.org/officeDocument/2006/relationships/hyperlink" Target="https://www.cs.cornell.edu/~caruana/niculescu.scldbst.crc.rev4.pdf" TargetMode="External"/><Relationship Id="rId12" Type="http://schemas.openxmlformats.org/officeDocument/2006/relationships/image" Target="media/image8.png"/><Relationship Id="rId56" Type="http://schemas.openxmlformats.org/officeDocument/2006/relationships/hyperlink" Target="https://www.turing.ac.uk/sites/default/files/2024-08/2408.00713v2.pdf" TargetMode="External"/><Relationship Id="rId15" Type="http://schemas.openxmlformats.org/officeDocument/2006/relationships/image" Target="media/image14.png"/><Relationship Id="rId59" Type="http://schemas.openxmlformats.org/officeDocument/2006/relationships/hyperlink" Target="https://www.blog.trainindata.com/probability-calibration-in-machine-learning/" TargetMode="External"/><Relationship Id="rId14" Type="http://schemas.openxmlformats.org/officeDocument/2006/relationships/image" Target="media/image1.png"/><Relationship Id="rId58" Type="http://schemas.openxmlformats.org/officeDocument/2006/relationships/hyperlink" Target="https://medium.com/@iamban/why-your-probabilities-lie-a-hands-on-guide-to-probability-calibration-5bc05e4cdb9e" TargetMode="External"/><Relationship Id="rId17" Type="http://schemas.openxmlformats.org/officeDocument/2006/relationships/image" Target="media/image9.png"/><Relationship Id="rId16" Type="http://schemas.openxmlformats.org/officeDocument/2006/relationships/image" Target="media/image7.png"/><Relationship Id="rId19" Type="http://schemas.openxmlformats.org/officeDocument/2006/relationships/image" Target="media/image2.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