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474C" w14:textId="77777777" w:rsidR="000F4C81" w:rsidRPr="00C01561" w:rsidRDefault="00C01561">
      <w:pPr>
        <w:pStyle w:val="TitleBlack"/>
        <w:rPr>
          <w:sz w:val="20"/>
          <w:szCs w:val="20"/>
        </w:rPr>
      </w:pPr>
      <w:r w:rsidRPr="00C01561">
        <w:rPr>
          <w:sz w:val="20"/>
          <w:szCs w:val="20"/>
        </w:rPr>
        <w:t>Integration Template</w:t>
      </w:r>
    </w:p>
    <w:tbl>
      <w:tblPr>
        <w:tblStyle w:val="ListTable4-Accent3"/>
        <w:tblW w:w="1345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0F4C81" w:rsidRPr="00C01561" w14:paraId="60714CEC" w14:textId="77777777" w:rsidTr="000F4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684AF4BD" w14:textId="77777777" w:rsidR="000F4C81" w:rsidRPr="00C01561" w:rsidRDefault="00C0156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sz w:val="20"/>
                <w:szCs w:val="20"/>
                <w:lang w:val="en-GB" w:eastAsia="pl-PL"/>
              </w:rPr>
            </w:pPr>
            <w:r w:rsidRPr="00C01561">
              <w:rPr>
                <w:rFonts w:eastAsia="Times New Roman"/>
                <w:bCs/>
                <w:color w:val="00000A"/>
                <w:sz w:val="20"/>
                <w:szCs w:val="20"/>
                <w:lang w:val="en-GB" w:eastAsia="pl-PL"/>
              </w:rPr>
              <w:t>Basic information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1E9BF777" w14:textId="77777777" w:rsidR="000F4C81" w:rsidRPr="00C01561" w:rsidRDefault="00C01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01561">
              <w:rPr>
                <w:color w:val="00000A"/>
                <w:szCs w:val="20"/>
              </w:rPr>
              <w:t>Fill blank cells</w:t>
            </w:r>
          </w:p>
        </w:tc>
      </w:tr>
      <w:tr w:rsidR="000F4C81" w:rsidRPr="00C01561" w14:paraId="15227F14" w14:textId="77777777" w:rsidTr="000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75A0D884" w14:textId="34D3C43D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  <w:lang w:val="en-US"/>
              </w:rPr>
            </w:pPr>
            <w:r w:rsidRPr="00C01561">
              <w:rPr>
                <w:szCs w:val="20"/>
                <w:lang w:val="en-US"/>
              </w:rPr>
              <w:t>Licensed Company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持牌公司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14:paraId="369F378A" w14:textId="77777777" w:rsidR="000F4C81" w:rsidRPr="00C01561" w:rsidRDefault="000F4C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F4C81" w:rsidRPr="00C01561" w14:paraId="29E707EC" w14:textId="77777777" w:rsidTr="000F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14:paraId="6771E2DA" w14:textId="5EE56427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  <w:lang w:val="en-US"/>
              </w:rPr>
            </w:pPr>
            <w:r w:rsidRPr="00C01561">
              <w:rPr>
                <w:szCs w:val="20"/>
                <w:lang w:val="en-US"/>
              </w:rPr>
              <w:t>Top Organization – Existing or New (if new please provide the name)</w:t>
            </w:r>
            <w:r w:rsidR="00264743" w:rsidRPr="00C01561">
              <w:rPr>
                <w:szCs w:val="20"/>
                <w:lang w:val="en-US"/>
              </w:rPr>
              <w:br/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熱門組織</w:t>
            </w:r>
            <w:r w:rsidR="00264743" w:rsidRPr="00C01561">
              <w:rPr>
                <w:rFonts w:ascii="PMingLiU" w:eastAsia="PMingLiU" w:hAnsi="PMingLiU"/>
                <w:szCs w:val="20"/>
                <w:lang w:val="en-US" w:eastAsia="zh-TW"/>
              </w:rPr>
              <w:t xml:space="preserve"> - 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現有或新的（如果新的請提供名稱）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14:paraId="1718B511" w14:textId="77777777" w:rsidR="000F4C81" w:rsidRPr="00C01561" w:rsidRDefault="000F4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</w:tr>
      <w:tr w:rsidR="000F4C81" w:rsidRPr="00C01561" w14:paraId="3DC21A88" w14:textId="77777777" w:rsidTr="000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1F27ABCC" w14:textId="05511BA3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  <w:lang w:val="en-US"/>
              </w:rPr>
            </w:pPr>
            <w:r w:rsidRPr="00C01561">
              <w:rPr>
                <w:szCs w:val="20"/>
                <w:lang w:val="en-US"/>
              </w:rPr>
              <w:t>Brand name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品牌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14:paraId="4FF67A63" w14:textId="77777777" w:rsidR="000F4C81" w:rsidRPr="00C01561" w:rsidRDefault="000F4C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F4C81" w:rsidRPr="00C01561" w14:paraId="0189978A" w14:textId="77777777" w:rsidTr="000F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14:paraId="5A80A2D4" w14:textId="0CA9C7CB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C01561"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Contact details/email of the person(s) in charge of regulatory </w:t>
            </w:r>
            <w:r w:rsidRPr="00C01561">
              <w:rPr>
                <w:rFonts w:eastAsia="Times New Roman" w:cs="Calibri"/>
                <w:color w:val="000000"/>
                <w:szCs w:val="20"/>
                <w:lang w:val="en-GB" w:eastAsia="pl-PL"/>
              </w:rPr>
              <w:t>compliance</w:t>
            </w:r>
            <w:r w:rsidR="00264743" w:rsidRPr="00C01561"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負責監管合規的人員的聯繫方式</w:t>
            </w:r>
            <w:r w:rsidR="00264743" w:rsidRPr="00C01561">
              <w:rPr>
                <w:rFonts w:ascii="PMingLiU" w:eastAsia="PMingLiU" w:hAnsi="PMingLiU" w:cs="Calibri"/>
                <w:color w:val="000000"/>
                <w:szCs w:val="20"/>
                <w:lang w:val="en-GB" w:eastAsia="zh-TW"/>
              </w:rPr>
              <w:t>/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電子郵件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14:paraId="13F38D8A" w14:textId="77777777" w:rsidR="000F4C81" w:rsidRPr="00C01561" w:rsidRDefault="000F4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</w:tr>
      <w:tr w:rsidR="000F4C81" w:rsidRPr="00C01561" w14:paraId="160253D7" w14:textId="77777777" w:rsidTr="000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168749A6" w14:textId="72F8DA34" w:rsidR="000F4C81" w:rsidRPr="00C01561" w:rsidRDefault="00C01561" w:rsidP="00264743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ascii="PMingLiU" w:eastAsia="PMingLiU" w:hAnsi="PMingLiU" w:cs="Calibri"/>
                <w:color w:val="000000"/>
                <w:szCs w:val="20"/>
                <w:lang w:val="en-GB" w:eastAsia="zh-TW"/>
              </w:rPr>
            </w:pPr>
            <w:r w:rsidRPr="00C01561"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 w:rsidRPr="00C01561"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 w:rsidR="00264743" w:rsidRPr="00C01561"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技術聯繫電子郵件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維修公告</w:t>
            </w:r>
            <w:r w:rsidR="00264743" w:rsidRPr="00C01561">
              <w:rPr>
                <w:rFonts w:ascii="PMingLiU" w:eastAsia="PMingLiU" w:hAnsi="PMingLiU" w:cs="Calibri"/>
                <w:color w:val="000000"/>
                <w:szCs w:val="20"/>
                <w:lang w:val="en-GB" w:eastAsia="zh-TW"/>
              </w:rPr>
              <w:t>/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技術變更</w:t>
            </w:r>
            <w:r w:rsidR="00264743" w:rsidRPr="00C01561">
              <w:rPr>
                <w:rFonts w:ascii="PMingLiU" w:eastAsia="PMingLiU" w:hAnsi="PMingLiU" w:cs="Calibri"/>
                <w:color w:val="000000"/>
                <w:szCs w:val="20"/>
                <w:lang w:val="en-GB" w:eastAsia="zh-TW"/>
              </w:rPr>
              <w:t>/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主要問題聯繫方式）</w:t>
            </w:r>
            <w:r w:rsidR="00264743" w:rsidRPr="00C0156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14:paraId="5F2127D7" w14:textId="77777777" w:rsidR="000F4C81" w:rsidRPr="00C01561" w:rsidRDefault="000F4C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</w:tr>
    </w:tbl>
    <w:p w14:paraId="72570A1D" w14:textId="77777777" w:rsidR="000F4C81" w:rsidRPr="00C01561" w:rsidRDefault="000F4C81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ListTable4-Accent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0F4C81" w:rsidRPr="00C01561" w14:paraId="70877977" w14:textId="77777777" w:rsidTr="000F4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102BDE6B" w14:textId="77777777" w:rsidR="000F4C81" w:rsidRPr="00C01561" w:rsidRDefault="00C0156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sz w:val="20"/>
                <w:szCs w:val="20"/>
                <w:lang w:val="en-GB" w:eastAsia="pl-PL"/>
              </w:rPr>
            </w:pPr>
            <w:r w:rsidRPr="00C01561">
              <w:rPr>
                <w:rFonts w:eastAsia="Times New Roman"/>
                <w:bCs/>
                <w:color w:val="00000A"/>
                <w:sz w:val="20"/>
                <w:szCs w:val="20"/>
                <w:lang w:val="en-GB" w:eastAsia="pl-PL"/>
              </w:rPr>
              <w:t>Environment Details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7E00674A" w14:textId="77777777" w:rsidR="000F4C81" w:rsidRPr="00C01561" w:rsidRDefault="00C01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01561">
              <w:rPr>
                <w:color w:val="00000A"/>
                <w:szCs w:val="20"/>
              </w:rPr>
              <w:t>Fill blank cells</w:t>
            </w:r>
          </w:p>
        </w:tc>
      </w:tr>
      <w:tr w:rsidR="000F4C81" w:rsidRPr="00C01561" w14:paraId="2B50CE95" w14:textId="77777777" w:rsidTr="000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184BC68A" w14:textId="261E3E57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  <w:lang w:val="en-GB" w:eastAsia="pl-PL"/>
              </w:rPr>
            </w:pPr>
            <w:r w:rsidRPr="00C01561">
              <w:rPr>
                <w:szCs w:val="20"/>
                <w:lang w:val="en-US"/>
              </w:rPr>
              <w:t xml:space="preserve">Stage </w:t>
            </w:r>
            <w:r w:rsidRPr="00C01561">
              <w:rPr>
                <w:szCs w:val="20"/>
                <w:lang w:val="en-GB" w:eastAsia="pl-PL"/>
              </w:rPr>
              <w:t>IP to whitelist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將</w:t>
            </w:r>
            <w:r w:rsidR="00264743" w:rsidRPr="00C01561">
              <w:rPr>
                <w:rFonts w:ascii="PMingLiU" w:eastAsia="PMingLiU" w:hAnsi="PMingLiU"/>
                <w:szCs w:val="20"/>
                <w:lang w:val="en-GB" w:eastAsia="zh-TW"/>
              </w:rPr>
              <w:t>IP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轉換為白名單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14:paraId="2E0C5CCC" w14:textId="77777777" w:rsidR="000F4C81" w:rsidRPr="00C01561" w:rsidRDefault="000F4C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F4C81" w:rsidRPr="00C01561" w14:paraId="1C7D2201" w14:textId="77777777" w:rsidTr="000F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14:paraId="5612071D" w14:textId="3F94E175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  <w:lang w:val="en-GB" w:eastAsia="pl-PL"/>
              </w:rPr>
            </w:pPr>
            <w:r w:rsidRPr="00C01561">
              <w:rPr>
                <w:szCs w:val="20"/>
                <w:lang w:val="en-GB" w:eastAsia="pl-PL"/>
              </w:rPr>
              <w:t xml:space="preserve">Stage wallet </w:t>
            </w:r>
            <w:r w:rsidRPr="00C01561">
              <w:rPr>
                <w:szCs w:val="20"/>
                <w:lang w:val="en-GB" w:eastAsia="pl-PL"/>
              </w:rPr>
              <w:t>endpoint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舞台錢包端點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14:paraId="0CA7CD56" w14:textId="77777777" w:rsidR="000F4C81" w:rsidRPr="00C01561" w:rsidRDefault="000F4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</w:tr>
      <w:tr w:rsidR="000F4C81" w:rsidRPr="00C01561" w14:paraId="524ABBAB" w14:textId="77777777" w:rsidTr="000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078E37F7" w14:textId="3D328ADC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  <w:lang w:val="en-GB" w:eastAsia="pl-PL"/>
              </w:rPr>
            </w:pPr>
            <w:r w:rsidRPr="00C01561">
              <w:rPr>
                <w:szCs w:val="20"/>
                <w:lang w:val="en-GB" w:eastAsia="pl-PL"/>
              </w:rPr>
              <w:t>Stage lobby website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舞台大廳網站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14:paraId="7605A9A9" w14:textId="77777777" w:rsidR="000F4C81" w:rsidRPr="00C01561" w:rsidRDefault="000F4C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</w:tr>
      <w:tr w:rsidR="000F4C81" w:rsidRPr="00C01561" w14:paraId="2B2E36E7" w14:textId="77777777" w:rsidTr="000F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14:paraId="180E71F4" w14:textId="0E9D2ADC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</w:rPr>
            </w:pPr>
            <w:r w:rsidRPr="00C01561">
              <w:rPr>
                <w:szCs w:val="20"/>
                <w:lang w:val="en-GB" w:eastAsia="pl-PL"/>
              </w:rPr>
              <w:t>Stage credentials with games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遊戲的舞台證書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14:paraId="7D366784" w14:textId="77777777" w:rsidR="000F4C81" w:rsidRPr="00C01561" w:rsidRDefault="000F4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  <w:bookmarkStart w:id="0" w:name="_GoBack"/>
        <w:bookmarkEnd w:id="0"/>
      </w:tr>
      <w:tr w:rsidR="000F4C81" w:rsidRPr="00C01561" w14:paraId="63318F69" w14:textId="77777777" w:rsidTr="000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tcMar>
              <w:left w:w="103" w:type="dxa"/>
            </w:tcMar>
            <w:vAlign w:val="center"/>
          </w:tcPr>
          <w:p w14:paraId="26FD10D0" w14:textId="4A4D84C6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C01561">
              <w:rPr>
                <w:szCs w:val="20"/>
                <w:lang w:val="en-US"/>
              </w:rPr>
              <w:t xml:space="preserve">Production </w:t>
            </w:r>
            <w:r w:rsidRPr="00C01561">
              <w:rPr>
                <w:szCs w:val="20"/>
                <w:lang w:val="en-GB" w:eastAsia="pl-PL"/>
              </w:rPr>
              <w:t>IP to whitelist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生產</w:t>
            </w:r>
            <w:r w:rsidR="00264743" w:rsidRPr="00C01561">
              <w:rPr>
                <w:rFonts w:ascii="PMingLiU" w:eastAsia="PMingLiU" w:hAnsi="PMingLiU"/>
                <w:szCs w:val="20"/>
                <w:lang w:val="en-GB" w:eastAsia="zh-TW"/>
              </w:rPr>
              <w:t>IP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到白名單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14:paraId="557ACDAF" w14:textId="77777777" w:rsidR="000F4C81" w:rsidRPr="00C01561" w:rsidRDefault="000F4C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</w:tr>
      <w:tr w:rsidR="000F4C81" w:rsidRPr="00C01561" w14:paraId="332251DB" w14:textId="77777777" w:rsidTr="000F4C8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F578B01" w14:textId="392B0FF8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</w:rPr>
            </w:pPr>
            <w:r w:rsidRPr="00C01561">
              <w:rPr>
                <w:szCs w:val="20"/>
                <w:lang w:val="en-GB" w:eastAsia="pl-PL"/>
              </w:rPr>
              <w:t>Production wallet endpoint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生產錢包端點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14:paraId="5C7C99BA" w14:textId="77777777" w:rsidR="000F4C81" w:rsidRPr="00C01561" w:rsidRDefault="000F4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</w:tr>
      <w:tr w:rsidR="000F4C81" w:rsidRPr="00C01561" w14:paraId="475C34FA" w14:textId="77777777" w:rsidTr="000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14:paraId="46AB1DDE" w14:textId="673A849A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</w:rPr>
            </w:pPr>
            <w:r w:rsidRPr="00C01561">
              <w:rPr>
                <w:szCs w:val="20"/>
                <w:lang w:val="en-GB" w:eastAsia="pl-PL"/>
              </w:rPr>
              <w:t>Production lobby website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製作大廳網站</w:t>
            </w:r>
            <w:r w:rsidR="00264743" w:rsidRPr="00C01561">
              <w:rPr>
                <w:rFonts w:ascii="PMingLiU" w:eastAsia="PMingLiU" w:hAnsi="PMingLiU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14:paraId="2DA5A94A" w14:textId="77777777" w:rsidR="000F4C81" w:rsidRPr="00C01561" w:rsidRDefault="000F4C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GB"/>
              </w:rPr>
            </w:pPr>
          </w:p>
        </w:tc>
      </w:tr>
      <w:tr w:rsidR="000F4C81" w:rsidRPr="00C01561" w14:paraId="1029879C" w14:textId="77777777" w:rsidTr="000F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14:paraId="37694465" w14:textId="60248486" w:rsidR="000F4C81" w:rsidRPr="00C01561" w:rsidRDefault="00C01561">
            <w:pPr>
              <w:pStyle w:val="BaseText-bullets"/>
              <w:numPr>
                <w:ilvl w:val="0"/>
                <w:numId w:val="1"/>
              </w:numPr>
              <w:jc w:val="left"/>
              <w:rPr>
                <w:szCs w:val="20"/>
              </w:rPr>
            </w:pPr>
            <w:r w:rsidRPr="00C01561">
              <w:rPr>
                <w:szCs w:val="20"/>
                <w:lang w:val="en-GB" w:eastAsia="pl-PL"/>
              </w:rPr>
              <w:t xml:space="preserve">Production credentials with </w:t>
            </w:r>
            <w:r w:rsidRPr="00C01561"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 w:rsidR="00264743" w:rsidRPr="00C01561"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(</w:t>
            </w:r>
            <w:r w:rsidR="00264743" w:rsidRPr="00C01561"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遊戲的生產憑證</w:t>
            </w:r>
            <w:r w:rsidR="00264743" w:rsidRPr="00C01561"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14:paraId="5C71ADE8" w14:textId="77777777" w:rsidR="000F4C81" w:rsidRPr="00C01561" w:rsidRDefault="000F4C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</w:p>
        </w:tc>
      </w:tr>
    </w:tbl>
    <w:p w14:paraId="2444157C" w14:textId="77777777" w:rsidR="000F4C81" w:rsidRPr="00C01561" w:rsidRDefault="000F4C81" w:rsidP="00C01561">
      <w:pPr>
        <w:pStyle w:val="BaseText-bullets"/>
        <w:ind w:left="0"/>
        <w:jc w:val="left"/>
        <w:rPr>
          <w:szCs w:val="20"/>
        </w:rPr>
      </w:pPr>
    </w:p>
    <w:sectPr w:rsidR="000F4C81" w:rsidRPr="00C01561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-Regular">
    <w:charset w:val="01"/>
    <w:family w:val="roman"/>
    <w:pitch w:val="variable"/>
  </w:font>
  <w:font w:name="Montserrat">
    <w:altName w:val="Cambria"/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13C"/>
    <w:multiLevelType w:val="multilevel"/>
    <w:tmpl w:val="FDAC6B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1565E9"/>
    <w:multiLevelType w:val="multilevel"/>
    <w:tmpl w:val="F5B49EF8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81"/>
    <w:rsid w:val="000F4C81"/>
    <w:rsid w:val="00264743"/>
    <w:rsid w:val="00C0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B3D1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</w:rPr>
  </w:style>
  <w:style w:type="paragraph" w:styleId="Heading1">
    <w:name w:val="heading 1"/>
    <w:basedOn w:val="Normal"/>
    <w:link w:val="Heading1Char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A59"/>
  </w:style>
  <w:style w:type="character" w:customStyle="1" w:styleId="FooterChar">
    <w:name w:val="Footer Char"/>
    <w:basedOn w:val="DefaultParagraphFont"/>
    <w:link w:val="Footer"/>
    <w:uiPriority w:val="99"/>
    <w:qFormat/>
    <w:rsid w:val="00C67A59"/>
  </w:style>
  <w:style w:type="character" w:customStyle="1" w:styleId="Heading1Char">
    <w:name w:val="Heading 1 Char"/>
    <w:basedOn w:val="DefaultParagraphFont"/>
    <w:link w:val="Heading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9C7C0A"/>
    <w:rPr>
      <w:smallCaps/>
      <w:color w:val="6F6F7E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146D94"/>
    <w:pPr>
      <w:jc w:val="both"/>
    </w:pPr>
    <w:rPr>
      <w:rFonts w:ascii="Montserrat Medium" w:eastAsiaTheme="minorHAnsi" w:hAnsi="Montserrat Medium"/>
      <w:bCs/>
    </w:rPr>
  </w:style>
  <w:style w:type="paragraph" w:styleId="Subtitle">
    <w:name w:val="Subtitle"/>
    <w:basedOn w:val="Normal"/>
    <w:link w:val="SubtitleChar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Normal"/>
    <w:qFormat/>
    <w:rsid w:val="00C67A59"/>
    <w:rPr>
      <w:i/>
      <w:iCs/>
    </w:rPr>
  </w:style>
  <w:style w:type="paragraph" w:customStyle="1" w:styleId="Titleorange">
    <w:name w:val="Title orange"/>
    <w:basedOn w:val="Heading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IntenseQuote">
    <w:name w:val="Intense Quote"/>
    <w:basedOn w:val="Normal"/>
    <w:link w:val="IntenseQuoteChar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ListParagraph">
    <w:name w:val="List Paragraph"/>
    <w:basedOn w:val="Normal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ListParagraph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5012FA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2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Normal"/>
    <w:qFormat/>
    <w:rsid w:val="00FA16E7"/>
    <w:rPr>
      <w:sz w:val="17"/>
      <w:szCs w:val="17"/>
    </w:rPr>
  </w:style>
  <w:style w:type="paragraph" w:styleId="Revision">
    <w:name w:val="Revision"/>
    <w:uiPriority w:val="99"/>
    <w:semiHidden/>
    <w:qFormat/>
    <w:rsid w:val="00FA16E7"/>
    <w:rPr>
      <w:rFonts w:ascii="Times New Roman" w:eastAsiaTheme="minorHAnsi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customStyle="1" w:styleId="spellingerror">
    <w:name w:val="spellingerror"/>
    <w:basedOn w:val="DefaultParagraphFont"/>
    <w:rsid w:val="00264743"/>
  </w:style>
  <w:style w:type="character" w:customStyle="1" w:styleId="eop">
    <w:name w:val="eop"/>
    <w:basedOn w:val="DefaultParagraphFont"/>
    <w:rsid w:val="0026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88E8F1-01F7-4F7C-B18A-5AC13BF6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Ygggdrasil Integration Template 2.0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Mars Chou</cp:lastModifiedBy>
  <cp:revision>3</cp:revision>
  <cp:lastPrinted>2018-03-13T09:05:00Z</cp:lastPrinted>
  <dcterms:created xsi:type="dcterms:W3CDTF">2019-05-10T02:36:00Z</dcterms:created>
  <dcterms:modified xsi:type="dcterms:W3CDTF">2019-05-10T02:36:00Z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