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3A38EF34" w:rsidR="009D435B" w:rsidRDefault="00BC49EF" w:rsidP="00B211B5">
      <w:pPr>
        <w:jc w:val="right"/>
      </w:pPr>
      <w:r>
        <w:rPr>
          <w:noProof/>
        </w:rPr>
        <w:drawing>
          <wp:inline distT="0" distB="0" distL="0" distR="0" wp14:anchorId="353D5DE1" wp14:editId="631CE96B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55F" w14:textId="444B8554" w:rsidR="009D435B" w:rsidRDefault="00483C89" w:rsidP="00A862B8">
      <w:pPr>
        <w:pStyle w:val="Title"/>
      </w:pPr>
      <w:r>
        <w:t>resource allocation plan</w:t>
      </w:r>
    </w:p>
    <w:p w14:paraId="7DB3760B" w14:textId="77777777" w:rsidR="009D435B" w:rsidRDefault="009D435B" w:rsidP="000A6CF4">
      <w:pPr>
        <w:jc w:val="both"/>
      </w:pPr>
    </w:p>
    <w:p w14:paraId="40335BFD" w14:textId="059F7E67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="00483C89">
        <w:rPr>
          <w:b/>
          <w:bCs/>
          <w:sz w:val="24"/>
          <w:szCs w:val="24"/>
        </w:rPr>
        <w:t>Internal</w:t>
      </w:r>
    </w:p>
    <w:p w14:paraId="68C48E77" w14:textId="381B3630" w:rsidR="009D435B" w:rsidRDefault="00550941" w:rsidP="000A6CF4">
      <w:pPr>
        <w:jc w:val="both"/>
      </w:pPr>
      <w:r>
        <w:t xml:space="preserve">This </w:t>
      </w:r>
      <w:r w:rsidR="00483C89">
        <w:t>is intended for</w:t>
      </w:r>
      <w:r w:rsidR="0039579C">
        <w:t xml:space="preserve"> </w:t>
      </w:r>
      <w:r w:rsidR="00A9216D">
        <w:t xml:space="preserve">internal use by </w:t>
      </w:r>
      <w:r w:rsidR="00117570">
        <w:t>TechSolution.inc</w:t>
      </w:r>
      <w:r w:rsidR="0039579C">
        <w:t xml:space="preserve"> and </w:t>
      </w:r>
      <w:r w:rsidR="009561E6">
        <w:t>should not be shared without written permission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995854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2D65AB5" w14:textId="77777777" w:rsidR="003A000D" w:rsidRDefault="003A000D" w:rsidP="000A6CF4">
      <w:pPr>
        <w:jc w:val="both"/>
      </w:pPr>
    </w:p>
    <w:sdt>
      <w:sdtPr>
        <w:id w:val="970751024"/>
        <w:docPartObj>
          <w:docPartGallery w:val="Table of Contents"/>
          <w:docPartUnique/>
        </w:docPartObj>
      </w:sdtPr>
      <w:sdtEndPr/>
      <w:sdtContent>
        <w:p w14:paraId="17508597" w14:textId="77777777" w:rsidR="009D435B" w:rsidRPr="00550097" w:rsidRDefault="009D435B" w:rsidP="000A6CF4">
          <w:pPr>
            <w:jc w:val="both"/>
            <w:rPr>
              <w:rStyle w:val="Heading1Char"/>
            </w:rPr>
          </w:pPr>
          <w:r w:rsidRPr="7145C954">
            <w:rPr>
              <w:rStyle w:val="Heading1Char"/>
            </w:rPr>
            <w:t>Contents</w:t>
          </w:r>
        </w:p>
        <w:p w14:paraId="1CA917DC" w14:textId="76D78E31" w:rsidR="00CA32A5" w:rsidRDefault="3E6A34F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9D435B">
            <w:instrText>TOC \o "1-3" \h \z \u</w:instrText>
          </w:r>
          <w:r>
            <w:fldChar w:fldCharType="separate"/>
          </w:r>
          <w:hyperlink w:anchor="_Toc168930635" w:history="1">
            <w:r w:rsidR="00CA32A5" w:rsidRPr="00DE78EF">
              <w:rPr>
                <w:rStyle w:val="Hyperlink"/>
                <w:noProof/>
              </w:rPr>
              <w:t>Resource Allocation Plan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_Toc168930635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1E05044D" w14:textId="63276BAA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36" w:history="1">
            <w:r w:rsidR="00CA32A5" w:rsidRPr="00DE78EF">
              <w:rPr>
                <w:rStyle w:val="Hyperlink"/>
                <w:noProof/>
              </w:rPr>
              <w:t>1. Introduction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_Toc168930636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4182CC59" w14:textId="7211A0B7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37" w:history="1">
            <w:r w:rsidR="00CA32A5" w:rsidRPr="00DE78EF">
              <w:rPr>
                <w:rStyle w:val="Hyperlink"/>
                <w:noProof/>
              </w:rPr>
              <w:t>2. Financial Resources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_Toc168930637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3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51E64C05" w14:textId="6B3F6E0B" w:rsidR="00CA32A5" w:rsidRDefault="0071573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38" w:history="1">
            <w:r w:rsidR="00CA32A5" w:rsidRPr="00DE78EF">
              <w:rPr>
                <w:rStyle w:val="Hyperlink"/>
                <w:noProof/>
              </w:rPr>
              <w:t>Budget Allocation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_Toc168930638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3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0AFF45EB" w14:textId="35A6D284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39" w:history="1">
            <w:r w:rsidR="00CA32A5" w:rsidRPr="00DE78EF">
              <w:rPr>
                <w:rStyle w:val="Hyperlink"/>
                <w:noProof/>
              </w:rPr>
              <w:t>3. Human Resources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_Toc168930639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7E2A03A3" w14:textId="43AEAAE7" w:rsidR="00CA32A5" w:rsidRDefault="0071573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0" w:history="1">
            <w:r w:rsidR="00CA32A5" w:rsidRPr="00DE78EF">
              <w:rPr>
                <w:rStyle w:val="Hyperlink"/>
                <w:noProof/>
              </w:rPr>
              <w:t>Roles and Responsibilities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_Toc168930640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2CDA780E" w14:textId="74D457DA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1" w:history="1">
            <w:r w:rsidR="00CA32A5" w:rsidRPr="00DE78EF">
              <w:rPr>
                <w:rStyle w:val="Hyperlink"/>
                <w:noProof/>
              </w:rPr>
              <w:t>4. Technical Resources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_Toc168930641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543C8408" w14:textId="298A0E7E" w:rsidR="00CA32A5" w:rsidRDefault="0071573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2" w:history="1">
            <w:r w:rsidR="00CA32A5" w:rsidRPr="00DE78EF">
              <w:rPr>
                <w:rStyle w:val="Hyperlink"/>
                <w:noProof/>
              </w:rPr>
              <w:t>Hardware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_Toc168930642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30A203AB" w14:textId="268FEC90" w:rsidR="00CA32A5" w:rsidRDefault="0071573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3" w:history="1">
            <w:r w:rsidR="00CA32A5" w:rsidRPr="00DE78EF">
              <w:rPr>
                <w:rStyle w:val="Hyperlink"/>
                <w:noProof/>
              </w:rPr>
              <w:t>Software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_Toc168930643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2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52738C04" w14:textId="2D5060EC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4" w:history="1">
            <w:r w:rsidR="00CA32A5" w:rsidRPr="00DE78EF">
              <w:rPr>
                <w:rStyle w:val="Hyperlink"/>
                <w:noProof/>
              </w:rPr>
              <w:t>5. Training and Awareness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_Toc168930644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3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35CF4793" w14:textId="2BEC552F" w:rsidR="00CA32A5" w:rsidRDefault="0071573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5" w:history="1">
            <w:r w:rsidR="00CA32A5" w:rsidRPr="00DE78EF">
              <w:rPr>
                <w:rStyle w:val="Hyperlink"/>
                <w:noProof/>
              </w:rPr>
              <w:t>Training Programs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_Toc168930645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3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6BF9AF3C" w14:textId="44A6154E" w:rsidR="00CA32A5" w:rsidRDefault="0071573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6" w:history="1">
            <w:r w:rsidR="00CA32A5" w:rsidRPr="00DE78EF">
              <w:rPr>
                <w:rStyle w:val="Hyperlink"/>
                <w:noProof/>
              </w:rPr>
              <w:t>Awareness Campaigns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_Toc168930646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3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64C49305" w14:textId="7C3712F6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7" w:history="1">
            <w:r w:rsidR="00CA32A5" w:rsidRPr="00DE78EF">
              <w:rPr>
                <w:rStyle w:val="Hyperlink"/>
                <w:noProof/>
              </w:rPr>
              <w:t>6. Review and Approval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_Toc168930647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64491B54" w14:textId="7DA41698" w:rsidR="00CA32A5" w:rsidRDefault="0071573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930648" w:history="1">
            <w:r w:rsidR="00CA32A5" w:rsidRPr="00DE78EF">
              <w:rPr>
                <w:rStyle w:val="Hyperlink"/>
                <w:noProof/>
              </w:rPr>
              <w:t>7. Comments</w:t>
            </w:r>
            <w:r w:rsidR="00CA32A5">
              <w:rPr>
                <w:noProof/>
                <w:webHidden/>
              </w:rPr>
              <w:tab/>
            </w:r>
            <w:r w:rsidR="00CA32A5">
              <w:rPr>
                <w:noProof/>
                <w:webHidden/>
              </w:rPr>
              <w:fldChar w:fldCharType="begin"/>
            </w:r>
            <w:r w:rsidR="00CA32A5">
              <w:rPr>
                <w:noProof/>
                <w:webHidden/>
              </w:rPr>
              <w:instrText xml:space="preserve"> PAGEREF _Toc168930648 \h </w:instrText>
            </w:r>
            <w:r w:rsidR="00CA32A5">
              <w:rPr>
                <w:noProof/>
                <w:webHidden/>
              </w:rPr>
            </w:r>
            <w:r w:rsidR="00CA32A5">
              <w:rPr>
                <w:noProof/>
                <w:webHidden/>
              </w:rPr>
              <w:fldChar w:fldCharType="separate"/>
            </w:r>
            <w:r w:rsidR="003975E9">
              <w:rPr>
                <w:noProof/>
                <w:webHidden/>
              </w:rPr>
              <w:t>3</w:t>
            </w:r>
            <w:r w:rsidR="00CA32A5">
              <w:rPr>
                <w:noProof/>
                <w:webHidden/>
              </w:rPr>
              <w:fldChar w:fldCharType="end"/>
            </w:r>
          </w:hyperlink>
        </w:p>
        <w:p w14:paraId="6708D287" w14:textId="63AA50A9" w:rsidR="3E6A34F4" w:rsidRDefault="3E6A34F4" w:rsidP="3E6A34F4">
          <w:pPr>
            <w:pStyle w:val="TOC1"/>
            <w:tabs>
              <w:tab w:val="right" w:leader="dot" w:pos="9015"/>
            </w:tabs>
          </w:pPr>
          <w:r>
            <w:lastRenderedPageBreak/>
            <w:fldChar w:fldCharType="end"/>
          </w:r>
        </w:p>
      </w:sdtContent>
    </w:sdt>
    <w:p w14:paraId="149C6F98" w14:textId="77777777" w:rsidR="00CA32A5" w:rsidRDefault="00CA32A5" w:rsidP="00CA32A5"/>
    <w:p w14:paraId="5DC2D7DE" w14:textId="77777777" w:rsidR="00CA32A5" w:rsidRPr="00CA32A5" w:rsidRDefault="00CA32A5" w:rsidP="00CA32A5">
      <w:pPr>
        <w:pStyle w:val="Heading1"/>
        <w:rPr>
          <w:rFonts w:asciiTheme="minorHAnsi" w:hAnsiTheme="minorHAnsi"/>
        </w:rPr>
      </w:pPr>
      <w:bookmarkStart w:id="0" w:name="_Toc168930635"/>
      <w:r w:rsidRPr="00CA32A5">
        <w:rPr>
          <w:rFonts w:asciiTheme="minorHAnsi" w:hAnsiTheme="minorHAnsi"/>
        </w:rPr>
        <w:t>Resource Allocation Plan</w:t>
      </w:r>
      <w:bookmarkEnd w:id="0"/>
    </w:p>
    <w:p w14:paraId="16E03D9D" w14:textId="4A3E06E3" w:rsidR="00CA32A5" w:rsidRPr="00CA32A5" w:rsidRDefault="00CA32A5" w:rsidP="00CA32A5">
      <w:pPr>
        <w:pStyle w:val="Heading2"/>
        <w:rPr>
          <w:rFonts w:asciiTheme="minorHAnsi" w:hAnsiTheme="minorHAnsi"/>
        </w:rPr>
      </w:pPr>
      <w:bookmarkStart w:id="1" w:name="_Toc168930636"/>
      <w:r w:rsidRPr="00CA32A5">
        <w:rPr>
          <w:rFonts w:asciiTheme="minorHAnsi" w:hAnsiTheme="minorHAnsi"/>
        </w:rPr>
        <w:t>Introduction</w:t>
      </w:r>
      <w:bookmarkEnd w:id="1"/>
    </w:p>
    <w:p w14:paraId="33A85AF8" w14:textId="52F7FDCE" w:rsidR="00CA32A5" w:rsidRPr="00CA32A5" w:rsidRDefault="00CA32A5" w:rsidP="00CA32A5">
      <w:pPr>
        <w:pStyle w:val="NormalWeb"/>
        <w:rPr>
          <w:rFonts w:asciiTheme="minorHAnsi" w:hAnsiTheme="minorHAnsi"/>
        </w:rPr>
      </w:pPr>
      <w:r w:rsidRPr="00CA32A5">
        <w:rPr>
          <w:rFonts w:asciiTheme="minorHAnsi" w:hAnsiTheme="minorHAnsi"/>
        </w:rPr>
        <w:t>This document outlines the resources required for the effective implementation, maintenance, and continual improvement of the Information Security Management System (ISMS) as per ISO 27001 requirements</w:t>
      </w:r>
      <w:r w:rsidR="00A733C5">
        <w:rPr>
          <w:rFonts w:asciiTheme="minorHAnsi" w:hAnsiTheme="minorHAnsi"/>
        </w:rPr>
        <w:t xml:space="preserve"> for the period </w:t>
      </w:r>
      <w:r w:rsidR="00117570">
        <w:rPr>
          <w:rFonts w:asciiTheme="minorHAnsi" w:hAnsiTheme="minorHAnsi"/>
        </w:rPr>
        <w:t>January 2024</w:t>
      </w:r>
      <w:r w:rsidR="00A733C5">
        <w:rPr>
          <w:rFonts w:asciiTheme="minorHAnsi" w:hAnsiTheme="minorHAnsi"/>
        </w:rPr>
        <w:t xml:space="preserve"> to </w:t>
      </w:r>
      <w:r w:rsidR="00117570">
        <w:rPr>
          <w:rFonts w:asciiTheme="minorHAnsi" w:hAnsiTheme="minorHAnsi"/>
        </w:rPr>
        <w:t>December 2024</w:t>
      </w:r>
      <w:r w:rsidR="00A733C5">
        <w:rPr>
          <w:rFonts w:asciiTheme="minorHAnsi" w:hAnsiTheme="minorHAnsi"/>
        </w:rPr>
        <w:t>.</w:t>
      </w:r>
    </w:p>
    <w:p w14:paraId="77C26033" w14:textId="77777777" w:rsidR="000C73CD" w:rsidRDefault="000C73CD" w:rsidP="00A449DF">
      <w:pPr>
        <w:pStyle w:val="Heading2"/>
        <w:spacing w:after="120"/>
        <w:rPr>
          <w:rFonts w:asciiTheme="minorHAnsi" w:hAnsiTheme="minorHAnsi"/>
        </w:rPr>
      </w:pPr>
      <w:bookmarkStart w:id="2" w:name="_Toc168930639"/>
    </w:p>
    <w:p w14:paraId="16918F30" w14:textId="549874B7" w:rsidR="00CA32A5" w:rsidRPr="00CA32A5" w:rsidRDefault="00CA32A5" w:rsidP="00A449DF">
      <w:pPr>
        <w:pStyle w:val="Heading2"/>
        <w:spacing w:after="120"/>
        <w:rPr>
          <w:rFonts w:asciiTheme="minorHAnsi" w:hAnsiTheme="minorHAnsi"/>
        </w:rPr>
      </w:pPr>
      <w:r w:rsidRPr="00CA32A5">
        <w:rPr>
          <w:rFonts w:asciiTheme="minorHAnsi" w:hAnsiTheme="minorHAnsi"/>
        </w:rPr>
        <w:t>Human Resources</w:t>
      </w:r>
      <w:bookmarkEnd w:id="2"/>
    </w:p>
    <w:p w14:paraId="692EF296" w14:textId="77777777" w:rsidR="00CA32A5" w:rsidRPr="00CA32A5" w:rsidRDefault="00CA32A5" w:rsidP="00A449DF">
      <w:pPr>
        <w:pStyle w:val="Heading3"/>
        <w:spacing w:after="120"/>
        <w:rPr>
          <w:rFonts w:asciiTheme="minorHAnsi" w:hAnsiTheme="minorHAnsi"/>
        </w:rPr>
      </w:pPr>
      <w:bookmarkStart w:id="3" w:name="_Toc168930640"/>
      <w:r w:rsidRPr="00CA32A5">
        <w:rPr>
          <w:rFonts w:asciiTheme="minorHAnsi" w:hAnsiTheme="minorHAnsi"/>
        </w:rPr>
        <w:t>Roles and Responsibilities</w:t>
      </w:r>
      <w:bookmarkEnd w:id="3"/>
    </w:p>
    <w:p w14:paraId="491D4FA4" w14:textId="77777777" w:rsidR="00CA32A5" w:rsidRPr="00CA32A5" w:rsidRDefault="00CA32A5" w:rsidP="00A449DF">
      <w:pPr>
        <w:numPr>
          <w:ilvl w:val="0"/>
          <w:numId w:val="8"/>
        </w:numPr>
        <w:spacing w:before="100" w:beforeAutospacing="1" w:after="120" w:line="240" w:lineRule="auto"/>
      </w:pPr>
      <w:r w:rsidRPr="00CA32A5">
        <w:rPr>
          <w:rStyle w:val="Strong"/>
        </w:rPr>
        <w:t>Information Security Manager</w:t>
      </w:r>
      <w:r w:rsidRPr="00CA32A5">
        <w:t>:</w:t>
      </w:r>
    </w:p>
    <w:p w14:paraId="048516AE" w14:textId="2612EE93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 xml:space="preserve">Role: Oversee the ISMS, conduct risk assessments, </w:t>
      </w:r>
      <w:r w:rsidR="00013244">
        <w:t xml:space="preserve">and </w:t>
      </w:r>
      <w:r w:rsidRPr="00CA32A5">
        <w:t>manage audits.</w:t>
      </w:r>
    </w:p>
    <w:p w14:paraId="00C3CB5C" w14:textId="2E044C50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>Allocation: [Full-time]</w:t>
      </w:r>
    </w:p>
    <w:p w14:paraId="725D3A19" w14:textId="77777777" w:rsidR="00CA32A5" w:rsidRPr="00CA32A5" w:rsidRDefault="00CA32A5" w:rsidP="00A449DF">
      <w:pPr>
        <w:numPr>
          <w:ilvl w:val="0"/>
          <w:numId w:val="8"/>
        </w:numPr>
        <w:spacing w:before="100" w:beforeAutospacing="1" w:after="120" w:line="240" w:lineRule="auto"/>
      </w:pPr>
      <w:r w:rsidRPr="00CA32A5">
        <w:rPr>
          <w:rStyle w:val="Strong"/>
        </w:rPr>
        <w:t>IT Security Team</w:t>
      </w:r>
      <w:r w:rsidRPr="00CA32A5">
        <w:t>:</w:t>
      </w:r>
    </w:p>
    <w:p w14:paraId="7D8ABB54" w14:textId="3F574B1A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 xml:space="preserve">Role: Implement security controls, monitor systems, </w:t>
      </w:r>
      <w:r w:rsidR="00013244">
        <w:t xml:space="preserve">and </w:t>
      </w:r>
      <w:r w:rsidRPr="00CA32A5">
        <w:t>respond to incidents.</w:t>
      </w:r>
    </w:p>
    <w:p w14:paraId="4E41809F" w14:textId="76B02B2D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>Allocation: [</w:t>
      </w:r>
      <w:r w:rsidR="00117570">
        <w:t>11</w:t>
      </w:r>
      <w:r w:rsidRPr="00CA32A5">
        <w:t>, Full-time]</w:t>
      </w:r>
    </w:p>
    <w:p w14:paraId="41F03E63" w14:textId="77777777" w:rsidR="00CA32A5" w:rsidRPr="00CA32A5" w:rsidRDefault="00CA32A5" w:rsidP="00A449DF">
      <w:pPr>
        <w:numPr>
          <w:ilvl w:val="0"/>
          <w:numId w:val="8"/>
        </w:numPr>
        <w:spacing w:before="100" w:beforeAutospacing="1" w:after="120" w:line="240" w:lineRule="auto"/>
      </w:pPr>
      <w:r w:rsidRPr="00CA32A5">
        <w:rPr>
          <w:rStyle w:val="Strong"/>
        </w:rPr>
        <w:t>Internal Auditor</w:t>
      </w:r>
      <w:r w:rsidRPr="00CA32A5">
        <w:t>:</w:t>
      </w:r>
    </w:p>
    <w:p w14:paraId="389621A6" w14:textId="1183D045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 xml:space="preserve">Role: Conduct internal audits </w:t>
      </w:r>
      <w:r w:rsidR="00013244">
        <w:t xml:space="preserve">and </w:t>
      </w:r>
      <w:r w:rsidRPr="00CA32A5">
        <w:t>report findings.</w:t>
      </w:r>
    </w:p>
    <w:p w14:paraId="7295B44B" w14:textId="12F179DD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>Allocation: [Full-time]</w:t>
      </w:r>
    </w:p>
    <w:p w14:paraId="74329D06" w14:textId="77777777" w:rsidR="00CA32A5" w:rsidRPr="00CA32A5" w:rsidRDefault="00CA32A5" w:rsidP="00A449DF">
      <w:pPr>
        <w:numPr>
          <w:ilvl w:val="0"/>
          <w:numId w:val="8"/>
        </w:numPr>
        <w:spacing w:before="100" w:beforeAutospacing="1" w:after="120" w:line="240" w:lineRule="auto"/>
      </w:pPr>
      <w:r w:rsidRPr="00CA32A5">
        <w:rPr>
          <w:rStyle w:val="Strong"/>
        </w:rPr>
        <w:t>External Consultants</w:t>
      </w:r>
      <w:r w:rsidRPr="00CA32A5">
        <w:t>:</w:t>
      </w:r>
    </w:p>
    <w:p w14:paraId="54BEF214" w14:textId="77777777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>Role: Provide expertise and advice on ISO 27001 compliance.</w:t>
      </w:r>
    </w:p>
    <w:p w14:paraId="3C59CFB1" w14:textId="58228D76" w:rsidR="00CA32A5" w:rsidRPr="00CA32A5" w:rsidRDefault="00CA32A5" w:rsidP="00A449DF">
      <w:pPr>
        <w:numPr>
          <w:ilvl w:val="1"/>
          <w:numId w:val="8"/>
        </w:numPr>
        <w:spacing w:before="100" w:beforeAutospacing="1" w:after="120" w:line="240" w:lineRule="auto"/>
      </w:pPr>
      <w:r w:rsidRPr="00CA32A5">
        <w:t>Allocation: [</w:t>
      </w:r>
      <w:r w:rsidR="00117570">
        <w:t xml:space="preserve">Every 6 </w:t>
      </w:r>
      <w:r w:rsidRPr="00CA32A5">
        <w:t>month]</w:t>
      </w:r>
    </w:p>
    <w:p w14:paraId="2C04BA18" w14:textId="77777777" w:rsidR="000C73CD" w:rsidRDefault="000C73CD" w:rsidP="00A449DF">
      <w:pPr>
        <w:pStyle w:val="Heading2"/>
        <w:spacing w:after="120"/>
        <w:rPr>
          <w:rFonts w:asciiTheme="minorHAnsi" w:hAnsiTheme="minorHAnsi"/>
        </w:rPr>
      </w:pPr>
      <w:bookmarkStart w:id="4" w:name="_Toc168930641"/>
    </w:p>
    <w:p w14:paraId="5C819EC1" w14:textId="76F18EEB" w:rsidR="00CA32A5" w:rsidRPr="00CA32A5" w:rsidRDefault="00CA32A5" w:rsidP="00A449DF">
      <w:pPr>
        <w:pStyle w:val="Heading2"/>
        <w:spacing w:after="120"/>
        <w:rPr>
          <w:rFonts w:asciiTheme="minorHAnsi" w:hAnsiTheme="minorHAnsi"/>
        </w:rPr>
      </w:pPr>
      <w:r w:rsidRPr="00CA32A5">
        <w:rPr>
          <w:rFonts w:asciiTheme="minorHAnsi" w:hAnsiTheme="minorHAnsi"/>
        </w:rPr>
        <w:t>Technical Resources</w:t>
      </w:r>
      <w:bookmarkEnd w:id="4"/>
    </w:p>
    <w:p w14:paraId="73B429B4" w14:textId="77777777" w:rsidR="00CA32A5" w:rsidRPr="00CA32A5" w:rsidRDefault="00CA32A5" w:rsidP="00A449DF">
      <w:pPr>
        <w:pStyle w:val="Heading3"/>
        <w:spacing w:after="120"/>
        <w:rPr>
          <w:rFonts w:asciiTheme="minorHAnsi" w:hAnsiTheme="minorHAnsi"/>
        </w:rPr>
      </w:pPr>
      <w:bookmarkStart w:id="5" w:name="_Toc168930642"/>
      <w:r w:rsidRPr="00CA32A5">
        <w:rPr>
          <w:rFonts w:asciiTheme="minorHAnsi" w:hAnsiTheme="minorHAnsi"/>
        </w:rPr>
        <w:t>Hardware</w:t>
      </w:r>
      <w:bookmarkEnd w:id="5"/>
    </w:p>
    <w:p w14:paraId="6ED71C6B" w14:textId="77777777" w:rsidR="00117570" w:rsidRDefault="00CA32A5" w:rsidP="00A449DF">
      <w:pPr>
        <w:numPr>
          <w:ilvl w:val="0"/>
          <w:numId w:val="9"/>
        </w:numPr>
        <w:spacing w:before="100" w:beforeAutospacing="1" w:after="120" w:line="240" w:lineRule="auto"/>
      </w:pPr>
      <w:r w:rsidRPr="00CA32A5">
        <w:rPr>
          <w:rStyle w:val="Strong"/>
        </w:rPr>
        <w:t>Servers</w:t>
      </w:r>
      <w:r w:rsidRPr="00CA32A5">
        <w:t xml:space="preserve">: </w:t>
      </w:r>
    </w:p>
    <w:p w14:paraId="657BFE26" w14:textId="156538C7" w:rsidR="00117570" w:rsidRDefault="00CA32A5" w:rsidP="00117570">
      <w:pPr>
        <w:spacing w:before="100" w:beforeAutospacing="1" w:after="120" w:line="240" w:lineRule="auto"/>
        <w:ind w:left="720"/>
      </w:pPr>
      <w:r w:rsidRPr="00CA32A5">
        <w:t>Details</w:t>
      </w:r>
      <w:r w:rsidR="00117570">
        <w:t xml:space="preserve">: </w:t>
      </w:r>
      <w:r w:rsidR="00117570">
        <w:t>2 high-performance physical servers for hosting critical applications, with redundant power supplies and RAID storage for resilience.</w:t>
      </w:r>
    </w:p>
    <w:p w14:paraId="61B0C531" w14:textId="13CC3A9C" w:rsidR="00CA32A5" w:rsidRPr="00CA32A5" w:rsidRDefault="00117570" w:rsidP="00117570">
      <w:pPr>
        <w:spacing w:before="100" w:beforeAutospacing="1" w:after="120" w:line="240" w:lineRule="auto"/>
        <w:ind w:left="720"/>
      </w:pPr>
      <w:r w:rsidRPr="00CA32A5">
        <w:t>Q</w:t>
      </w:r>
      <w:r w:rsidR="00CA32A5" w:rsidRPr="00CA32A5">
        <w:t>uantity</w:t>
      </w:r>
      <w:r>
        <w:t xml:space="preserve">: </w:t>
      </w:r>
      <w:r>
        <w:t>2 physical servers, and 4 virtual servers for test and development environments.</w:t>
      </w:r>
    </w:p>
    <w:p w14:paraId="2A619E50" w14:textId="77777777" w:rsidR="00117570" w:rsidRDefault="00CA32A5" w:rsidP="00A449DF">
      <w:pPr>
        <w:numPr>
          <w:ilvl w:val="0"/>
          <w:numId w:val="9"/>
        </w:numPr>
        <w:spacing w:before="100" w:beforeAutospacing="1" w:after="120" w:line="240" w:lineRule="auto"/>
      </w:pPr>
      <w:r w:rsidRPr="00CA32A5">
        <w:rPr>
          <w:rStyle w:val="Strong"/>
        </w:rPr>
        <w:t>Backup Devices</w:t>
      </w:r>
      <w:r w:rsidRPr="00CA32A5">
        <w:t>:</w:t>
      </w:r>
    </w:p>
    <w:p w14:paraId="32D0FD70" w14:textId="53A00D89" w:rsidR="00117570" w:rsidRDefault="00CA32A5" w:rsidP="00117570">
      <w:pPr>
        <w:spacing w:before="100" w:beforeAutospacing="1" w:after="120" w:line="240" w:lineRule="auto"/>
        <w:ind w:left="720"/>
      </w:pPr>
      <w:r w:rsidRPr="00CA32A5">
        <w:t xml:space="preserve"> Details</w:t>
      </w:r>
      <w:r w:rsidR="00117570">
        <w:t xml:space="preserve">: </w:t>
      </w:r>
      <w:r w:rsidR="00117570">
        <w:t>Network Attached Storage (NAS) systems for local backups, with support for cloud-based backup integration. Encrypted backup tapes for long-term storage.</w:t>
      </w:r>
    </w:p>
    <w:p w14:paraId="5589CABB" w14:textId="183DE5E8" w:rsidR="00CA32A5" w:rsidRPr="00CA32A5" w:rsidRDefault="00117570" w:rsidP="00117570">
      <w:pPr>
        <w:spacing w:before="100" w:beforeAutospacing="1" w:after="120" w:line="240" w:lineRule="auto"/>
        <w:ind w:left="720"/>
      </w:pPr>
      <w:r w:rsidRPr="00CA32A5">
        <w:t>Q</w:t>
      </w:r>
      <w:r w:rsidR="00CA32A5" w:rsidRPr="00CA32A5">
        <w:t>uantity</w:t>
      </w:r>
      <w:r>
        <w:t>:</w:t>
      </w:r>
      <w:r w:rsidRPr="00117570">
        <w:t xml:space="preserve"> </w:t>
      </w:r>
      <w:r>
        <w:t>2 NAS devices (each 12TB storage capacity), 50 encrypted backup tapes.</w:t>
      </w:r>
    </w:p>
    <w:p w14:paraId="342DF90B" w14:textId="77777777" w:rsidR="00117570" w:rsidRDefault="00CA32A5" w:rsidP="00A449DF">
      <w:pPr>
        <w:numPr>
          <w:ilvl w:val="0"/>
          <w:numId w:val="9"/>
        </w:numPr>
        <w:spacing w:before="100" w:beforeAutospacing="1" w:after="120" w:line="240" w:lineRule="auto"/>
      </w:pPr>
      <w:r w:rsidRPr="00CA32A5">
        <w:rPr>
          <w:rStyle w:val="Strong"/>
        </w:rPr>
        <w:t>Network Security Devices</w:t>
      </w:r>
      <w:r w:rsidRPr="00CA32A5">
        <w:t xml:space="preserve">: </w:t>
      </w:r>
    </w:p>
    <w:p w14:paraId="5B29B1A8" w14:textId="43D9C1BF" w:rsidR="00117570" w:rsidRDefault="00CA32A5" w:rsidP="00117570">
      <w:pPr>
        <w:spacing w:before="100" w:beforeAutospacing="1" w:after="120" w:line="240" w:lineRule="auto"/>
        <w:ind w:left="720"/>
      </w:pPr>
      <w:r w:rsidRPr="00CA32A5">
        <w:t>Details</w:t>
      </w:r>
      <w:r w:rsidR="00117570">
        <w:t>:</w:t>
      </w:r>
      <w:r w:rsidR="00117570" w:rsidRPr="00117570">
        <w:t xml:space="preserve"> </w:t>
      </w:r>
      <w:r w:rsidR="00117570">
        <w:t>Firewalls with Deep Packet Inspection (DPI), Intrusion Detection and Prevention Systems (IDPS), and dedicated VPN appliances for remote access.</w:t>
      </w:r>
    </w:p>
    <w:p w14:paraId="22335149" w14:textId="3CF88F3C" w:rsidR="00CA32A5" w:rsidRPr="00CA32A5" w:rsidRDefault="00117570" w:rsidP="00117570">
      <w:pPr>
        <w:spacing w:before="100" w:beforeAutospacing="1" w:after="120" w:line="240" w:lineRule="auto"/>
        <w:ind w:left="720"/>
      </w:pPr>
      <w:r>
        <w:t>Q</w:t>
      </w:r>
      <w:r w:rsidR="00CA32A5" w:rsidRPr="00CA32A5">
        <w:t>uantity</w:t>
      </w:r>
      <w:r>
        <w:t>:</w:t>
      </w:r>
      <w:r w:rsidRPr="00117570">
        <w:t xml:space="preserve"> </w:t>
      </w:r>
      <w:r>
        <w:t>2 Firewalls, 1 Intrusion Detection System (IDS), 2 VPN appliances.</w:t>
      </w:r>
    </w:p>
    <w:p w14:paraId="25C21FD5" w14:textId="77777777" w:rsidR="00CA32A5" w:rsidRPr="00CA32A5" w:rsidRDefault="00CA32A5" w:rsidP="00A449DF">
      <w:pPr>
        <w:pStyle w:val="Heading3"/>
        <w:spacing w:after="120"/>
        <w:rPr>
          <w:rFonts w:asciiTheme="minorHAnsi" w:hAnsiTheme="minorHAnsi"/>
        </w:rPr>
      </w:pPr>
      <w:bookmarkStart w:id="6" w:name="_Toc168930643"/>
      <w:r w:rsidRPr="00CA32A5">
        <w:rPr>
          <w:rFonts w:asciiTheme="minorHAnsi" w:hAnsiTheme="minorHAnsi"/>
        </w:rPr>
        <w:t>Software</w:t>
      </w:r>
      <w:bookmarkEnd w:id="6"/>
    </w:p>
    <w:p w14:paraId="7A317EE5" w14:textId="77777777" w:rsidR="00117570" w:rsidRDefault="00CA32A5" w:rsidP="00A449DF">
      <w:pPr>
        <w:numPr>
          <w:ilvl w:val="0"/>
          <w:numId w:val="10"/>
        </w:numPr>
        <w:spacing w:before="100" w:beforeAutospacing="1" w:after="120" w:line="240" w:lineRule="auto"/>
      </w:pPr>
      <w:r w:rsidRPr="00CA32A5">
        <w:rPr>
          <w:rStyle w:val="Strong"/>
        </w:rPr>
        <w:t>Security Software</w:t>
      </w:r>
      <w:r w:rsidRPr="00CA32A5">
        <w:t xml:space="preserve">: </w:t>
      </w:r>
    </w:p>
    <w:p w14:paraId="73AEAE9A" w14:textId="3F3039CD" w:rsidR="00117570" w:rsidRDefault="00CA32A5" w:rsidP="00117570">
      <w:pPr>
        <w:spacing w:before="100" w:beforeAutospacing="1" w:after="120" w:line="240" w:lineRule="auto"/>
        <w:ind w:left="720"/>
      </w:pPr>
      <w:r w:rsidRPr="00CA32A5">
        <w:t>Details</w:t>
      </w:r>
      <w:r w:rsidR="00117570">
        <w:t>:</w:t>
      </w:r>
      <w:r w:rsidR="00BD03C3" w:rsidRPr="00BD03C3">
        <w:t xml:space="preserve"> </w:t>
      </w:r>
      <w:r w:rsidR="00BD03C3">
        <w:t>antivirus and anti-malware software for endpoint protection, encryption software for sensitive data, and firewall management tools.</w:t>
      </w:r>
    </w:p>
    <w:p w14:paraId="234BFEB4" w14:textId="296AA67D" w:rsidR="00CA32A5" w:rsidRPr="00CA32A5" w:rsidRDefault="00CA32A5" w:rsidP="00117570">
      <w:pPr>
        <w:spacing w:before="100" w:beforeAutospacing="1" w:after="120" w:line="240" w:lineRule="auto"/>
        <w:ind w:left="720"/>
      </w:pPr>
      <w:r w:rsidRPr="00CA32A5">
        <w:t xml:space="preserve"> licenses required</w:t>
      </w:r>
      <w:r w:rsidR="00117570">
        <w:t>:</w:t>
      </w:r>
      <w:r w:rsidR="00BD03C3">
        <w:t xml:space="preserve"> </w:t>
      </w:r>
      <w:r w:rsidR="00BD03C3">
        <w:t>150 endpoint licenses, 1 enterprise encryption software license.</w:t>
      </w:r>
    </w:p>
    <w:p w14:paraId="68C539F2" w14:textId="77777777" w:rsidR="00117570" w:rsidRDefault="00CA32A5" w:rsidP="00A449DF">
      <w:pPr>
        <w:numPr>
          <w:ilvl w:val="0"/>
          <w:numId w:val="10"/>
        </w:numPr>
        <w:spacing w:before="100" w:beforeAutospacing="1" w:after="120" w:line="240" w:lineRule="auto"/>
      </w:pPr>
      <w:r w:rsidRPr="00CA32A5">
        <w:rPr>
          <w:rStyle w:val="Strong"/>
        </w:rPr>
        <w:t>Monitoring Tools</w:t>
      </w:r>
      <w:r w:rsidRPr="00CA32A5">
        <w:t xml:space="preserve">: </w:t>
      </w:r>
    </w:p>
    <w:p w14:paraId="6CBA3CFF" w14:textId="0A138E01" w:rsidR="00117570" w:rsidRDefault="00CA32A5" w:rsidP="00117570">
      <w:pPr>
        <w:spacing w:before="100" w:beforeAutospacing="1" w:after="120" w:line="240" w:lineRule="auto"/>
        <w:ind w:left="720"/>
      </w:pPr>
      <w:r w:rsidRPr="00CA32A5">
        <w:t>Details</w:t>
      </w:r>
      <w:r w:rsidR="00117570">
        <w:t xml:space="preserve">: </w:t>
      </w:r>
      <w:r w:rsidR="00BD03C3">
        <w:t>Security Information and Event Management (SIEM) system for real-time analysis of security alerts generated by network hardware and applications. Log management software for centralizing and auditing system logs.</w:t>
      </w:r>
    </w:p>
    <w:p w14:paraId="35770E71" w14:textId="5EE980CC" w:rsidR="00CA32A5" w:rsidRPr="00CA32A5" w:rsidRDefault="00CA32A5" w:rsidP="00117570">
      <w:pPr>
        <w:spacing w:before="100" w:beforeAutospacing="1" w:after="120" w:line="240" w:lineRule="auto"/>
        <w:ind w:left="720"/>
      </w:pPr>
      <w:r w:rsidRPr="00CA32A5">
        <w:t>licenses required</w:t>
      </w:r>
      <w:r w:rsidR="00117570">
        <w:t>:</w:t>
      </w:r>
      <w:r w:rsidR="00BD03C3" w:rsidRPr="00BD03C3">
        <w:t xml:space="preserve"> </w:t>
      </w:r>
      <w:r w:rsidR="00BD03C3">
        <w:t>1 SIEM license, 5 log management licenses.</w:t>
      </w:r>
    </w:p>
    <w:p w14:paraId="61708B84" w14:textId="77777777" w:rsidR="00117570" w:rsidRDefault="00CA32A5" w:rsidP="00A449DF">
      <w:pPr>
        <w:numPr>
          <w:ilvl w:val="0"/>
          <w:numId w:val="10"/>
        </w:numPr>
        <w:spacing w:before="100" w:beforeAutospacing="1" w:after="120" w:line="240" w:lineRule="auto"/>
      </w:pPr>
      <w:r w:rsidRPr="00CA32A5">
        <w:rPr>
          <w:rStyle w:val="Strong"/>
        </w:rPr>
        <w:t>Incident Response Tools</w:t>
      </w:r>
      <w:r w:rsidRPr="00CA32A5">
        <w:t xml:space="preserve">: </w:t>
      </w:r>
    </w:p>
    <w:p w14:paraId="1CDEE6CA" w14:textId="10590C7F" w:rsidR="00117570" w:rsidRDefault="00CA32A5" w:rsidP="00117570">
      <w:pPr>
        <w:spacing w:before="100" w:beforeAutospacing="1" w:after="120" w:line="240" w:lineRule="auto"/>
        <w:ind w:left="720"/>
      </w:pPr>
      <w:r w:rsidRPr="00CA32A5">
        <w:t>Details</w:t>
      </w:r>
      <w:r w:rsidR="00117570">
        <w:t>:</w:t>
      </w:r>
      <w:r w:rsidR="00BD03C3" w:rsidRPr="00BD03C3">
        <w:t xml:space="preserve"> </w:t>
      </w:r>
      <w:r w:rsidR="00BD03C3">
        <w:t>Incident response platform for tracking security events and automating workflows for mitigation. Forensic analysis tools for investigating security breaches.</w:t>
      </w:r>
    </w:p>
    <w:p w14:paraId="3371D0BB" w14:textId="72BF44F4" w:rsidR="00CA32A5" w:rsidRPr="00CA32A5" w:rsidRDefault="00CA32A5" w:rsidP="00117570">
      <w:pPr>
        <w:spacing w:before="100" w:beforeAutospacing="1" w:after="120" w:line="240" w:lineRule="auto"/>
        <w:ind w:left="720"/>
      </w:pPr>
      <w:r w:rsidRPr="00CA32A5">
        <w:t>licenses required</w:t>
      </w:r>
      <w:r w:rsidR="00117570">
        <w:t>:</w:t>
      </w:r>
      <w:r w:rsidR="00BD03C3" w:rsidRPr="00BD03C3">
        <w:t xml:space="preserve"> </w:t>
      </w:r>
      <w:r w:rsidR="00BD03C3">
        <w:t>1 incident response platform license, 3 forensic analysis tool licenses.</w:t>
      </w:r>
    </w:p>
    <w:p w14:paraId="122E49FA" w14:textId="77777777" w:rsidR="000C73CD" w:rsidRDefault="000C73CD" w:rsidP="00A449DF">
      <w:pPr>
        <w:pStyle w:val="Heading2"/>
        <w:spacing w:after="120"/>
        <w:rPr>
          <w:rFonts w:asciiTheme="minorHAnsi" w:hAnsiTheme="minorHAnsi"/>
        </w:rPr>
      </w:pPr>
      <w:bookmarkStart w:id="7" w:name="_Toc168930644"/>
    </w:p>
    <w:p w14:paraId="30615AF2" w14:textId="787A9836" w:rsidR="00CA32A5" w:rsidRPr="00CA32A5" w:rsidRDefault="00CA32A5" w:rsidP="00A449DF">
      <w:pPr>
        <w:pStyle w:val="Heading2"/>
        <w:spacing w:after="120"/>
        <w:rPr>
          <w:rFonts w:asciiTheme="minorHAnsi" w:hAnsiTheme="minorHAnsi"/>
        </w:rPr>
      </w:pPr>
      <w:r w:rsidRPr="00CA32A5">
        <w:rPr>
          <w:rFonts w:asciiTheme="minorHAnsi" w:hAnsiTheme="minorHAnsi"/>
        </w:rPr>
        <w:t>Training and Awareness</w:t>
      </w:r>
      <w:bookmarkEnd w:id="7"/>
    </w:p>
    <w:p w14:paraId="21EAB48E" w14:textId="77777777" w:rsidR="00CA32A5" w:rsidRPr="00CA32A5" w:rsidRDefault="00CA32A5" w:rsidP="00A449DF">
      <w:pPr>
        <w:pStyle w:val="Heading3"/>
        <w:spacing w:after="120"/>
        <w:rPr>
          <w:rFonts w:asciiTheme="minorHAnsi" w:hAnsiTheme="minorHAnsi"/>
        </w:rPr>
      </w:pPr>
      <w:bookmarkStart w:id="8" w:name="_Toc168930645"/>
      <w:r w:rsidRPr="00CA32A5">
        <w:rPr>
          <w:rFonts w:asciiTheme="minorHAnsi" w:hAnsiTheme="minorHAnsi"/>
        </w:rPr>
        <w:t>Training Programs</w:t>
      </w:r>
      <w:bookmarkEnd w:id="8"/>
    </w:p>
    <w:p w14:paraId="441D7FBB" w14:textId="77777777" w:rsidR="00CA32A5" w:rsidRPr="00CA32A5" w:rsidRDefault="00CA32A5" w:rsidP="00A449DF">
      <w:pPr>
        <w:numPr>
          <w:ilvl w:val="0"/>
          <w:numId w:val="11"/>
        </w:numPr>
        <w:spacing w:before="100" w:beforeAutospacing="1" w:after="120" w:line="240" w:lineRule="auto"/>
      </w:pPr>
      <w:r w:rsidRPr="00CA32A5">
        <w:rPr>
          <w:rStyle w:val="Strong"/>
        </w:rPr>
        <w:t>Initial Training</w:t>
      </w:r>
      <w:r w:rsidRPr="00CA32A5">
        <w:t>: For new employees, covering ISMS policies and procedures.</w:t>
      </w:r>
    </w:p>
    <w:p w14:paraId="3ABA0219" w14:textId="77777777" w:rsidR="00CA32A5" w:rsidRPr="00CA32A5" w:rsidRDefault="00CA32A5" w:rsidP="00A449DF">
      <w:pPr>
        <w:numPr>
          <w:ilvl w:val="0"/>
          <w:numId w:val="11"/>
        </w:numPr>
        <w:spacing w:before="100" w:beforeAutospacing="1" w:after="120" w:line="240" w:lineRule="auto"/>
      </w:pPr>
      <w:r w:rsidRPr="00CA32A5">
        <w:rPr>
          <w:rStyle w:val="Strong"/>
        </w:rPr>
        <w:t>Ongoing Training</w:t>
      </w:r>
      <w:r w:rsidRPr="00CA32A5">
        <w:t>: Regular updates and refresher courses for all staff.</w:t>
      </w:r>
    </w:p>
    <w:p w14:paraId="0CEF58C5" w14:textId="77777777" w:rsidR="00CA32A5" w:rsidRPr="00CA32A5" w:rsidRDefault="00CA32A5" w:rsidP="00A449DF">
      <w:pPr>
        <w:numPr>
          <w:ilvl w:val="0"/>
          <w:numId w:val="11"/>
        </w:numPr>
        <w:spacing w:before="100" w:beforeAutospacing="1" w:after="120" w:line="240" w:lineRule="auto"/>
      </w:pPr>
      <w:r w:rsidRPr="00CA32A5">
        <w:rPr>
          <w:rStyle w:val="Strong"/>
        </w:rPr>
        <w:t>Specialised Training</w:t>
      </w:r>
      <w:r w:rsidRPr="00CA32A5">
        <w:t>: For IT staff and security teams on advanced topics.</w:t>
      </w:r>
    </w:p>
    <w:p w14:paraId="552D2F51" w14:textId="77777777" w:rsidR="00CA32A5" w:rsidRPr="00CA32A5" w:rsidRDefault="00CA32A5" w:rsidP="00A449DF">
      <w:pPr>
        <w:pStyle w:val="Heading3"/>
        <w:spacing w:after="120"/>
        <w:rPr>
          <w:rFonts w:asciiTheme="minorHAnsi" w:hAnsiTheme="minorHAnsi"/>
        </w:rPr>
      </w:pPr>
      <w:bookmarkStart w:id="9" w:name="_Toc168930646"/>
      <w:r w:rsidRPr="00CA32A5">
        <w:rPr>
          <w:rFonts w:asciiTheme="minorHAnsi" w:hAnsiTheme="minorHAnsi"/>
        </w:rPr>
        <w:t>Awareness Campaigns</w:t>
      </w:r>
      <w:bookmarkEnd w:id="9"/>
    </w:p>
    <w:p w14:paraId="417D27A5" w14:textId="77777777" w:rsidR="00CA32A5" w:rsidRPr="00CA32A5" w:rsidRDefault="00CA32A5" w:rsidP="00A449DF">
      <w:pPr>
        <w:numPr>
          <w:ilvl w:val="0"/>
          <w:numId w:val="12"/>
        </w:numPr>
        <w:spacing w:before="100" w:beforeAutospacing="1" w:after="120" w:line="240" w:lineRule="auto"/>
      </w:pPr>
      <w:r w:rsidRPr="00CA32A5">
        <w:rPr>
          <w:rStyle w:val="Strong"/>
        </w:rPr>
        <w:t>Monthly Newsletters</w:t>
      </w:r>
      <w:r w:rsidRPr="00CA32A5">
        <w:t>: Covering security tips and updates.</w:t>
      </w:r>
    </w:p>
    <w:p w14:paraId="7966AA06" w14:textId="77777777" w:rsidR="00CA32A5" w:rsidRPr="00CA32A5" w:rsidRDefault="00CA32A5" w:rsidP="00A449DF">
      <w:pPr>
        <w:numPr>
          <w:ilvl w:val="0"/>
          <w:numId w:val="12"/>
        </w:numPr>
        <w:spacing w:before="100" w:beforeAutospacing="1" w:after="120" w:line="240" w:lineRule="auto"/>
      </w:pPr>
      <w:r w:rsidRPr="00CA32A5">
        <w:rPr>
          <w:rStyle w:val="Strong"/>
        </w:rPr>
        <w:t>Quarterly Workshops</w:t>
      </w:r>
      <w:r w:rsidRPr="00CA32A5">
        <w:t>: Interactive sessions on current security threats and best practices.</w:t>
      </w:r>
    </w:p>
    <w:p w14:paraId="318BD097" w14:textId="77777777" w:rsidR="000C73CD" w:rsidRDefault="000C73CD" w:rsidP="00CA32A5">
      <w:pPr>
        <w:pStyle w:val="Heading2"/>
        <w:rPr>
          <w:rFonts w:asciiTheme="minorHAnsi" w:hAnsiTheme="minorHAnsi"/>
        </w:rPr>
      </w:pPr>
      <w:bookmarkStart w:id="10" w:name="_Toc168930648"/>
    </w:p>
    <w:p w14:paraId="056E879E" w14:textId="77777777" w:rsidR="000C73CD" w:rsidRPr="00CA32A5" w:rsidRDefault="000C73CD" w:rsidP="000C73CD">
      <w:pPr>
        <w:pStyle w:val="Heading2"/>
        <w:rPr>
          <w:rFonts w:asciiTheme="minorHAnsi" w:hAnsiTheme="minorHAnsi"/>
        </w:rPr>
      </w:pPr>
      <w:bookmarkStart w:id="11" w:name="_Toc168930637"/>
      <w:r w:rsidRPr="00CA32A5">
        <w:rPr>
          <w:rFonts w:asciiTheme="minorHAnsi" w:hAnsiTheme="minorHAnsi"/>
        </w:rPr>
        <w:t>Financial Resources</w:t>
      </w:r>
      <w:bookmarkEnd w:id="11"/>
    </w:p>
    <w:p w14:paraId="7C555F5C" w14:textId="77777777" w:rsidR="000C73CD" w:rsidRPr="00CA32A5" w:rsidRDefault="000C73CD" w:rsidP="000C73CD">
      <w:pPr>
        <w:pStyle w:val="Heading3"/>
        <w:spacing w:after="120"/>
        <w:rPr>
          <w:rFonts w:asciiTheme="minorHAnsi" w:hAnsiTheme="minorHAnsi"/>
        </w:rPr>
      </w:pPr>
      <w:bookmarkStart w:id="12" w:name="_Toc168930638"/>
      <w:r w:rsidRPr="00CA32A5">
        <w:rPr>
          <w:rFonts w:asciiTheme="minorHAnsi" w:hAnsiTheme="minorHAnsi"/>
        </w:rPr>
        <w:t>Budget Allocation</w:t>
      </w:r>
      <w:bookmarkEnd w:id="12"/>
    </w:p>
    <w:p w14:paraId="723837A4" w14:textId="77777777" w:rsidR="000C73CD" w:rsidRPr="00CA32A5" w:rsidRDefault="000C73CD" w:rsidP="000C73CD">
      <w:pPr>
        <w:numPr>
          <w:ilvl w:val="0"/>
          <w:numId w:val="7"/>
        </w:numPr>
        <w:spacing w:before="100" w:beforeAutospacing="1" w:after="120" w:line="240" w:lineRule="auto"/>
      </w:pPr>
      <w:r w:rsidRPr="00CA32A5">
        <w:rPr>
          <w:rStyle w:val="Strong"/>
        </w:rPr>
        <w:t>Initial Setup</w:t>
      </w:r>
      <w:r w:rsidRPr="00CA32A5">
        <w:t>:</w:t>
      </w:r>
    </w:p>
    <w:p w14:paraId="71BB8C15" w14:textId="7ED849DE" w:rsidR="000C73CD" w:rsidRPr="00CA32A5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 xml:space="preserve">Hardware: </w:t>
      </w:r>
      <w:r w:rsidR="00BD03C3">
        <w:t>£25,000</w:t>
      </w:r>
    </w:p>
    <w:p w14:paraId="42F9E50F" w14:textId="1ACD5987" w:rsidR="000C73CD" w:rsidRPr="00CA32A5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 xml:space="preserve">Software: </w:t>
      </w:r>
      <w:r w:rsidR="00BD03C3">
        <w:t>£15,000</w:t>
      </w:r>
    </w:p>
    <w:p w14:paraId="07D54BCA" w14:textId="0736A143" w:rsidR="000C73CD" w:rsidRPr="00CA32A5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>Consultancy:</w:t>
      </w:r>
      <w:r w:rsidR="00BD03C3" w:rsidRPr="00BD03C3">
        <w:t xml:space="preserve"> </w:t>
      </w:r>
      <w:r w:rsidR="00BD03C3">
        <w:t>£10,000</w:t>
      </w:r>
    </w:p>
    <w:p w14:paraId="1CC947F8" w14:textId="505028A9" w:rsidR="000C73CD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 xml:space="preserve">Training: </w:t>
      </w:r>
      <w:r w:rsidR="00BD03C3">
        <w:t>£</w:t>
      </w:r>
      <w:r w:rsidR="00BD03C3">
        <w:t>5</w:t>
      </w:r>
      <w:r w:rsidR="00BD03C3">
        <w:t>,000</w:t>
      </w:r>
    </w:p>
    <w:p w14:paraId="70DAC8C9" w14:textId="77777777" w:rsidR="000C73CD" w:rsidRPr="00CA32A5" w:rsidRDefault="000C73CD" w:rsidP="000C73CD">
      <w:pPr>
        <w:numPr>
          <w:ilvl w:val="0"/>
          <w:numId w:val="7"/>
        </w:numPr>
        <w:spacing w:before="100" w:beforeAutospacing="1" w:after="120" w:line="240" w:lineRule="auto"/>
      </w:pPr>
      <w:r w:rsidRPr="00CA32A5">
        <w:rPr>
          <w:rStyle w:val="Strong"/>
        </w:rPr>
        <w:t>Ongoing Maintenance</w:t>
      </w:r>
      <w:r w:rsidRPr="00CA32A5">
        <w:t>:</w:t>
      </w:r>
    </w:p>
    <w:p w14:paraId="1455C31B" w14:textId="0D600294" w:rsidR="000C73CD" w:rsidRPr="00CA32A5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 xml:space="preserve">Annual Security Audits: </w:t>
      </w:r>
      <w:r w:rsidR="00BD03C3">
        <w:t>£7,500</w:t>
      </w:r>
    </w:p>
    <w:p w14:paraId="392A8E7E" w14:textId="42C437A3" w:rsidR="000C73CD" w:rsidRPr="00CA32A5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 xml:space="preserve">Subscription Fees for Security Tools: </w:t>
      </w:r>
      <w:r w:rsidR="00BD03C3">
        <w:t>£12,000</w:t>
      </w:r>
    </w:p>
    <w:p w14:paraId="30A94DA4" w14:textId="2B4577C4" w:rsidR="000C73CD" w:rsidRPr="00CA32A5" w:rsidRDefault="000C73CD" w:rsidP="000C73CD">
      <w:pPr>
        <w:numPr>
          <w:ilvl w:val="1"/>
          <w:numId w:val="7"/>
        </w:numPr>
        <w:spacing w:before="100" w:beforeAutospacing="1" w:after="120" w:line="240" w:lineRule="auto"/>
      </w:pPr>
      <w:r w:rsidRPr="00CA32A5">
        <w:t xml:space="preserve">Staff Training: </w:t>
      </w:r>
      <w:r w:rsidR="00BD03C3">
        <w:t>£3,000</w:t>
      </w:r>
    </w:p>
    <w:p w14:paraId="0AC7DCFA" w14:textId="77777777" w:rsidR="000C73CD" w:rsidRDefault="000C73CD" w:rsidP="00CA32A5">
      <w:pPr>
        <w:pStyle w:val="Heading2"/>
        <w:rPr>
          <w:rFonts w:asciiTheme="minorHAnsi" w:hAnsiTheme="minorHAnsi"/>
        </w:rPr>
      </w:pPr>
    </w:p>
    <w:p w14:paraId="0A9ADA98" w14:textId="5BCE0CA4" w:rsidR="00CA32A5" w:rsidRPr="00CA32A5" w:rsidRDefault="00CA32A5" w:rsidP="00CA32A5">
      <w:pPr>
        <w:pStyle w:val="Heading2"/>
        <w:rPr>
          <w:rFonts w:asciiTheme="minorHAnsi" w:hAnsiTheme="minorHAnsi"/>
        </w:rPr>
      </w:pPr>
      <w:r w:rsidRPr="00CA32A5">
        <w:rPr>
          <w:rFonts w:asciiTheme="minorHAnsi" w:hAnsiTheme="minorHAnsi"/>
        </w:rPr>
        <w:t>Comments</w:t>
      </w:r>
      <w:bookmarkEnd w:id="10"/>
    </w:p>
    <w:p w14:paraId="7D2CC677" w14:textId="77777777" w:rsidR="000C73CD" w:rsidRDefault="000C73CD"/>
    <w:p w14:paraId="506B6AD1" w14:textId="77777777" w:rsidR="000C73CD" w:rsidRDefault="000C73CD"/>
    <w:p w14:paraId="124F516F" w14:textId="77777777" w:rsidR="000C73CD" w:rsidRDefault="000C73CD"/>
    <w:p w14:paraId="1EB928C7" w14:textId="77777777" w:rsidR="000C73CD" w:rsidRDefault="000C73CD"/>
    <w:p w14:paraId="75A194F3" w14:textId="77777777" w:rsidR="000C73CD" w:rsidRDefault="000C73CD"/>
    <w:p w14:paraId="600A833B" w14:textId="77777777" w:rsidR="000C73CD" w:rsidRDefault="000C73CD"/>
    <w:p w14:paraId="57D4ADEE" w14:textId="77777777" w:rsidR="000C73CD" w:rsidRDefault="000C73CD" w:rsidP="000C73CD">
      <w:pPr>
        <w:pStyle w:val="Heading1"/>
        <w:sectPr w:rsidR="000C73CD" w:rsidSect="00CA32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BA85A5" w14:textId="47DC95C5" w:rsidR="000C73CD" w:rsidRDefault="000C73CD" w:rsidP="000C73CD">
      <w:pPr>
        <w:pStyle w:val="Heading1"/>
      </w:pPr>
      <w:r>
        <w:t>Costs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1002"/>
      </w:tblGrid>
      <w:tr w:rsidR="000C73CD" w:rsidRPr="000C73CD" w14:paraId="073F726F" w14:textId="77777777" w:rsidTr="000C73CD">
        <w:trPr>
          <w:trHeight w:val="76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2B1F4373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696B59A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65B7BC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0EA8D49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7DF0876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0F86B55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3DE76C1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722ADC5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7153C69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35F6E96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5C65A83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10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42F3AAA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11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vAlign w:val="center"/>
            <w:hideMark/>
          </w:tcPr>
          <w:p w14:paraId="18E6FD5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Month 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4472C4"/>
            <w:vAlign w:val="center"/>
            <w:hideMark/>
          </w:tcPr>
          <w:p w14:paraId="70910A2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Totals</w:t>
            </w:r>
          </w:p>
        </w:tc>
      </w:tr>
      <w:tr w:rsidR="0071654E" w:rsidRPr="0071654E" w14:paraId="62BFCBEC" w14:textId="77777777" w:rsidTr="000C73CD">
        <w:trPr>
          <w:trHeight w:val="390"/>
        </w:trPr>
        <w:tc>
          <w:tcPr>
            <w:tcW w:w="5000" w:type="pct"/>
            <w:gridSpan w:val="14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bottom"/>
            <w:hideMark/>
          </w:tcPr>
          <w:p w14:paraId="2815ADF8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People Resources</w:t>
            </w:r>
          </w:p>
        </w:tc>
      </w:tr>
      <w:tr w:rsidR="000C73CD" w:rsidRPr="000C73CD" w14:paraId="5240AE78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2FF0BDA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Project Support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D76925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8D9266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DA29DC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28C824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36F08E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5B6673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1A2207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3C34DC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68B335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53C7F7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CF2FEA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120214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08A8E40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27,500 </w:t>
            </w:r>
          </w:p>
        </w:tc>
      </w:tr>
      <w:tr w:rsidR="000C73CD" w:rsidRPr="000C73CD" w14:paraId="571ED871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167207D7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Consultancy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2FA3793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2D6D9F4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6,000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6184230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7,000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2540EB9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469B834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57074EA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4E61F23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1E9586F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7,000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69667B0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7,000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1B8BA81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57BB882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506393F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17313DD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27,000 </w:t>
            </w:r>
          </w:p>
        </w:tc>
      </w:tr>
      <w:tr w:rsidR="000C73CD" w:rsidRPr="000C73CD" w14:paraId="0ABC091E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56257BE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Training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38CCF50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9E1FC8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DA22DE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1C79C6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1C72E8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1518D9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0B2E1A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987BC2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74A010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D155F3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17F3021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60A349C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7351231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22,500 </w:t>
            </w:r>
          </w:p>
        </w:tc>
      </w:tr>
      <w:tr w:rsidR="000C73CD" w:rsidRPr="000C73CD" w14:paraId="2F3C474F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AB67CC4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5DD663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9A7EF6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A971F2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292D68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63C340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EA50BF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CC8124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2717BF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6AD949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C2A20E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73BF7C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29E902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480CD46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        -   </w:t>
            </w:r>
          </w:p>
        </w:tc>
      </w:tr>
      <w:tr w:rsidR="000C73CD" w:rsidRPr="000C73CD" w14:paraId="40AEB373" w14:textId="77777777" w:rsidTr="000C73CD">
        <w:trPr>
          <w:trHeight w:val="39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68872C6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Total People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BA7DDF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1FA090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£11,500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038CD9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£12,500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E33423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5,500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F7F17B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5,500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9BD66A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5,500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0217DDB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5,500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8A1DFD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£12,500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516237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D5A5DB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5,500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ECA5A7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3FDACB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15D8FEA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77,000 </w:t>
            </w:r>
          </w:p>
        </w:tc>
      </w:tr>
      <w:tr w:rsidR="0071654E" w:rsidRPr="0071654E" w14:paraId="395CCF48" w14:textId="77777777" w:rsidTr="000C73CD">
        <w:trPr>
          <w:trHeight w:val="390"/>
        </w:trPr>
        <w:tc>
          <w:tcPr>
            <w:tcW w:w="5000" w:type="pct"/>
            <w:gridSpan w:val="14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bottom"/>
            <w:hideMark/>
          </w:tcPr>
          <w:p w14:paraId="092707A4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Hardware</w:t>
            </w:r>
          </w:p>
        </w:tc>
      </w:tr>
      <w:tr w:rsidR="000C73CD" w:rsidRPr="000C73CD" w14:paraId="3719521E" w14:textId="77777777" w:rsidTr="000C73CD">
        <w:trPr>
          <w:trHeight w:val="75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888D98B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Test Environment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50E81E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89AAE5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1204D8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F4BE84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E1B8FF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26DCC6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94803B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AC3F52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A9F9E7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88E62B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96ED90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C87EE6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05D0D21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17,000 </w:t>
            </w:r>
          </w:p>
        </w:tc>
      </w:tr>
      <w:tr w:rsidR="000C73CD" w:rsidRPr="000C73CD" w14:paraId="63C35346" w14:textId="77777777" w:rsidTr="000C73CD">
        <w:trPr>
          <w:trHeight w:val="75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170097C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Pre-Prod Environment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228C9E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1D6F71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ED2FCF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F3F32A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686D6A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DE5C87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3486A7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C299DD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39A156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934F74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FFE275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439282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0FC716D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12,000 </w:t>
            </w:r>
          </w:p>
        </w:tc>
      </w:tr>
      <w:tr w:rsidR="000C73CD" w:rsidRPr="000C73CD" w14:paraId="6F9097B2" w14:textId="77777777" w:rsidTr="000C73CD">
        <w:trPr>
          <w:trHeight w:val="75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75E8E3A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Production Environment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183333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14FBCC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B09562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03A59A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98D3D7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A7CF9F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78E67D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D32D80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297845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9BC4BE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7B9B2E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A10AEF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3D15274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9,000 </w:t>
            </w:r>
          </w:p>
        </w:tc>
      </w:tr>
      <w:tr w:rsidR="000C73CD" w:rsidRPr="000C73CD" w14:paraId="32F805EA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9187DC1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B9D12C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3E648F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489079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7F3FA2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5CF7D2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401581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29CA3F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E4C585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1E5A7E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266CF1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D226E9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CFA095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6F4486E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        -   </w:t>
            </w:r>
          </w:p>
        </w:tc>
      </w:tr>
      <w:tr w:rsidR="000C73CD" w:rsidRPr="000C73CD" w14:paraId="0A341FA2" w14:textId="77777777" w:rsidTr="000C73CD">
        <w:trPr>
          <w:trHeight w:val="39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007AC42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Total Hardware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168606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C47362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2F5047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CB9B0C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1,500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ABEE6A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8A38F5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5BE4A4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4,500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033770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4,500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16B2CF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4,500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7A8507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4,500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0F23346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4,500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49D369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4,500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E44386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38,000 </w:t>
            </w:r>
          </w:p>
        </w:tc>
      </w:tr>
      <w:tr w:rsidR="0071654E" w:rsidRPr="0071654E" w14:paraId="169B4CDA" w14:textId="77777777" w:rsidTr="000C73CD">
        <w:trPr>
          <w:trHeight w:val="390"/>
        </w:trPr>
        <w:tc>
          <w:tcPr>
            <w:tcW w:w="5000" w:type="pct"/>
            <w:gridSpan w:val="14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bottom"/>
            <w:hideMark/>
          </w:tcPr>
          <w:p w14:paraId="0CAE5263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proofErr w:type="spellStart"/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Sofware</w:t>
            </w:r>
            <w:proofErr w:type="spellEnd"/>
          </w:p>
        </w:tc>
      </w:tr>
      <w:tr w:rsidR="000C73CD" w:rsidRPr="000C73CD" w14:paraId="45432625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EDFF31A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Application A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07E173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04D92F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B0BDC7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600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11630D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B5CF0B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78A737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600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57B984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18DE10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AFE2EA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600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45041D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5FA9D1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A6A2A5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600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55E820E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2,400 </w:t>
            </w:r>
          </w:p>
        </w:tc>
      </w:tr>
      <w:tr w:rsidR="000C73CD" w:rsidRPr="000C73CD" w14:paraId="433B60B0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C1B2652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Application B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899D93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£1,000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412E695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2C8B48E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767999A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320817D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7B87AFA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1F699E7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31F1E39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27B440C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49265CA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5FBE23C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D9E1F2"/>
            <w:vAlign w:val="bottom"/>
            <w:hideMark/>
          </w:tcPr>
          <w:p w14:paraId="1C6F555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7629F8D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1,000 </w:t>
            </w:r>
          </w:p>
        </w:tc>
      </w:tr>
      <w:tr w:rsidR="000C73CD" w:rsidRPr="000C73CD" w14:paraId="32A16596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7F91607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Application C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9CEFF6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52A069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84B8A5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5075AB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62FE4E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66DB4F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9C3ED9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C7E00B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8ED231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C67602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4E0804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3A4E70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0840A25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2,400 </w:t>
            </w:r>
          </w:p>
        </w:tc>
      </w:tr>
      <w:tr w:rsidR="000C73CD" w:rsidRPr="000C73CD" w14:paraId="6D75CBCA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4C2EDE0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52CA80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D3705E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2EA8EB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B72D35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F233D1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5EAD4C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CF185B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8A3E33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250D37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1CCE98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D269D9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D790F6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2852042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        -   </w:t>
            </w:r>
          </w:p>
        </w:tc>
      </w:tr>
      <w:tr w:rsidR="000C73CD" w:rsidRPr="000C73CD" w14:paraId="659D180C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B18081B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3FBDA3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FF0154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86C0FD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4A891E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1F2533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86F27F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B5D176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D57C11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A97F7D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30C7E9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1619EF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91BDBB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1CC8FCF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        -   </w:t>
            </w:r>
          </w:p>
        </w:tc>
      </w:tr>
      <w:tr w:rsidR="000C73CD" w:rsidRPr="000C73CD" w14:paraId="076068E4" w14:textId="77777777" w:rsidTr="000C73CD">
        <w:trPr>
          <w:trHeight w:val="39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6B0646B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Total Software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809317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£1,200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3BB7ED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AFDEB6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A3D8EF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16A24F9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BD4B7C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A9B88F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1BE32C3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52375A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C6521F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ED4F7A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B2D329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    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1FFB510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5,800 </w:t>
            </w:r>
          </w:p>
        </w:tc>
      </w:tr>
      <w:tr w:rsidR="0071654E" w:rsidRPr="0071654E" w14:paraId="7F141570" w14:textId="77777777" w:rsidTr="000C73CD">
        <w:trPr>
          <w:trHeight w:val="390"/>
        </w:trPr>
        <w:tc>
          <w:tcPr>
            <w:tcW w:w="5000" w:type="pct"/>
            <w:gridSpan w:val="14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bottom"/>
            <w:hideMark/>
          </w:tcPr>
          <w:p w14:paraId="18A4A329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Third Parties</w:t>
            </w:r>
          </w:p>
        </w:tc>
      </w:tr>
      <w:tr w:rsidR="000C73CD" w:rsidRPr="000C73CD" w14:paraId="1824C5C6" w14:textId="77777777" w:rsidTr="000C73CD">
        <w:trPr>
          <w:trHeight w:val="75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08756B5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scans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31642A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80900C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C6EA30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B716F9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9D25C6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62FBAE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0210CF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EFA9D7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F78D51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993F04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5,000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B74D51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C1FA74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2561130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5,000 </w:t>
            </w:r>
          </w:p>
        </w:tc>
      </w:tr>
      <w:tr w:rsidR="000C73CD" w:rsidRPr="000C73CD" w14:paraId="2CFFBAD6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5C3ED8F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Security tests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87D5C5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C4D5EA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F3645E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025739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7CFF6D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03D7C8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1DF614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1A280A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22F886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4908E3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8ABBF2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7,800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FD1DED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615FA31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7,800 </w:t>
            </w:r>
          </w:p>
        </w:tc>
      </w:tr>
      <w:tr w:rsidR="000C73CD" w:rsidRPr="000C73CD" w14:paraId="589E3083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9AF80A7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Audit costs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CE7698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4C71D6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5BEEFD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903467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DB35B1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4BB222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A19277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20C44D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BB9DDE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4837D3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366FF0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15329F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£     8,000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6E7D512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 £     8,000 </w:t>
            </w:r>
          </w:p>
        </w:tc>
      </w:tr>
      <w:tr w:rsidR="000C73CD" w:rsidRPr="000C73CD" w14:paraId="4A29EC4F" w14:textId="77777777" w:rsidTr="000C73CD">
        <w:trPr>
          <w:trHeight w:val="76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7B7E895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Third Parties Total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562718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CAAE46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308DD1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2617AD5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5622D4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270305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4FA9BB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0D34CB3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D63FF7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04CBBA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5,000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AC777F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7,800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15316F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8,000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BA453A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20,800 </w:t>
            </w:r>
          </w:p>
        </w:tc>
      </w:tr>
      <w:tr w:rsidR="0071654E" w:rsidRPr="0071654E" w14:paraId="5E8545A2" w14:textId="77777777" w:rsidTr="000C73CD">
        <w:trPr>
          <w:trHeight w:val="390"/>
        </w:trPr>
        <w:tc>
          <w:tcPr>
            <w:tcW w:w="5000" w:type="pct"/>
            <w:gridSpan w:val="14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bottom"/>
            <w:hideMark/>
          </w:tcPr>
          <w:p w14:paraId="455B66D8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Others</w:t>
            </w:r>
          </w:p>
        </w:tc>
      </w:tr>
      <w:tr w:rsidR="000C73CD" w:rsidRPr="000C73CD" w14:paraId="7E6FD3A4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9CD3789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Travel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0D85AE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723815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824EBE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B79B5F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747549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6843E9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A618FE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BDB60F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A23FD41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1B7ADC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E92C59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FB24BC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6612E88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  1,000 </w:t>
            </w:r>
          </w:p>
        </w:tc>
      </w:tr>
      <w:tr w:rsidR="000C73CD" w:rsidRPr="000C73CD" w14:paraId="6831DF0B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3172ECB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B6AF11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0B00D4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CF9EAF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7AB7792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BAF467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E30700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347443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010D33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0849C2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A6791E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2564AC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37F7CA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5CDEBE2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          -   </w:t>
            </w:r>
          </w:p>
        </w:tc>
      </w:tr>
      <w:tr w:rsidR="000C73CD" w:rsidRPr="000C73CD" w14:paraId="583B4BB8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C469305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1A83017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EDC9D4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08AA59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1FEF11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C74B0E9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53B3D08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3452DA6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992613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2FA837C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636F802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4793B22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14:paraId="0827650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5B9BD5"/>
            <w:vAlign w:val="bottom"/>
            <w:hideMark/>
          </w:tcPr>
          <w:p w14:paraId="6A5BA0F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          -   </w:t>
            </w:r>
          </w:p>
        </w:tc>
      </w:tr>
      <w:tr w:rsidR="000C73CD" w:rsidRPr="000C73CD" w14:paraId="7765DFCD" w14:textId="77777777" w:rsidTr="000C73CD">
        <w:trPr>
          <w:trHeight w:val="375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5D4B4D2" w14:textId="77777777" w:rsidR="0071654E" w:rsidRPr="0071654E" w:rsidRDefault="0071654E" w:rsidP="00716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Others Total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C29DA7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CAF02E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111086D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211648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04A965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3877494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5342D3F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5CA031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71E5862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0D59AA7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43EC842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63966A2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        -  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9BC2E6"/>
            <w:vAlign w:val="bottom"/>
            <w:hideMark/>
          </w:tcPr>
          <w:p w14:paraId="1C72B3B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£     1,000 </w:t>
            </w:r>
          </w:p>
        </w:tc>
      </w:tr>
      <w:tr w:rsidR="000C73CD" w:rsidRPr="000C73CD" w14:paraId="19772DD3" w14:textId="77777777" w:rsidTr="000C73CD">
        <w:trPr>
          <w:trHeight w:val="750"/>
        </w:trPr>
        <w:tc>
          <w:tcPr>
            <w:tcW w:w="35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1A47B7A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Total Monthly Spend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4C5C749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£2,200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11F12A7C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£13,200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6BF78CE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£14,800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12E6043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7,200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1D3C7AB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9,200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343D667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9,300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32900FB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£10,200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5BB6987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£17,200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07042304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18,300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44C007C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15,200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15F62C8A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12,500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2017712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   13,300 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5B9BD5"/>
            <w:vAlign w:val="bottom"/>
            <w:hideMark/>
          </w:tcPr>
          <w:p w14:paraId="3E5D3997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 xml:space="preserve"> £142,600 </w:t>
            </w:r>
          </w:p>
        </w:tc>
      </w:tr>
      <w:tr w:rsidR="000C73CD" w:rsidRPr="000C73CD" w14:paraId="05C86D1D" w14:textId="77777777" w:rsidTr="000C73CD">
        <w:trPr>
          <w:trHeight w:val="750"/>
        </w:trPr>
        <w:tc>
          <w:tcPr>
            <w:tcW w:w="357" w:type="pc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0C25B49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Total Budget Spend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1D8D125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£2,200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48066502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£15,400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385DD4CB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£30,200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02B94C23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£37,400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19AA8CC5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£46,600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3EE721E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£55,900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440D996D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£66,100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58C3CF00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£83,300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6AE91C1F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£101,600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0BE8CB6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£116,800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7CCFBE86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£129,300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vAlign w:val="bottom"/>
            <w:hideMark/>
          </w:tcPr>
          <w:p w14:paraId="48CD1CE8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GB"/>
              </w:rPr>
              <w:t xml:space="preserve"> £142,600 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ABE6E" w14:textId="77777777" w:rsidR="0071654E" w:rsidRPr="0071654E" w:rsidRDefault="0071654E" w:rsidP="007165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1654E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 </w:t>
            </w:r>
          </w:p>
        </w:tc>
      </w:tr>
    </w:tbl>
    <w:p w14:paraId="3BC59381" w14:textId="77777777" w:rsidR="006B6D9B" w:rsidRPr="00CA32A5" w:rsidRDefault="006B6D9B" w:rsidP="006B6D9B">
      <w:pPr>
        <w:spacing w:before="100" w:beforeAutospacing="1" w:after="100" w:afterAutospacing="1" w:line="240" w:lineRule="auto"/>
      </w:pPr>
    </w:p>
    <w:p w14:paraId="3C7C2E57" w14:textId="77777777" w:rsidR="00CA32A5" w:rsidRPr="00CA32A5" w:rsidRDefault="00CA32A5" w:rsidP="00CA32A5"/>
    <w:sectPr w:rsidR="00CA32A5" w:rsidRPr="00CA32A5" w:rsidSect="000C73C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84DA" w14:textId="77777777" w:rsidR="00715736" w:rsidRDefault="00715736">
      <w:pPr>
        <w:spacing w:after="0"/>
      </w:pPr>
      <w:r>
        <w:separator/>
      </w:r>
    </w:p>
  </w:endnote>
  <w:endnote w:type="continuationSeparator" w:id="0">
    <w:p w14:paraId="25577851" w14:textId="77777777" w:rsidR="00715736" w:rsidRDefault="00715736">
      <w:pPr>
        <w:spacing w:after="0"/>
      </w:pPr>
      <w:r>
        <w:continuationSeparator/>
      </w:r>
    </w:p>
  </w:endnote>
  <w:endnote w:type="continuationNotice" w:id="1">
    <w:p w14:paraId="14745518" w14:textId="77777777" w:rsidR="00715736" w:rsidRDefault="0071573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455C" w14:textId="77777777" w:rsidR="00715736" w:rsidRDefault="00715736">
      <w:pPr>
        <w:spacing w:after="0"/>
      </w:pPr>
      <w:r>
        <w:separator/>
      </w:r>
    </w:p>
  </w:footnote>
  <w:footnote w:type="continuationSeparator" w:id="0">
    <w:p w14:paraId="76128757" w14:textId="77777777" w:rsidR="00715736" w:rsidRDefault="00715736">
      <w:pPr>
        <w:spacing w:after="0"/>
      </w:pPr>
      <w:r>
        <w:continuationSeparator/>
      </w:r>
    </w:p>
  </w:footnote>
  <w:footnote w:type="continuationNotice" w:id="1">
    <w:p w14:paraId="6CDC0315" w14:textId="77777777" w:rsidR="00715736" w:rsidRDefault="0071573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A60"/>
    <w:multiLevelType w:val="multilevel"/>
    <w:tmpl w:val="5E3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162"/>
    <w:multiLevelType w:val="multilevel"/>
    <w:tmpl w:val="3F5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0CF6"/>
    <w:multiLevelType w:val="multilevel"/>
    <w:tmpl w:val="BA3E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77F59"/>
    <w:multiLevelType w:val="multilevel"/>
    <w:tmpl w:val="770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264E0"/>
    <w:multiLevelType w:val="multilevel"/>
    <w:tmpl w:val="46B0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133E"/>
    <w:multiLevelType w:val="multilevel"/>
    <w:tmpl w:val="D39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273E3"/>
    <w:multiLevelType w:val="multilevel"/>
    <w:tmpl w:val="55F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F0853"/>
    <w:multiLevelType w:val="multilevel"/>
    <w:tmpl w:val="09C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4584E"/>
    <w:multiLevelType w:val="multilevel"/>
    <w:tmpl w:val="CE7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B0A6E"/>
    <w:multiLevelType w:val="multilevel"/>
    <w:tmpl w:val="8C9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9387F"/>
    <w:multiLevelType w:val="multilevel"/>
    <w:tmpl w:val="2B5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A0DA7"/>
    <w:multiLevelType w:val="multilevel"/>
    <w:tmpl w:val="CD2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30197"/>
    <w:multiLevelType w:val="multilevel"/>
    <w:tmpl w:val="57A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160D8"/>
    <w:multiLevelType w:val="multilevel"/>
    <w:tmpl w:val="0EF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 w:numId="1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wFAGUmsi0tAAAA"/>
  </w:docVars>
  <w:rsids>
    <w:rsidRoot w:val="009D435B"/>
    <w:rsid w:val="000001BB"/>
    <w:rsid w:val="0000609E"/>
    <w:rsid w:val="00010283"/>
    <w:rsid w:val="000117A5"/>
    <w:rsid w:val="00012C5C"/>
    <w:rsid w:val="00013244"/>
    <w:rsid w:val="000174E1"/>
    <w:rsid w:val="00020645"/>
    <w:rsid w:val="00022AD0"/>
    <w:rsid w:val="00035093"/>
    <w:rsid w:val="00064436"/>
    <w:rsid w:val="000820FB"/>
    <w:rsid w:val="00083C90"/>
    <w:rsid w:val="00084893"/>
    <w:rsid w:val="0008605D"/>
    <w:rsid w:val="0008662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C73CD"/>
    <w:rsid w:val="000D311F"/>
    <w:rsid w:val="000D7E48"/>
    <w:rsid w:val="000F1403"/>
    <w:rsid w:val="001008ED"/>
    <w:rsid w:val="00117570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5B9A"/>
    <w:rsid w:val="001B3047"/>
    <w:rsid w:val="001B6E23"/>
    <w:rsid w:val="001C1A36"/>
    <w:rsid w:val="001C3C88"/>
    <w:rsid w:val="001C7A61"/>
    <w:rsid w:val="001D1B17"/>
    <w:rsid w:val="001D5DA5"/>
    <w:rsid w:val="001F0C41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375"/>
    <w:rsid w:val="002D1F9E"/>
    <w:rsid w:val="002E0B03"/>
    <w:rsid w:val="002E34E3"/>
    <w:rsid w:val="002E651F"/>
    <w:rsid w:val="003107E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9579C"/>
    <w:rsid w:val="003975E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1D4C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83C89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7285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B6D9B"/>
    <w:rsid w:val="006C0936"/>
    <w:rsid w:val="006C1A23"/>
    <w:rsid w:val="006D0B97"/>
    <w:rsid w:val="006D40AD"/>
    <w:rsid w:val="006D7CD5"/>
    <w:rsid w:val="006E7FB7"/>
    <w:rsid w:val="006F0498"/>
    <w:rsid w:val="006F633B"/>
    <w:rsid w:val="0070037A"/>
    <w:rsid w:val="00711FB4"/>
    <w:rsid w:val="0071495A"/>
    <w:rsid w:val="00715736"/>
    <w:rsid w:val="0071654E"/>
    <w:rsid w:val="00725D7D"/>
    <w:rsid w:val="00732F05"/>
    <w:rsid w:val="00733514"/>
    <w:rsid w:val="00734A24"/>
    <w:rsid w:val="00735C50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7788"/>
    <w:rsid w:val="008A6694"/>
    <w:rsid w:val="008C5390"/>
    <w:rsid w:val="008D17D5"/>
    <w:rsid w:val="008D432F"/>
    <w:rsid w:val="008D60D7"/>
    <w:rsid w:val="008E062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337AA"/>
    <w:rsid w:val="00941EB1"/>
    <w:rsid w:val="0095063E"/>
    <w:rsid w:val="00952D14"/>
    <w:rsid w:val="009561E6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75CF"/>
    <w:rsid w:val="00A449DF"/>
    <w:rsid w:val="00A45D82"/>
    <w:rsid w:val="00A50290"/>
    <w:rsid w:val="00A5030F"/>
    <w:rsid w:val="00A60A8F"/>
    <w:rsid w:val="00A61327"/>
    <w:rsid w:val="00A646D3"/>
    <w:rsid w:val="00A66B28"/>
    <w:rsid w:val="00A71134"/>
    <w:rsid w:val="00A7331B"/>
    <w:rsid w:val="00A733C5"/>
    <w:rsid w:val="00A82BCD"/>
    <w:rsid w:val="00A862B8"/>
    <w:rsid w:val="00A90691"/>
    <w:rsid w:val="00A9133D"/>
    <w:rsid w:val="00A9216D"/>
    <w:rsid w:val="00AB0E40"/>
    <w:rsid w:val="00AB587D"/>
    <w:rsid w:val="00AC33B0"/>
    <w:rsid w:val="00AC50E2"/>
    <w:rsid w:val="00AD195F"/>
    <w:rsid w:val="00AD1BE0"/>
    <w:rsid w:val="00AD2FD0"/>
    <w:rsid w:val="00AD58A0"/>
    <w:rsid w:val="00AE2D7B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C49EF"/>
    <w:rsid w:val="00BD03C3"/>
    <w:rsid w:val="00BE015D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6C"/>
    <w:rsid w:val="00C75606"/>
    <w:rsid w:val="00C843B2"/>
    <w:rsid w:val="00C84D5B"/>
    <w:rsid w:val="00C85982"/>
    <w:rsid w:val="00C97A7A"/>
    <w:rsid w:val="00CA140C"/>
    <w:rsid w:val="00CA1F64"/>
    <w:rsid w:val="00CA2B31"/>
    <w:rsid w:val="00CA32A5"/>
    <w:rsid w:val="00CA48B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49F0"/>
    <w:rsid w:val="00DD29DB"/>
    <w:rsid w:val="00DD7E5B"/>
    <w:rsid w:val="00DF60A5"/>
    <w:rsid w:val="00E0103F"/>
    <w:rsid w:val="00E05B39"/>
    <w:rsid w:val="00E157CF"/>
    <w:rsid w:val="00E163A7"/>
    <w:rsid w:val="00E20B16"/>
    <w:rsid w:val="00E33038"/>
    <w:rsid w:val="00E37075"/>
    <w:rsid w:val="00E62FA5"/>
    <w:rsid w:val="00E9449B"/>
    <w:rsid w:val="00EA2F44"/>
    <w:rsid w:val="00EA3F51"/>
    <w:rsid w:val="00EA49FC"/>
    <w:rsid w:val="00EB3D71"/>
    <w:rsid w:val="00EB61EE"/>
    <w:rsid w:val="00EC408C"/>
    <w:rsid w:val="00EC5931"/>
    <w:rsid w:val="00EC659A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2235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table" w:styleId="ListTable4-Accent4">
    <w:name w:val="List Table 4 Accent 4"/>
    <w:basedOn w:val="TableNormal"/>
    <w:uiPriority w:val="49"/>
    <w:rsid w:val="0002064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A3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2024-06-09T18:11:00Z</dcterms:created>
  <dcterms:modified xsi:type="dcterms:W3CDTF">2024-10-17T11:59:00Z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