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3653486F" w:rsidR="007925C5" w:rsidRDefault="007925C5" w:rsidP="00B25575">
      <w:pPr>
        <w:jc w:val="both"/>
      </w:pPr>
    </w:p>
    <w:p w14:paraId="664B9F32" w14:textId="1650B4E0" w:rsidR="007C00B0" w:rsidRDefault="7CA38049" w:rsidP="00632EF9">
      <w:pPr>
        <w:pStyle w:val="Title"/>
      </w:pPr>
      <w:r>
        <w:t xml:space="preserve">Acceptable Use Policy </w:t>
      </w:r>
    </w:p>
    <w:p w14:paraId="7E271CDF" w14:textId="77777777" w:rsidR="007C00B0" w:rsidRDefault="007C00B0" w:rsidP="00B25575">
      <w:pPr>
        <w:jc w:val="both"/>
      </w:pPr>
    </w:p>
    <w:p w14:paraId="00E90905" w14:textId="19EC9A14" w:rsidR="00BB1D09" w:rsidRDefault="66FABF14" w:rsidP="00BB1D09">
      <w:pPr>
        <w:rPr>
          <w:sz w:val="24"/>
          <w:szCs w:val="24"/>
        </w:rPr>
      </w:pPr>
      <w:r w:rsidRPr="00B60F31">
        <w:rPr>
          <w:b/>
          <w:bCs/>
          <w:sz w:val="28"/>
          <w:szCs w:val="28"/>
        </w:rPr>
        <w:t>Classification</w:t>
      </w:r>
      <w:r w:rsidRPr="6C30E20F">
        <w:rPr>
          <w:color w:val="008CC8"/>
          <w:sz w:val="28"/>
          <w:szCs w:val="28"/>
        </w:rPr>
        <w:t>:</w:t>
      </w:r>
      <w:r>
        <w:t xml:space="preserve"> </w:t>
      </w:r>
      <w:r w:rsidR="6788892C" w:rsidRPr="6C30E20F">
        <w:rPr>
          <w:sz w:val="24"/>
          <w:szCs w:val="24"/>
        </w:rPr>
        <w:t>Internal</w:t>
      </w:r>
    </w:p>
    <w:p w14:paraId="11C4FA51" w14:textId="77777777" w:rsidR="0090494F" w:rsidRDefault="0090494F" w:rsidP="0090494F">
      <w:r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90494F" w:rsidRPr="00995854" w14:paraId="5C77BDAA" w14:textId="77777777" w:rsidTr="0023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C3B111" w14:textId="77777777" w:rsidR="0090494F" w:rsidRPr="00995854" w:rsidRDefault="0090494F" w:rsidP="00233665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6CC97F" w14:textId="77777777" w:rsidR="0090494F" w:rsidRPr="00550941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7ACB55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72637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0FE1D783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1573A9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0307A3" w14:textId="77777777" w:rsidR="0090494F" w:rsidRPr="00995854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48F1F9" w14:textId="77777777" w:rsidR="0090494F" w:rsidRPr="00670232" w:rsidRDefault="0090494F" w:rsidP="00233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90494F" w:rsidRPr="00995854" w14:paraId="2D0DFDDA" w14:textId="77777777" w:rsidTr="002336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78B40549" w14:textId="77777777" w:rsidR="0090494F" w:rsidRPr="00995854" w:rsidRDefault="0090494F" w:rsidP="00233665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2D3BBC41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67B1D178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2BBDC9DA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2AF58132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276A1C34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2CC8C3D8" w14:textId="77777777" w:rsidR="0090494F" w:rsidRPr="00995854" w:rsidRDefault="0090494F" w:rsidP="002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55E186C" w14:textId="77777777" w:rsidR="00BF4995" w:rsidRDefault="00BF4995" w:rsidP="00BB1D09"/>
    <w:sdt>
      <w:sdtPr>
        <w:rPr>
          <w:rFonts w:asciiTheme="minorHAnsi" w:eastAsiaTheme="minorEastAsia" w:hAnsiTheme="minorHAnsi" w:cstheme="minorBidi"/>
          <w:color w:val="auto"/>
          <w:sz w:val="18"/>
          <w:szCs w:val="18"/>
        </w:rPr>
        <w:id w:val="119490496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187D7A2E" w:rsidR="00BB1D09" w:rsidRDefault="00BB1D09">
          <w:pPr>
            <w:pStyle w:val="TOCHeading"/>
          </w:pPr>
          <w:r>
            <w:t>Contents</w:t>
          </w:r>
        </w:p>
        <w:p w14:paraId="16B2209B" w14:textId="10B3A709" w:rsidR="00EA50F8" w:rsidRDefault="5F9903E9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BB1D09">
            <w:instrText>TOC \o "1-3" \h \z \u</w:instrText>
          </w:r>
          <w:r>
            <w:fldChar w:fldCharType="separate"/>
          </w:r>
          <w:hyperlink w:anchor="_Toc142819499" w:history="1">
            <w:r w:rsidR="00EA50F8" w:rsidRPr="001D74D6">
              <w:rPr>
                <w:rStyle w:val="Hyperlink"/>
                <w:noProof/>
              </w:rPr>
              <w:t>Purpose of This Document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_Toc142819499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1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4A99902F" w14:textId="5FE5EF38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0" w:history="1">
            <w:r w:rsidR="00EA50F8" w:rsidRPr="001D74D6">
              <w:rPr>
                <w:rStyle w:val="Hyperlink"/>
                <w:noProof/>
              </w:rPr>
              <w:t>Scope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_Toc142819500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2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003D258F" w14:textId="772BE78B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1" w:history="1">
            <w:r w:rsidR="00EA50F8" w:rsidRPr="001D74D6">
              <w:rPr>
                <w:rStyle w:val="Hyperlink"/>
                <w:noProof/>
              </w:rPr>
              <w:t>Responsibilities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_Toc142819501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2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44D68131" w14:textId="50DB9D1D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2" w:history="1">
            <w:r w:rsidR="00EA50F8" w:rsidRPr="001D74D6">
              <w:rPr>
                <w:rStyle w:val="Hyperlink"/>
                <w:noProof/>
              </w:rPr>
              <w:t>Exceptions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_Toc142819502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2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74270F03" w14:textId="429EA6B5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3" w:history="1">
            <w:r w:rsidR="00EA50F8" w:rsidRPr="001D74D6">
              <w:rPr>
                <w:rStyle w:val="Hyperlink"/>
                <w:noProof/>
              </w:rPr>
              <w:t>Computer Access Control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_Toc142819503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2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1977E8FE" w14:textId="30EE41B1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4" w:history="1">
            <w:r w:rsidR="00EA50F8" w:rsidRPr="001D74D6">
              <w:rPr>
                <w:rStyle w:val="Hyperlink"/>
                <w:noProof/>
              </w:rPr>
              <w:t>Internet &amp; Email Use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_Toc142819504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2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28321857" w14:textId="219CB505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5" w:history="1">
            <w:r w:rsidR="00EA50F8" w:rsidRPr="001D74D6">
              <w:rPr>
                <w:rStyle w:val="Hyperlink"/>
                <w:noProof/>
              </w:rPr>
              <w:t>Clear Desk &amp; Screen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_Toc142819505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24DC80B2" w14:textId="0F224E23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6" w:history="1">
            <w:r w:rsidR="00EA50F8" w:rsidRPr="001D74D6">
              <w:rPr>
                <w:rStyle w:val="Hyperlink"/>
                <w:noProof/>
              </w:rPr>
              <w:t>Remote Working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_Toc142819506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3A420442" w14:textId="021E7092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7" w:history="1">
            <w:r w:rsidR="00EA50F8" w:rsidRPr="001D74D6">
              <w:rPr>
                <w:rStyle w:val="Hyperlink"/>
                <w:noProof/>
              </w:rPr>
              <w:t>Mobile Storage Devices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_Toc142819507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11AA186B" w14:textId="4C9A1DFA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8" w:history="1">
            <w:r w:rsidR="00EA50F8" w:rsidRPr="001D74D6">
              <w:rPr>
                <w:rStyle w:val="Hyperlink"/>
                <w:noProof/>
              </w:rPr>
              <w:t>Transferring Data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_Toc142819508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45777C70" w14:textId="071B1304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09" w:history="1">
            <w:r w:rsidR="00EA50F8" w:rsidRPr="001D74D6">
              <w:rPr>
                <w:rStyle w:val="Hyperlink"/>
                <w:noProof/>
              </w:rPr>
              <w:t>Software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_Toc142819509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13EDBE0A" w14:textId="23FB2123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10" w:history="1">
            <w:r w:rsidR="00EA50F8" w:rsidRPr="001D74D6">
              <w:rPr>
                <w:rStyle w:val="Hyperlink"/>
                <w:noProof/>
              </w:rPr>
              <w:t>Malware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_Toc142819510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3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22A047F2" w14:textId="664A8034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11" w:history="1">
            <w:r w:rsidR="00EA50F8" w:rsidRPr="001D74D6">
              <w:rPr>
                <w:rStyle w:val="Hyperlink"/>
                <w:noProof/>
              </w:rPr>
              <w:t>Telephony (Voice) Equipment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_Toc142819511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4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79F4DF3C" w14:textId="2516086A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12" w:history="1">
            <w:r w:rsidR="00EA50F8" w:rsidRPr="001D74D6">
              <w:rPr>
                <w:rStyle w:val="Hyperlink"/>
                <w:noProof/>
              </w:rPr>
              <w:t xml:space="preserve">Actions upon Leaving the </w:t>
            </w:r>
            <w:r w:rsidR="00597E25">
              <w:rPr>
                <w:rStyle w:val="Hyperlink"/>
                <w:noProof/>
              </w:rPr>
              <w:t>TechSolution.inc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_Toc142819512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4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4224F636" w14:textId="269F2BC5" w:rsidR="00EA50F8" w:rsidRDefault="0099671A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42819513" w:history="1">
            <w:r w:rsidR="00EA50F8" w:rsidRPr="001D74D6">
              <w:rPr>
                <w:rStyle w:val="Hyperlink"/>
                <w:noProof/>
              </w:rPr>
              <w:t>Monitoring and Filtering</w:t>
            </w:r>
            <w:r w:rsidR="00EA50F8">
              <w:rPr>
                <w:noProof/>
                <w:webHidden/>
              </w:rPr>
              <w:tab/>
            </w:r>
            <w:r w:rsidR="00EA50F8">
              <w:rPr>
                <w:noProof/>
                <w:webHidden/>
              </w:rPr>
              <w:fldChar w:fldCharType="begin"/>
            </w:r>
            <w:r w:rsidR="00EA50F8">
              <w:rPr>
                <w:noProof/>
                <w:webHidden/>
              </w:rPr>
              <w:instrText xml:space="preserve"> PAGEREF _Toc142819513 \h </w:instrText>
            </w:r>
            <w:r w:rsidR="00EA50F8">
              <w:rPr>
                <w:noProof/>
                <w:webHidden/>
              </w:rPr>
            </w:r>
            <w:r w:rsidR="00EA50F8">
              <w:rPr>
                <w:noProof/>
                <w:webHidden/>
              </w:rPr>
              <w:fldChar w:fldCharType="separate"/>
            </w:r>
            <w:r w:rsidR="008F033C">
              <w:rPr>
                <w:noProof/>
                <w:webHidden/>
              </w:rPr>
              <w:t>4</w:t>
            </w:r>
            <w:r w:rsidR="00EA50F8">
              <w:rPr>
                <w:noProof/>
                <w:webHidden/>
              </w:rPr>
              <w:fldChar w:fldCharType="end"/>
            </w:r>
          </w:hyperlink>
        </w:p>
        <w:p w14:paraId="5448C8A1" w14:textId="1F06415F" w:rsidR="5F9903E9" w:rsidRDefault="5F9903E9" w:rsidP="5F9903E9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7FF9445C" w14:textId="3123E1A1" w:rsidR="007C00B0" w:rsidRDefault="00B43013" w:rsidP="00060D62">
      <w:pPr>
        <w:pStyle w:val="Heading1"/>
        <w:jc w:val="both"/>
      </w:pPr>
      <w:bookmarkStart w:id="0" w:name="_Toc142819499"/>
      <w:r>
        <w:lastRenderedPageBreak/>
        <w:t>Purpose of This Document</w:t>
      </w:r>
      <w:bookmarkEnd w:id="0"/>
    </w:p>
    <w:p w14:paraId="10259740" w14:textId="7098DB70" w:rsidR="00EA50F8" w:rsidRPr="00EA50F8" w:rsidRDefault="00EA50F8" w:rsidP="00EA50F8">
      <w:r w:rsidRPr="00EA50F8">
        <w:t xml:space="preserve">This document provides guidance on using IT </w:t>
      </w:r>
      <w:r w:rsidR="00F56D17">
        <w:t>assets</w:t>
      </w:r>
      <w:r w:rsidRPr="00EA50F8">
        <w:t xml:space="preserve"> appropriately to prevent data breaches.</w:t>
      </w:r>
    </w:p>
    <w:p w14:paraId="2C7C1AF1" w14:textId="6604802D" w:rsidR="007C00B0" w:rsidRDefault="007C00B0" w:rsidP="00B25575">
      <w:pPr>
        <w:pStyle w:val="Heading1"/>
        <w:jc w:val="both"/>
      </w:pPr>
      <w:bookmarkStart w:id="1" w:name="_Toc142819500"/>
      <w:r>
        <w:t>Scope</w:t>
      </w:r>
      <w:bookmarkEnd w:id="1"/>
    </w:p>
    <w:p w14:paraId="1CCB7CF0" w14:textId="1D5DEA8A" w:rsidR="009857D5" w:rsidRDefault="27FBAD08" w:rsidP="00B25575">
      <w:pPr>
        <w:jc w:val="both"/>
      </w:pPr>
      <w:r>
        <w:t xml:space="preserve">This Acceptable Use Policy </w:t>
      </w:r>
      <w:r w:rsidR="00BA09DA">
        <w:t>applies to</w:t>
      </w:r>
      <w:r w:rsidR="00597E25">
        <w:t>.</w:t>
      </w:r>
    </w:p>
    <w:p w14:paraId="064AA679" w14:textId="687EE2EF" w:rsidR="00EA50F8" w:rsidRDefault="00597E25" w:rsidP="00EA50F8">
      <w:pPr>
        <w:pStyle w:val="ListParagraph"/>
        <w:numPr>
          <w:ilvl w:val="0"/>
          <w:numId w:val="24"/>
        </w:numPr>
      </w:pPr>
      <w:proofErr w:type="spellStart"/>
      <w:r>
        <w:t>TechSolution.inc’s</w:t>
      </w:r>
      <w:proofErr w:type="spellEnd"/>
      <w:r>
        <w:t xml:space="preserve"> </w:t>
      </w:r>
      <w:r w:rsidR="00EA50F8">
        <w:t>IT equipment and information security</w:t>
      </w:r>
      <w:r>
        <w:t>.</w:t>
      </w:r>
    </w:p>
    <w:p w14:paraId="78E12AD9" w14:textId="0C0519DF" w:rsidR="00EA50F8" w:rsidRDefault="00EA50F8" w:rsidP="00EA50F8">
      <w:pPr>
        <w:pStyle w:val="ListParagraph"/>
        <w:numPr>
          <w:ilvl w:val="0"/>
          <w:numId w:val="24"/>
        </w:numPr>
      </w:pPr>
      <w:r>
        <w:t>Use of email, internet, voice, and mobile devices</w:t>
      </w:r>
      <w:r w:rsidR="00597E25">
        <w:t>.</w:t>
      </w:r>
    </w:p>
    <w:p w14:paraId="13DCF1DC" w14:textId="54730832" w:rsidR="00EA50F8" w:rsidRDefault="00EA50F8" w:rsidP="00EA50F8">
      <w:pPr>
        <w:pStyle w:val="ListParagraph"/>
        <w:numPr>
          <w:ilvl w:val="0"/>
          <w:numId w:val="24"/>
        </w:numPr>
      </w:pPr>
      <w:r>
        <w:t xml:space="preserve">All </w:t>
      </w:r>
      <w:r w:rsidR="00597E25">
        <w:t>TechSolution.inc</w:t>
      </w:r>
      <w:r>
        <w:t xml:space="preserve"> business-related information.</w:t>
      </w:r>
    </w:p>
    <w:p w14:paraId="08BCC228" w14:textId="747050E9" w:rsidR="007C00B0" w:rsidRDefault="007C00B0" w:rsidP="00060D62">
      <w:pPr>
        <w:pStyle w:val="Heading1"/>
        <w:jc w:val="both"/>
      </w:pPr>
      <w:bookmarkStart w:id="2" w:name="_Toc142819501"/>
      <w:r>
        <w:t>Responsibilities</w:t>
      </w:r>
      <w:bookmarkEnd w:id="2"/>
    </w:p>
    <w:p w14:paraId="69B3AAE8" w14:textId="71A569C9" w:rsidR="00EA50F8" w:rsidRPr="0090494F" w:rsidRDefault="007C00B0" w:rsidP="00090518">
      <w:pPr>
        <w:rPr>
          <w:b/>
          <w:bCs/>
        </w:rPr>
      </w:pPr>
      <w:r w:rsidRPr="0090494F">
        <w:rPr>
          <w:b/>
          <w:bCs/>
        </w:rPr>
        <w:t>Line Managers</w:t>
      </w:r>
    </w:p>
    <w:p w14:paraId="5FD74FFE" w14:textId="263EF11B" w:rsidR="00B23CFD" w:rsidRDefault="00B23CFD" w:rsidP="005E5AF2">
      <w:pPr>
        <w:pStyle w:val="ListParagraph"/>
        <w:numPr>
          <w:ilvl w:val="0"/>
          <w:numId w:val="5"/>
        </w:numPr>
        <w:jc w:val="both"/>
      </w:pPr>
      <w:r w:rsidRPr="00B23CFD">
        <w:t xml:space="preserve">Line Managers must ensure that individuals are given clear direction on the extent and limits of their authority </w:t>
      </w:r>
      <w:r>
        <w:t>concerning</w:t>
      </w:r>
      <w:r w:rsidRPr="00B23CFD">
        <w:t xml:space="preserve"> IT systems and data.</w:t>
      </w:r>
    </w:p>
    <w:p w14:paraId="01D574C1" w14:textId="67DE8D15" w:rsidR="007C00B0" w:rsidRDefault="6D9D268D" w:rsidP="005E5AF2">
      <w:pPr>
        <w:pStyle w:val="ListParagraph"/>
        <w:numPr>
          <w:ilvl w:val="0"/>
          <w:numId w:val="5"/>
        </w:numPr>
        <w:jc w:val="both"/>
      </w:pPr>
      <w:r>
        <w:t>Ensure s</w:t>
      </w:r>
      <w:r w:rsidR="26D5E661">
        <w:t>taff</w:t>
      </w:r>
      <w:r w:rsidR="68DD163C">
        <w:t>, temporary employees, contractors and secondees will</w:t>
      </w:r>
      <w:r w:rsidR="26D5E661">
        <w:t xml:space="preserve"> comply with this policy</w:t>
      </w:r>
    </w:p>
    <w:p w14:paraId="7C5060F0" w14:textId="2FE95BA4" w:rsidR="00EA50F8" w:rsidRDefault="00EA50F8" w:rsidP="00EA50F8">
      <w:pPr>
        <w:pStyle w:val="ListParagraph"/>
        <w:numPr>
          <w:ilvl w:val="0"/>
          <w:numId w:val="5"/>
        </w:numPr>
        <w:jc w:val="both"/>
      </w:pPr>
      <w:r>
        <w:t xml:space="preserve">Recover </w:t>
      </w:r>
      <w:r w:rsidR="00597E25">
        <w:t>TechSolution.inc</w:t>
      </w:r>
      <w:r>
        <w:t xml:space="preserve"> devices from departing staff or those not needing them</w:t>
      </w:r>
      <w:r w:rsidR="00597E25">
        <w:t>.</w:t>
      </w:r>
    </w:p>
    <w:p w14:paraId="32A3D48B" w14:textId="4F7C1B5D" w:rsidR="00EA50F8" w:rsidRDefault="00EA50F8" w:rsidP="00EA50F8">
      <w:pPr>
        <w:pStyle w:val="ListParagraph"/>
        <w:numPr>
          <w:ilvl w:val="0"/>
          <w:numId w:val="5"/>
        </w:numPr>
        <w:jc w:val="both"/>
      </w:pPr>
      <w:r>
        <w:t>Grant access to data and systems based on genuine need</w:t>
      </w:r>
      <w:r w:rsidR="00597E25">
        <w:t>.</w:t>
      </w:r>
    </w:p>
    <w:p w14:paraId="521DADFD" w14:textId="1CB6D10C" w:rsidR="00EA50F8" w:rsidRDefault="00EA50F8" w:rsidP="00EA50F8">
      <w:pPr>
        <w:pStyle w:val="ListParagraph"/>
        <w:numPr>
          <w:ilvl w:val="0"/>
          <w:numId w:val="5"/>
        </w:numPr>
        <w:jc w:val="both"/>
      </w:pPr>
      <w:r>
        <w:t>Revoke access for departing staff or those not needing it</w:t>
      </w:r>
      <w:r w:rsidR="00597E25">
        <w:t>.</w:t>
      </w:r>
    </w:p>
    <w:p w14:paraId="3FB9C873" w14:textId="3673CB54" w:rsidR="00CA022C" w:rsidRDefault="00EA50F8" w:rsidP="00EA50F8">
      <w:pPr>
        <w:pStyle w:val="ListParagraph"/>
        <w:numPr>
          <w:ilvl w:val="0"/>
          <w:numId w:val="5"/>
        </w:numPr>
        <w:jc w:val="both"/>
      </w:pPr>
      <w:r>
        <w:t>Clarify individual authorities regarding IT and data</w:t>
      </w:r>
    </w:p>
    <w:p w14:paraId="057EB304" w14:textId="20309FF8" w:rsidR="007C00B0" w:rsidRPr="0090494F" w:rsidRDefault="008A5FF4" w:rsidP="00090518">
      <w:pPr>
        <w:rPr>
          <w:b/>
          <w:bCs/>
        </w:rPr>
      </w:pPr>
      <w:r w:rsidRPr="0090494F">
        <w:rPr>
          <w:b/>
          <w:bCs/>
        </w:rPr>
        <w:t>All Staff</w:t>
      </w:r>
      <w:r w:rsidR="005B3048" w:rsidRPr="0090494F">
        <w:rPr>
          <w:b/>
          <w:bCs/>
        </w:rPr>
        <w:t xml:space="preserve"> </w:t>
      </w:r>
    </w:p>
    <w:p w14:paraId="172C3C0C" w14:textId="0B80A421" w:rsidR="00EA50F8" w:rsidRDefault="00EA50F8" w:rsidP="00EA50F8">
      <w:pPr>
        <w:pStyle w:val="ListParagraph"/>
        <w:numPr>
          <w:ilvl w:val="0"/>
          <w:numId w:val="24"/>
        </w:numPr>
      </w:pPr>
      <w:r>
        <w:t>Comply with this and related policies</w:t>
      </w:r>
      <w:r w:rsidR="00597E25">
        <w:t>.</w:t>
      </w:r>
    </w:p>
    <w:p w14:paraId="7B6DE96C" w14:textId="06EF4B44" w:rsidR="00EA50F8" w:rsidRDefault="00EA50F8" w:rsidP="00EA50F8">
      <w:pPr>
        <w:pStyle w:val="ListParagraph"/>
        <w:numPr>
          <w:ilvl w:val="0"/>
          <w:numId w:val="24"/>
        </w:numPr>
      </w:pPr>
      <w:r>
        <w:t>Report suspected policy breaches to line managers or IT.</w:t>
      </w:r>
    </w:p>
    <w:p w14:paraId="5ECCA20D" w14:textId="05E98401" w:rsidR="007C00B0" w:rsidRPr="0090494F" w:rsidRDefault="007C00B0" w:rsidP="00D864AC">
      <w:pPr>
        <w:rPr>
          <w:b/>
          <w:bCs/>
        </w:rPr>
      </w:pPr>
      <w:bookmarkStart w:id="3" w:name="_Toc142819502"/>
      <w:r w:rsidRPr="0090494F">
        <w:rPr>
          <w:b/>
          <w:bCs/>
        </w:rPr>
        <w:t>Exceptions</w:t>
      </w:r>
      <w:bookmarkEnd w:id="3"/>
    </w:p>
    <w:p w14:paraId="02D5F13F" w14:textId="47D0352D" w:rsidR="13DF8CB2" w:rsidRPr="00843331" w:rsidRDefault="00EA50F8" w:rsidP="00843331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Seek exceptions through the</w:t>
      </w:r>
      <w:r w:rsidR="13DF8CB2" w:rsidRPr="00843331">
        <w:rPr>
          <w:color w:val="000000" w:themeColor="text1"/>
        </w:rPr>
        <w:t xml:space="preserve"> IT Helpdesk</w:t>
      </w:r>
      <w:r w:rsidR="00E704AE" w:rsidRPr="00843331">
        <w:rPr>
          <w:color w:val="000000" w:themeColor="text1"/>
        </w:rPr>
        <w:t>.</w:t>
      </w:r>
    </w:p>
    <w:p w14:paraId="032F270E" w14:textId="0724A022" w:rsidR="007C00B0" w:rsidRDefault="007C00B0" w:rsidP="00B25575">
      <w:pPr>
        <w:pStyle w:val="Heading1"/>
        <w:jc w:val="both"/>
      </w:pPr>
      <w:bookmarkStart w:id="4" w:name="_Toc142819503"/>
      <w:r>
        <w:t>Computer Access Control</w:t>
      </w:r>
      <w:bookmarkEnd w:id="4"/>
      <w:r>
        <w:t xml:space="preserve"> </w:t>
      </w:r>
    </w:p>
    <w:p w14:paraId="0C3B09C7" w14:textId="6DF4A690" w:rsidR="00EA50F8" w:rsidRDefault="00EA50F8" w:rsidP="00EA50F8">
      <w:pPr>
        <w:pStyle w:val="ListParagraph"/>
        <w:numPr>
          <w:ilvl w:val="0"/>
          <w:numId w:val="7"/>
        </w:numPr>
        <w:jc w:val="both"/>
      </w:pPr>
      <w:r>
        <w:t>Keep login details confidential</w:t>
      </w:r>
      <w:r w:rsidR="00597E25">
        <w:t>.</w:t>
      </w:r>
    </w:p>
    <w:p w14:paraId="4FF2C419" w14:textId="62110487" w:rsidR="00EA50F8" w:rsidRDefault="00EA50F8" w:rsidP="00EA50F8">
      <w:pPr>
        <w:pStyle w:val="ListParagraph"/>
        <w:numPr>
          <w:ilvl w:val="0"/>
          <w:numId w:val="7"/>
        </w:numPr>
        <w:jc w:val="both"/>
      </w:pPr>
      <w:r>
        <w:t>Consult IT before connecting non-</w:t>
      </w:r>
      <w:r w:rsidR="00597E25">
        <w:t>TechSolution.inc</w:t>
      </w:r>
      <w:r>
        <w:t xml:space="preserve"> devices, except for the ‘Guest’ network</w:t>
      </w:r>
      <w:r w:rsidR="00597E25">
        <w:t>.</w:t>
      </w:r>
    </w:p>
    <w:p w14:paraId="1E0C523C" w14:textId="40A313E0" w:rsidR="007C00B0" w:rsidRDefault="00EA50F8" w:rsidP="00EA50F8">
      <w:pPr>
        <w:pStyle w:val="ListParagraph"/>
        <w:numPr>
          <w:ilvl w:val="0"/>
          <w:numId w:val="7"/>
        </w:numPr>
        <w:jc w:val="both"/>
      </w:pPr>
      <w:r>
        <w:t xml:space="preserve">Obtain approval before sharing </w:t>
      </w:r>
      <w:r w:rsidR="00597E25">
        <w:t>TechSolution.inc</w:t>
      </w:r>
      <w:r>
        <w:t xml:space="preserve"> data externally.</w:t>
      </w:r>
    </w:p>
    <w:p w14:paraId="0D0129BA" w14:textId="55BE7894" w:rsidR="007C00B0" w:rsidRDefault="007C00B0" w:rsidP="00B25575">
      <w:pPr>
        <w:pStyle w:val="Heading1"/>
        <w:jc w:val="both"/>
      </w:pPr>
      <w:bookmarkStart w:id="5" w:name="_Toc142819504"/>
      <w:r>
        <w:t xml:space="preserve">Internet </w:t>
      </w:r>
      <w:r w:rsidR="007E1A37">
        <w:t>&amp;</w:t>
      </w:r>
      <w:r>
        <w:t xml:space="preserve"> Email Use</w:t>
      </w:r>
      <w:bookmarkEnd w:id="5"/>
    </w:p>
    <w:p w14:paraId="6E2CCF6B" w14:textId="30A59C80" w:rsidR="007245E9" w:rsidRDefault="007245E9" w:rsidP="00EA50F8">
      <w:pPr>
        <w:pStyle w:val="ListParagraph"/>
        <w:numPr>
          <w:ilvl w:val="0"/>
          <w:numId w:val="26"/>
        </w:numPr>
      </w:pPr>
      <w:r w:rsidRPr="007245E9">
        <w:t xml:space="preserve">Personal use is allowed if it doesn’t affect work, harm </w:t>
      </w:r>
      <w:r w:rsidR="00597E25">
        <w:t>TechSolution.inc</w:t>
      </w:r>
      <w:r w:rsidRPr="007245E9">
        <w:t xml:space="preserve">, </w:t>
      </w:r>
      <w:r w:rsidR="00B97DBB">
        <w:t xml:space="preserve">or </w:t>
      </w:r>
      <w:r w:rsidRPr="007245E9">
        <w:t xml:space="preserve">breach employment terms or legal obligations. </w:t>
      </w:r>
    </w:p>
    <w:p w14:paraId="58BE3AA4" w14:textId="6A06B5FB" w:rsidR="007245E9" w:rsidRDefault="007245E9" w:rsidP="00EA50F8">
      <w:pPr>
        <w:pStyle w:val="ListParagraph"/>
        <w:numPr>
          <w:ilvl w:val="0"/>
          <w:numId w:val="26"/>
        </w:numPr>
      </w:pPr>
      <w:r w:rsidRPr="007245E9">
        <w:t xml:space="preserve">Personal use is permitted where such use does not affect the individual’s business performance, is not detrimental to </w:t>
      </w:r>
      <w:r w:rsidR="00597E25">
        <w:t>TechSolution.inc</w:t>
      </w:r>
      <w:r w:rsidRPr="007245E9">
        <w:t xml:space="preserve"> in any way, is not in breach of any term and condition of employment, and does not place the individual or </w:t>
      </w:r>
      <w:r w:rsidR="00597E25">
        <w:t>TechSolution.inc</w:t>
      </w:r>
      <w:r w:rsidRPr="007245E9">
        <w:t xml:space="preserve"> in breach of statutory or other legal obligations.</w:t>
      </w:r>
    </w:p>
    <w:p w14:paraId="0BA937FB" w14:textId="6F5D7F84" w:rsidR="00EA50F8" w:rsidRDefault="00EA50F8" w:rsidP="00EA50F8">
      <w:pPr>
        <w:pStyle w:val="ListParagraph"/>
        <w:numPr>
          <w:ilvl w:val="0"/>
          <w:numId w:val="26"/>
        </w:numPr>
      </w:pPr>
      <w:r>
        <w:t xml:space="preserve">Get permission before publishing </w:t>
      </w:r>
      <w:r w:rsidR="00597E25">
        <w:t>TechSolution.inc</w:t>
      </w:r>
      <w:r>
        <w:t>-related information online</w:t>
      </w:r>
      <w:r w:rsidR="00597E25">
        <w:t>.</w:t>
      </w:r>
    </w:p>
    <w:p w14:paraId="75D53D58" w14:textId="6E4CA359" w:rsidR="00EA50F8" w:rsidRDefault="00EA50F8" w:rsidP="00EA50F8">
      <w:pPr>
        <w:pStyle w:val="ListParagraph"/>
        <w:numPr>
          <w:ilvl w:val="0"/>
          <w:numId w:val="26"/>
        </w:numPr>
      </w:pPr>
      <w:r>
        <w:t xml:space="preserve">Don't email private </w:t>
      </w:r>
      <w:r w:rsidR="00597E25">
        <w:t>TechSolution.inc</w:t>
      </w:r>
      <w:r>
        <w:t xml:space="preserve"> data to personal accounts, except payslips/P60s</w:t>
      </w:r>
      <w:r w:rsidR="00597E25">
        <w:t>.</w:t>
      </w:r>
    </w:p>
    <w:p w14:paraId="3EB5BDB1" w14:textId="377C2E71" w:rsidR="00597E25" w:rsidRDefault="00EA50F8" w:rsidP="00597E25">
      <w:pPr>
        <w:pStyle w:val="ListParagraph"/>
        <w:numPr>
          <w:ilvl w:val="0"/>
          <w:numId w:val="26"/>
        </w:numPr>
      </w:pPr>
      <w:r>
        <w:t>Avoid offensive or inappropriate communications</w:t>
      </w:r>
      <w:r w:rsidR="00597E25">
        <w:t>.</w:t>
      </w:r>
    </w:p>
    <w:p w14:paraId="4CB6B886" w14:textId="2AD5150D" w:rsidR="00EA50F8" w:rsidRDefault="00597E25" w:rsidP="00EA50F8">
      <w:pPr>
        <w:pStyle w:val="ListParagraph"/>
        <w:numPr>
          <w:ilvl w:val="0"/>
          <w:numId w:val="26"/>
        </w:numPr>
      </w:pPr>
      <w:r>
        <w:t xml:space="preserve">TechSolution.inc </w:t>
      </w:r>
      <w:r w:rsidR="00EA50F8">
        <w:t>IT shouldn't be used for personal gain</w:t>
      </w:r>
      <w:r>
        <w:t>.</w:t>
      </w:r>
    </w:p>
    <w:p w14:paraId="2C7D5C48" w14:textId="2655B38D" w:rsidR="00EA50F8" w:rsidRDefault="00EA50F8" w:rsidP="00EA50F8">
      <w:pPr>
        <w:pStyle w:val="ListParagraph"/>
        <w:numPr>
          <w:ilvl w:val="0"/>
          <w:numId w:val="26"/>
        </w:numPr>
      </w:pPr>
      <w:r>
        <w:t>Respect copyright for downloaded material.</w:t>
      </w:r>
    </w:p>
    <w:p w14:paraId="1CB4FFA3" w14:textId="496B17D0" w:rsidR="007C00B0" w:rsidRDefault="0047549B" w:rsidP="0047549B">
      <w:pPr>
        <w:pStyle w:val="Heading1"/>
      </w:pPr>
      <w:bookmarkStart w:id="6" w:name="_Toc142819505"/>
      <w:r>
        <w:t xml:space="preserve">Clear Desk </w:t>
      </w:r>
      <w:r w:rsidR="007E1A37">
        <w:t xml:space="preserve">&amp; </w:t>
      </w:r>
      <w:r>
        <w:t>Screen</w:t>
      </w:r>
      <w:bookmarkEnd w:id="6"/>
    </w:p>
    <w:p w14:paraId="3AA33E63" w14:textId="23CC42A1" w:rsidR="00EA50F8" w:rsidRDefault="00EA50F8" w:rsidP="00EA50F8">
      <w:pPr>
        <w:pStyle w:val="ListParagraph"/>
        <w:numPr>
          <w:ilvl w:val="0"/>
          <w:numId w:val="4"/>
        </w:numPr>
        <w:jc w:val="both"/>
      </w:pPr>
      <w:r>
        <w:t>Don't leave confidential data unattended</w:t>
      </w:r>
      <w:r w:rsidR="00597E25">
        <w:t>.</w:t>
      </w:r>
    </w:p>
    <w:p w14:paraId="239D3F79" w14:textId="15BEE5BE" w:rsidR="00EA50F8" w:rsidRDefault="00EA50F8" w:rsidP="00EA50F8">
      <w:pPr>
        <w:pStyle w:val="ListParagraph"/>
        <w:numPr>
          <w:ilvl w:val="0"/>
          <w:numId w:val="4"/>
        </w:numPr>
        <w:jc w:val="both"/>
      </w:pPr>
      <w:r>
        <w:t>Lock computers when away</w:t>
      </w:r>
      <w:r w:rsidR="00597E25">
        <w:t>.</w:t>
      </w:r>
    </w:p>
    <w:p w14:paraId="3D2B3552" w14:textId="3E76E8EF" w:rsidR="00234D5C" w:rsidRDefault="00234D5C" w:rsidP="00EA50F8">
      <w:pPr>
        <w:pStyle w:val="ListParagraph"/>
        <w:numPr>
          <w:ilvl w:val="0"/>
          <w:numId w:val="4"/>
        </w:numPr>
        <w:jc w:val="both"/>
      </w:pPr>
      <w:r w:rsidRPr="00234D5C">
        <w:t>All business-related printed matter must be disposed of using confidential waste bins or shredders.</w:t>
      </w:r>
    </w:p>
    <w:p w14:paraId="7CB1DBCE" w14:textId="5B5FCAF7" w:rsidR="007C00B0" w:rsidRDefault="007E1A37" w:rsidP="00B25575">
      <w:pPr>
        <w:pStyle w:val="Heading1"/>
        <w:jc w:val="both"/>
      </w:pPr>
      <w:bookmarkStart w:id="7" w:name="_Toc142819506"/>
      <w:r>
        <w:t>Remote Working</w:t>
      </w:r>
      <w:bookmarkEnd w:id="7"/>
    </w:p>
    <w:p w14:paraId="7FBB9AB7" w14:textId="715F16E1" w:rsidR="00EA50F8" w:rsidRDefault="00EA50F8" w:rsidP="00EA50F8">
      <w:pPr>
        <w:pStyle w:val="ListParagraph"/>
        <w:numPr>
          <w:ilvl w:val="0"/>
          <w:numId w:val="27"/>
        </w:numPr>
      </w:pPr>
      <w:r>
        <w:t xml:space="preserve">Safeguard </w:t>
      </w:r>
      <w:r w:rsidR="00597E25">
        <w:t>TechSolution.inc</w:t>
      </w:r>
      <w:r>
        <w:t xml:space="preserve"> devices in public and during travel</w:t>
      </w:r>
      <w:r w:rsidR="00597E25">
        <w:t>.</w:t>
      </w:r>
    </w:p>
    <w:p w14:paraId="5B2B4F9F" w14:textId="07A1D9B0" w:rsidR="00EA50F8" w:rsidRDefault="00EA50F8" w:rsidP="00EA50F8">
      <w:pPr>
        <w:pStyle w:val="ListParagraph"/>
        <w:numPr>
          <w:ilvl w:val="0"/>
          <w:numId w:val="27"/>
        </w:numPr>
      </w:pPr>
      <w:r>
        <w:t>Don't share devices with non-</w:t>
      </w:r>
      <w:r w:rsidR="00597E25">
        <w:t>TechSolution.inc</w:t>
      </w:r>
      <w:r>
        <w:t xml:space="preserve"> </w:t>
      </w:r>
      <w:r w:rsidR="004013D0">
        <w:t>employees</w:t>
      </w:r>
      <w:r w:rsidR="00597E25">
        <w:t>.</w:t>
      </w:r>
    </w:p>
    <w:p w14:paraId="279A6B64" w14:textId="24CB3A51" w:rsidR="00EA50F8" w:rsidRDefault="00EA50F8" w:rsidP="00EA50F8">
      <w:pPr>
        <w:pStyle w:val="ListParagraph"/>
        <w:numPr>
          <w:ilvl w:val="0"/>
          <w:numId w:val="27"/>
        </w:numPr>
      </w:pPr>
      <w:r>
        <w:t>Avoid unsecured and unfamiliar wi-fi</w:t>
      </w:r>
      <w:r w:rsidR="00597E25">
        <w:t>.</w:t>
      </w:r>
    </w:p>
    <w:p w14:paraId="09E9A534" w14:textId="13E0CA87" w:rsidR="00EA50F8" w:rsidRDefault="00EA50F8" w:rsidP="00EA50F8">
      <w:pPr>
        <w:pStyle w:val="ListParagraph"/>
        <w:numPr>
          <w:ilvl w:val="0"/>
          <w:numId w:val="27"/>
        </w:numPr>
      </w:pPr>
      <w:r>
        <w:t>Protect mobile devices with strong passwords and encryption.</w:t>
      </w:r>
    </w:p>
    <w:p w14:paraId="5C0F193C" w14:textId="14EF32EB" w:rsidR="00E67EE7" w:rsidRPr="00EA50F8" w:rsidRDefault="00E67EE7" w:rsidP="00EA50F8">
      <w:pPr>
        <w:pStyle w:val="ListParagraph"/>
        <w:numPr>
          <w:ilvl w:val="0"/>
          <w:numId w:val="27"/>
        </w:numPr>
      </w:pPr>
      <w:r>
        <w:t>Particular care should be taken with mobile devices such as laptops, mobile phones, smartphones, and tablets. They must be protected at least by a password/passphrase in line with the Password Guidelines or a PIN and, where available, encryption.</w:t>
      </w:r>
    </w:p>
    <w:p w14:paraId="2CCB3E85" w14:textId="2AB873DC" w:rsidR="007C00B0" w:rsidRDefault="007C00B0" w:rsidP="00B25575">
      <w:pPr>
        <w:pStyle w:val="Heading1"/>
        <w:jc w:val="both"/>
      </w:pPr>
      <w:bookmarkStart w:id="8" w:name="_Toc142819507"/>
      <w:r>
        <w:t>Mobile Storage Devices</w:t>
      </w:r>
      <w:bookmarkEnd w:id="8"/>
    </w:p>
    <w:p w14:paraId="056678D0" w14:textId="5675966D" w:rsidR="00EA50F8" w:rsidRDefault="00EA50F8" w:rsidP="00EA50F8">
      <w:pPr>
        <w:pStyle w:val="ListParagraph"/>
        <w:numPr>
          <w:ilvl w:val="0"/>
          <w:numId w:val="18"/>
        </w:numPr>
        <w:jc w:val="both"/>
      </w:pPr>
      <w:r>
        <w:t>Use USB and external drives only when necessary</w:t>
      </w:r>
      <w:r w:rsidR="00597E25">
        <w:t>.</w:t>
      </w:r>
    </w:p>
    <w:p w14:paraId="5558D732" w14:textId="7AA12F9B" w:rsidR="00EA50F8" w:rsidRDefault="00EA50F8" w:rsidP="00EA50F8">
      <w:pPr>
        <w:pStyle w:val="ListParagraph"/>
        <w:numPr>
          <w:ilvl w:val="0"/>
          <w:numId w:val="18"/>
        </w:numPr>
        <w:jc w:val="both"/>
      </w:pPr>
      <w:r>
        <w:t>Encrypt confidential data on such devices.</w:t>
      </w:r>
    </w:p>
    <w:p w14:paraId="0C2A343C" w14:textId="6D7CC0D7" w:rsidR="007C00B0" w:rsidRDefault="009A0911" w:rsidP="00EA50F8">
      <w:pPr>
        <w:pStyle w:val="ListParagraph"/>
        <w:numPr>
          <w:ilvl w:val="0"/>
          <w:numId w:val="18"/>
        </w:numPr>
        <w:jc w:val="both"/>
      </w:pPr>
      <w:r w:rsidRPr="009A0911">
        <w:t xml:space="preserve">Devices should not be shared with </w:t>
      </w:r>
      <w:r w:rsidR="00B97DBB">
        <w:t>non-employees</w:t>
      </w:r>
      <w:r w:rsidRPr="009A0911">
        <w:t>.</w:t>
      </w:r>
    </w:p>
    <w:p w14:paraId="086B6F04" w14:textId="1A1782D5" w:rsidR="007C00B0" w:rsidRDefault="007C00B0" w:rsidP="5A438E08">
      <w:pPr>
        <w:pStyle w:val="Heading1"/>
        <w:jc w:val="both"/>
      </w:pPr>
      <w:bookmarkStart w:id="9" w:name="_Toc142819508"/>
      <w:r>
        <w:t>Transferring Data</w:t>
      </w:r>
      <w:bookmarkEnd w:id="9"/>
    </w:p>
    <w:p w14:paraId="67D2F9D4" w14:textId="7D3BD1E6" w:rsidR="009A0911" w:rsidRPr="00EA50F8" w:rsidRDefault="009A0911" w:rsidP="00EA50F8">
      <w:pPr>
        <w:pStyle w:val="ListParagraph"/>
        <w:numPr>
          <w:ilvl w:val="0"/>
          <w:numId w:val="28"/>
        </w:numPr>
      </w:pPr>
      <w:r w:rsidRPr="009A0911">
        <w:t xml:space="preserve">Ensure confidential data is always encrypted and that the decryption key or password </w:t>
      </w:r>
      <w:r w:rsidR="00B97DBB">
        <w:t>is</w:t>
      </w:r>
      <w:r w:rsidRPr="009A0911">
        <w:t xml:space="preserve"> sent through a separate form of communication.</w:t>
      </w:r>
    </w:p>
    <w:p w14:paraId="4A2292F3" w14:textId="3E239FB7" w:rsidR="007C00B0" w:rsidRDefault="007C00B0" w:rsidP="00B25575">
      <w:pPr>
        <w:pStyle w:val="Heading1"/>
        <w:jc w:val="both"/>
      </w:pPr>
      <w:bookmarkStart w:id="10" w:name="_Toc142819509"/>
      <w:r>
        <w:t>Software</w:t>
      </w:r>
      <w:bookmarkEnd w:id="10"/>
    </w:p>
    <w:p w14:paraId="2A011092" w14:textId="65E211EF" w:rsidR="00EA50F8" w:rsidRDefault="00EA50F8" w:rsidP="00EA50F8">
      <w:pPr>
        <w:pStyle w:val="ListParagraph"/>
        <w:numPr>
          <w:ilvl w:val="0"/>
          <w:numId w:val="28"/>
        </w:numPr>
      </w:pPr>
      <w:r>
        <w:t>Follow software licensing agreements</w:t>
      </w:r>
      <w:r w:rsidR="00597E25">
        <w:t>.</w:t>
      </w:r>
    </w:p>
    <w:p w14:paraId="18AD9D7F" w14:textId="6673A3BA" w:rsidR="006D15CA" w:rsidRDefault="006D15CA" w:rsidP="00EA50F8">
      <w:pPr>
        <w:pStyle w:val="ListParagraph"/>
        <w:numPr>
          <w:ilvl w:val="0"/>
          <w:numId w:val="28"/>
        </w:numPr>
      </w:pPr>
      <w:r>
        <w:t xml:space="preserve">Employees are not permitted to install any software on systems without prior approval from the IT Department. </w:t>
      </w:r>
    </w:p>
    <w:p w14:paraId="7AF909CF" w14:textId="4ED3FA3A" w:rsidR="00EA50F8" w:rsidRPr="00EA50F8" w:rsidRDefault="00EA50F8" w:rsidP="00EA50F8">
      <w:pPr>
        <w:pStyle w:val="ListParagraph"/>
        <w:numPr>
          <w:ilvl w:val="0"/>
          <w:numId w:val="28"/>
        </w:numPr>
      </w:pPr>
      <w:r>
        <w:t xml:space="preserve">Maintain proof of ownership for </w:t>
      </w:r>
      <w:r w:rsidR="00597E25">
        <w:t>TechSolution.inc</w:t>
      </w:r>
      <w:r>
        <w:t xml:space="preserve"> data in third-party software.</w:t>
      </w:r>
    </w:p>
    <w:p w14:paraId="6C873388" w14:textId="6A39FA55" w:rsidR="007C00B0" w:rsidRDefault="007C00B0" w:rsidP="0FEC1DCA">
      <w:pPr>
        <w:pStyle w:val="Heading1"/>
        <w:jc w:val="both"/>
      </w:pPr>
      <w:bookmarkStart w:id="11" w:name="_Toc142819510"/>
      <w:r>
        <w:t>Malware</w:t>
      </w:r>
      <w:bookmarkEnd w:id="11"/>
    </w:p>
    <w:p w14:paraId="344AF92D" w14:textId="4DC270E3" w:rsidR="00EA50F8" w:rsidRDefault="00EA50F8" w:rsidP="00EA50F8">
      <w:pPr>
        <w:pStyle w:val="ListParagraph"/>
        <w:numPr>
          <w:ilvl w:val="0"/>
          <w:numId w:val="29"/>
        </w:numPr>
      </w:pPr>
      <w:r w:rsidRPr="00EA50F8">
        <w:t>Don't bypass the security measures</w:t>
      </w:r>
      <w:r w:rsidR="005F27D1">
        <w:t xml:space="preserve"> designed to protect our organisation</w:t>
      </w:r>
      <w:r w:rsidRPr="00EA50F8">
        <w:t xml:space="preserve">, </w:t>
      </w:r>
      <w:r w:rsidR="00A9374A">
        <w:t>including</w:t>
      </w:r>
      <w:r w:rsidR="00597E25">
        <w:t>.</w:t>
      </w:r>
    </w:p>
    <w:p w14:paraId="7139B8A0" w14:textId="77777777" w:rsidR="00A9374A" w:rsidRDefault="00A9374A" w:rsidP="00A9374A">
      <w:pPr>
        <w:pStyle w:val="ListParagraph"/>
        <w:numPr>
          <w:ilvl w:val="1"/>
          <w:numId w:val="29"/>
        </w:numPr>
      </w:pPr>
      <w:r>
        <w:t>Anti-Virus Software - All PCs have antivirus software installed to detect and remove viruses automatically.</w:t>
      </w:r>
    </w:p>
    <w:p w14:paraId="4E6CBE19" w14:textId="4149C598" w:rsidR="00A9374A" w:rsidRDefault="00A9374A" w:rsidP="00A9374A">
      <w:pPr>
        <w:pStyle w:val="ListParagraph"/>
        <w:numPr>
          <w:ilvl w:val="1"/>
          <w:numId w:val="29"/>
        </w:numPr>
      </w:pPr>
      <w:r>
        <w:t xml:space="preserve">Mimecast – </w:t>
      </w:r>
      <w:r w:rsidR="0037086F">
        <w:t>This</w:t>
      </w:r>
      <w:r>
        <w:t xml:space="preserve"> scans incoming and outgoing emails for potentially harmful threats.</w:t>
      </w:r>
    </w:p>
    <w:p w14:paraId="3CC5952E" w14:textId="77777777" w:rsidR="00A9374A" w:rsidRDefault="00A9374A" w:rsidP="00A9374A">
      <w:pPr>
        <w:pStyle w:val="ListParagraph"/>
        <w:numPr>
          <w:ilvl w:val="1"/>
          <w:numId w:val="29"/>
        </w:numPr>
      </w:pPr>
      <w:r>
        <w:t>Anti-Ransomware – Software which protects infrastructure from external attacks that lock owners out of technology in exchange for payments.</w:t>
      </w:r>
    </w:p>
    <w:p w14:paraId="0F21A5A4" w14:textId="02F8E639" w:rsidR="00A9374A" w:rsidRDefault="00A9374A" w:rsidP="00A9374A">
      <w:pPr>
        <w:pStyle w:val="ListParagraph"/>
        <w:numPr>
          <w:ilvl w:val="1"/>
          <w:numId w:val="29"/>
        </w:numPr>
      </w:pPr>
      <w:r>
        <w:t>Web-Filtering – To ensure that websites are appropriately filtered and content is safe.</w:t>
      </w:r>
    </w:p>
    <w:p w14:paraId="7FF0EF82" w14:textId="61C09618" w:rsidR="007C00B0" w:rsidRDefault="009E7812" w:rsidP="00B25575">
      <w:pPr>
        <w:pStyle w:val="Heading1"/>
        <w:jc w:val="both"/>
      </w:pPr>
      <w:bookmarkStart w:id="12" w:name="_Toc142819511"/>
      <w:r>
        <w:t>T</w:t>
      </w:r>
      <w:r w:rsidR="007C00B0">
        <w:t>elephony (Voice) Equipment</w:t>
      </w:r>
      <w:bookmarkEnd w:id="12"/>
      <w:r w:rsidR="007C00B0">
        <w:t xml:space="preserve"> </w:t>
      </w:r>
    </w:p>
    <w:p w14:paraId="71826E14" w14:textId="1D63F5DE" w:rsidR="00EA50F8" w:rsidRPr="00EA50F8" w:rsidRDefault="00EA50F8" w:rsidP="00EA50F8">
      <w:pPr>
        <w:pStyle w:val="ListParagraph"/>
        <w:numPr>
          <w:ilvl w:val="0"/>
          <w:numId w:val="29"/>
        </w:numPr>
      </w:pPr>
      <w:r w:rsidRPr="00EA50F8">
        <w:t xml:space="preserve">Refer to the </w:t>
      </w:r>
      <w:r w:rsidR="00597E25">
        <w:t>TechSolution.inc</w:t>
      </w:r>
      <w:r w:rsidRPr="00EA50F8">
        <w:t xml:space="preserve"> Mobile Phone Policy when issued a </w:t>
      </w:r>
      <w:r w:rsidR="00597E25">
        <w:t>TechSolution.inc</w:t>
      </w:r>
      <w:r w:rsidRPr="00EA50F8">
        <w:t xml:space="preserve"> phone</w:t>
      </w:r>
      <w:r w:rsidR="00597E25">
        <w:t>.</w:t>
      </w:r>
    </w:p>
    <w:p w14:paraId="33C5E2E3" w14:textId="7B8EA8A7" w:rsidR="00EA50F8" w:rsidRPr="00EA50F8" w:rsidRDefault="00EA50F8" w:rsidP="00EA50F8">
      <w:pPr>
        <w:pStyle w:val="ListParagraph"/>
        <w:numPr>
          <w:ilvl w:val="0"/>
          <w:numId w:val="29"/>
        </w:numPr>
      </w:pPr>
      <w:r w:rsidRPr="00EA50F8">
        <w:t>Avoid inappropriate calls</w:t>
      </w:r>
      <w:r w:rsidR="00597E25">
        <w:t>.</w:t>
      </w:r>
    </w:p>
    <w:p w14:paraId="453D9D91" w14:textId="26144942" w:rsidR="00EA50F8" w:rsidRDefault="00EA50F8" w:rsidP="00EA50F8">
      <w:pPr>
        <w:pStyle w:val="ListParagraph"/>
        <w:numPr>
          <w:ilvl w:val="0"/>
          <w:numId w:val="29"/>
        </w:numPr>
      </w:pPr>
      <w:r w:rsidRPr="00EA50F8">
        <w:t>Accept reverse charge calls only for business reasons.</w:t>
      </w:r>
    </w:p>
    <w:p w14:paraId="69573316" w14:textId="595F6B52" w:rsidR="007C00B0" w:rsidRPr="00EA50F8" w:rsidRDefault="27FBAD08" w:rsidP="00EA50F8">
      <w:pPr>
        <w:pStyle w:val="Heading1"/>
      </w:pPr>
      <w:bookmarkStart w:id="13" w:name="_Toc142819512"/>
      <w:r w:rsidRPr="00EA50F8">
        <w:t xml:space="preserve">Actions upon </w:t>
      </w:r>
      <w:r w:rsidR="6F33EF7F" w:rsidRPr="00EA50F8">
        <w:t xml:space="preserve">Leaving the </w:t>
      </w:r>
      <w:r w:rsidR="00597E25">
        <w:t>TechSolution.inc</w:t>
      </w:r>
      <w:bookmarkEnd w:id="13"/>
    </w:p>
    <w:p w14:paraId="368C97C5" w14:textId="4676FA97" w:rsidR="00EA50F8" w:rsidRDefault="00EA50F8" w:rsidP="00EA50F8">
      <w:pPr>
        <w:pStyle w:val="ListParagraph"/>
        <w:numPr>
          <w:ilvl w:val="0"/>
          <w:numId w:val="30"/>
        </w:numPr>
      </w:pPr>
      <w:r>
        <w:t xml:space="preserve">Return all </w:t>
      </w:r>
      <w:r w:rsidR="00597E25">
        <w:t>TechSolution.inc</w:t>
      </w:r>
      <w:r>
        <w:t xml:space="preserve"> assets</w:t>
      </w:r>
      <w:r w:rsidR="00597E25">
        <w:t>.</w:t>
      </w:r>
    </w:p>
    <w:p w14:paraId="4F9E134F" w14:textId="3D415498" w:rsidR="005F27D1" w:rsidRDefault="005F27D1" w:rsidP="00EA50F8">
      <w:pPr>
        <w:pStyle w:val="ListParagraph"/>
        <w:numPr>
          <w:ilvl w:val="0"/>
          <w:numId w:val="30"/>
        </w:numPr>
      </w:pPr>
      <w:r w:rsidRPr="005F27D1">
        <w:t xml:space="preserve">All </w:t>
      </w:r>
      <w:r w:rsidR="00597E25">
        <w:t>TechSolution.inc</w:t>
      </w:r>
      <w:r w:rsidRPr="005F27D1">
        <w:t xml:space="preserve"> data or intellectual property developed or gained during the period of employment remains the property of </w:t>
      </w:r>
      <w:r w:rsidR="00597E25">
        <w:t>TechSolution.inc</w:t>
      </w:r>
      <w:r w:rsidR="0037086F">
        <w:t>. It must</w:t>
      </w:r>
      <w:r w:rsidRPr="005F27D1">
        <w:t xml:space="preserve"> not be retained beyond termination or reused for any other purpose.</w:t>
      </w:r>
    </w:p>
    <w:p w14:paraId="3336A64F" w14:textId="3F00AF3B" w:rsidR="007C00B0" w:rsidRDefault="007C00B0" w:rsidP="00B25575">
      <w:pPr>
        <w:pStyle w:val="Heading1"/>
        <w:jc w:val="both"/>
      </w:pPr>
      <w:bookmarkStart w:id="14" w:name="_Toc142819513"/>
      <w:r>
        <w:t>Monitoring and Filtering</w:t>
      </w:r>
      <w:bookmarkEnd w:id="14"/>
    </w:p>
    <w:p w14:paraId="06EE394A" w14:textId="6C9BA964" w:rsidR="00EA50F8" w:rsidRDefault="00597E25" w:rsidP="00EA50F8">
      <w:pPr>
        <w:pStyle w:val="ListParagraph"/>
        <w:numPr>
          <w:ilvl w:val="0"/>
          <w:numId w:val="31"/>
        </w:numPr>
      </w:pPr>
      <w:r>
        <w:t>TechSolution.inc</w:t>
      </w:r>
      <w:r w:rsidR="00EA50F8">
        <w:t xml:space="preserve"> owns all data on its computers but will try not to open personal emails</w:t>
      </w:r>
      <w:r>
        <w:t>.</w:t>
      </w:r>
    </w:p>
    <w:p w14:paraId="7C188580" w14:textId="6434D5A3" w:rsidR="00EA50F8" w:rsidRDefault="00EA50F8" w:rsidP="00EA50F8">
      <w:pPr>
        <w:pStyle w:val="ListParagraph"/>
        <w:numPr>
          <w:ilvl w:val="0"/>
          <w:numId w:val="31"/>
        </w:numPr>
      </w:pPr>
      <w:r>
        <w:t>System activity may be monitored for security and misuse</w:t>
      </w:r>
      <w:r w:rsidR="00597E25">
        <w:t>.</w:t>
      </w:r>
    </w:p>
    <w:p w14:paraId="40A7FC72" w14:textId="5D2E49F1" w:rsidR="00EA50F8" w:rsidRDefault="00EA50F8" w:rsidP="00EA50F8">
      <w:pPr>
        <w:pStyle w:val="ListParagraph"/>
        <w:numPr>
          <w:ilvl w:val="0"/>
          <w:numId w:val="31"/>
        </w:numPr>
      </w:pPr>
      <w:r>
        <w:t>Monitoring follows UK laws and local regulations for non-UK staff.</w:t>
      </w:r>
    </w:p>
    <w:p w14:paraId="4BF50813" w14:textId="289E38A4" w:rsidR="0073110B" w:rsidRPr="00EA50F8" w:rsidRDefault="0082297C" w:rsidP="00EA50F8">
      <w:pPr>
        <w:pStyle w:val="ListParagraph"/>
        <w:numPr>
          <w:ilvl w:val="0"/>
          <w:numId w:val="31"/>
        </w:numPr>
      </w:pPr>
      <w:r>
        <w:t>Audited controlled internal processes will do any monitoring</w:t>
      </w:r>
      <w:r w:rsidR="0073110B" w:rsidRPr="0073110B">
        <w:t xml:space="preserve">, the UK Data Protection Act 2018, the Regulation of Investigatory Powers Act 2000, and the Telecommunications (Lawful Business Practice Interception of Communications) Regulations 2000. </w:t>
      </w:r>
      <w:r>
        <w:t xml:space="preserve">If this policy contradicts local regulations for staff outside of the UK, local statutory requirements will </w:t>
      </w:r>
      <w:r w:rsidR="0073110B" w:rsidRPr="0073110B">
        <w:t>apply.</w:t>
      </w:r>
    </w:p>
    <w:sectPr w:rsidR="0073110B" w:rsidRPr="00EA50F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C76" w14:textId="77777777" w:rsidR="0099671A" w:rsidRDefault="0099671A" w:rsidP="005521CF">
      <w:pPr>
        <w:spacing w:after="0"/>
      </w:pPr>
      <w:r>
        <w:separator/>
      </w:r>
    </w:p>
  </w:endnote>
  <w:endnote w:type="continuationSeparator" w:id="0">
    <w:p w14:paraId="53C17D4B" w14:textId="77777777" w:rsidR="0099671A" w:rsidRDefault="0099671A" w:rsidP="005521CF">
      <w:pPr>
        <w:spacing w:after="0"/>
      </w:pPr>
      <w:r>
        <w:continuationSeparator/>
      </w:r>
    </w:p>
  </w:endnote>
  <w:endnote w:type="continuationNotice" w:id="1">
    <w:p w14:paraId="67B3438A" w14:textId="77777777" w:rsidR="0099671A" w:rsidRDefault="0099671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3BEE9838" w:rsidR="005521CF" w:rsidRDefault="00552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DBFD" w14:textId="77777777" w:rsidR="0099671A" w:rsidRDefault="0099671A" w:rsidP="005521CF">
      <w:pPr>
        <w:spacing w:after="0"/>
      </w:pPr>
      <w:r>
        <w:separator/>
      </w:r>
    </w:p>
  </w:footnote>
  <w:footnote w:type="continuationSeparator" w:id="0">
    <w:p w14:paraId="1A806BA8" w14:textId="77777777" w:rsidR="0099671A" w:rsidRDefault="0099671A" w:rsidP="005521CF">
      <w:pPr>
        <w:spacing w:after="0"/>
      </w:pPr>
      <w:r>
        <w:continuationSeparator/>
      </w:r>
    </w:p>
  </w:footnote>
  <w:footnote w:type="continuationNotice" w:id="1">
    <w:p w14:paraId="0DB004F7" w14:textId="77777777" w:rsidR="0099671A" w:rsidRDefault="0099671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1BD7" w14:textId="77777777" w:rsidR="0020421B" w:rsidRDefault="00632EF9">
    <w:pPr>
      <w:pStyle w:val="Header"/>
    </w:pPr>
    <w:r>
      <w:t>Acceptable Use Policy</w:t>
    </w:r>
  </w:p>
  <w:p w14:paraId="0F0DDA12" w14:textId="5DCB51E1" w:rsidR="00632EF9" w:rsidRDefault="00597E25" w:rsidP="0020421B">
    <w:pPr>
      <w:pStyle w:val="Header"/>
      <w:jc w:val="right"/>
    </w:pPr>
    <w:r>
      <w:rPr>
        <w:noProof/>
      </w:rPr>
      <w:drawing>
        <wp:inline distT="0" distB="0" distL="0" distR="0" wp14:anchorId="5C110013" wp14:editId="0CC4B52B">
          <wp:extent cx="1905000" cy="1238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E69B0B" w14:textId="77777777" w:rsidR="0090494F" w:rsidRDefault="0090494F" w:rsidP="002042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B85"/>
    <w:multiLevelType w:val="hybridMultilevel"/>
    <w:tmpl w:val="CB12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D783F"/>
    <w:multiLevelType w:val="hybridMultilevel"/>
    <w:tmpl w:val="26E6C44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7DE0"/>
    <w:multiLevelType w:val="hybridMultilevel"/>
    <w:tmpl w:val="A12CBBB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6486F"/>
    <w:multiLevelType w:val="hybridMultilevel"/>
    <w:tmpl w:val="11E8575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34764"/>
    <w:multiLevelType w:val="hybridMultilevel"/>
    <w:tmpl w:val="2CAC16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B2B63"/>
    <w:multiLevelType w:val="hybridMultilevel"/>
    <w:tmpl w:val="FCFAAD7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857FB"/>
    <w:multiLevelType w:val="hybridMultilevel"/>
    <w:tmpl w:val="F7EEF85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71360"/>
    <w:multiLevelType w:val="hybridMultilevel"/>
    <w:tmpl w:val="1CBA89D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D665D"/>
    <w:multiLevelType w:val="hybridMultilevel"/>
    <w:tmpl w:val="74A425A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"/>
  </w:num>
  <w:num w:numId="5">
    <w:abstractNumId w:val="2"/>
  </w:num>
  <w:num w:numId="6">
    <w:abstractNumId w:val="14"/>
  </w:num>
  <w:num w:numId="7">
    <w:abstractNumId w:val="29"/>
  </w:num>
  <w:num w:numId="8">
    <w:abstractNumId w:val="23"/>
  </w:num>
  <w:num w:numId="9">
    <w:abstractNumId w:val="4"/>
  </w:num>
  <w:num w:numId="10">
    <w:abstractNumId w:val="5"/>
  </w:num>
  <w:num w:numId="11">
    <w:abstractNumId w:val="21"/>
  </w:num>
  <w:num w:numId="12">
    <w:abstractNumId w:val="11"/>
  </w:num>
  <w:num w:numId="13">
    <w:abstractNumId w:val="15"/>
  </w:num>
  <w:num w:numId="14">
    <w:abstractNumId w:val="30"/>
  </w:num>
  <w:num w:numId="15">
    <w:abstractNumId w:val="24"/>
  </w:num>
  <w:num w:numId="16">
    <w:abstractNumId w:val="18"/>
  </w:num>
  <w:num w:numId="17">
    <w:abstractNumId w:val="3"/>
  </w:num>
  <w:num w:numId="18">
    <w:abstractNumId w:val="28"/>
  </w:num>
  <w:num w:numId="19">
    <w:abstractNumId w:val="10"/>
  </w:num>
  <w:num w:numId="20">
    <w:abstractNumId w:val="7"/>
  </w:num>
  <w:num w:numId="21">
    <w:abstractNumId w:val="26"/>
  </w:num>
  <w:num w:numId="22">
    <w:abstractNumId w:val="16"/>
  </w:num>
  <w:num w:numId="23">
    <w:abstractNumId w:val="0"/>
  </w:num>
  <w:num w:numId="24">
    <w:abstractNumId w:val="27"/>
  </w:num>
  <w:num w:numId="25">
    <w:abstractNumId w:val="25"/>
  </w:num>
  <w:num w:numId="26">
    <w:abstractNumId w:val="1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1MTewtDQzMTdU0lEKTi0uzszPAykwrwUAhweRbiwAAAA="/>
  </w:docVars>
  <w:rsids>
    <w:rsidRoot w:val="007C00B0"/>
    <w:rsid w:val="00021944"/>
    <w:rsid w:val="00036FD1"/>
    <w:rsid w:val="00045742"/>
    <w:rsid w:val="00060D62"/>
    <w:rsid w:val="00067B29"/>
    <w:rsid w:val="000752AA"/>
    <w:rsid w:val="000867E8"/>
    <w:rsid w:val="00090518"/>
    <w:rsid w:val="000B5656"/>
    <w:rsid w:val="000B686C"/>
    <w:rsid w:val="000C265F"/>
    <w:rsid w:val="000D2353"/>
    <w:rsid w:val="000D3D24"/>
    <w:rsid w:val="000D5A50"/>
    <w:rsid w:val="000E17C8"/>
    <w:rsid w:val="000E561D"/>
    <w:rsid w:val="0010575C"/>
    <w:rsid w:val="00140366"/>
    <w:rsid w:val="00143DE8"/>
    <w:rsid w:val="001713FF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0421B"/>
    <w:rsid w:val="00214C8E"/>
    <w:rsid w:val="00222A30"/>
    <w:rsid w:val="00225A62"/>
    <w:rsid w:val="00231780"/>
    <w:rsid w:val="00233054"/>
    <w:rsid w:val="00234D5C"/>
    <w:rsid w:val="002415F9"/>
    <w:rsid w:val="002439D8"/>
    <w:rsid w:val="00246055"/>
    <w:rsid w:val="00253640"/>
    <w:rsid w:val="00255DD6"/>
    <w:rsid w:val="002722B7"/>
    <w:rsid w:val="00281231"/>
    <w:rsid w:val="00297F64"/>
    <w:rsid w:val="002A42A4"/>
    <w:rsid w:val="002C27D5"/>
    <w:rsid w:val="002C3F21"/>
    <w:rsid w:val="002D6DD7"/>
    <w:rsid w:val="002F48E0"/>
    <w:rsid w:val="002F4968"/>
    <w:rsid w:val="00331D3B"/>
    <w:rsid w:val="003418EB"/>
    <w:rsid w:val="003466D0"/>
    <w:rsid w:val="00347EDB"/>
    <w:rsid w:val="0036096A"/>
    <w:rsid w:val="0037086F"/>
    <w:rsid w:val="00384276"/>
    <w:rsid w:val="00395354"/>
    <w:rsid w:val="003970BA"/>
    <w:rsid w:val="003A22BF"/>
    <w:rsid w:val="003C16A9"/>
    <w:rsid w:val="003C284F"/>
    <w:rsid w:val="003E48F9"/>
    <w:rsid w:val="003F354D"/>
    <w:rsid w:val="004013D0"/>
    <w:rsid w:val="00423157"/>
    <w:rsid w:val="00453DB1"/>
    <w:rsid w:val="0046013B"/>
    <w:rsid w:val="00470BE1"/>
    <w:rsid w:val="00470EEC"/>
    <w:rsid w:val="0047549B"/>
    <w:rsid w:val="00475A87"/>
    <w:rsid w:val="00483037"/>
    <w:rsid w:val="00483F12"/>
    <w:rsid w:val="00484CA0"/>
    <w:rsid w:val="004A182D"/>
    <w:rsid w:val="004A217B"/>
    <w:rsid w:val="004B53B5"/>
    <w:rsid w:val="004C2E94"/>
    <w:rsid w:val="004C34B9"/>
    <w:rsid w:val="004C4513"/>
    <w:rsid w:val="004C5DC1"/>
    <w:rsid w:val="004D0DA8"/>
    <w:rsid w:val="004D1BC1"/>
    <w:rsid w:val="004D6978"/>
    <w:rsid w:val="004E361D"/>
    <w:rsid w:val="004F1203"/>
    <w:rsid w:val="0051086C"/>
    <w:rsid w:val="005213C7"/>
    <w:rsid w:val="005313B1"/>
    <w:rsid w:val="00533355"/>
    <w:rsid w:val="005429EE"/>
    <w:rsid w:val="005521CF"/>
    <w:rsid w:val="00552BFD"/>
    <w:rsid w:val="0055412E"/>
    <w:rsid w:val="005710A0"/>
    <w:rsid w:val="00585BF7"/>
    <w:rsid w:val="00597E25"/>
    <w:rsid w:val="005A4CB5"/>
    <w:rsid w:val="005B3048"/>
    <w:rsid w:val="005C703D"/>
    <w:rsid w:val="005E5AF2"/>
    <w:rsid w:val="005F27D1"/>
    <w:rsid w:val="00603197"/>
    <w:rsid w:val="00604075"/>
    <w:rsid w:val="00632EF9"/>
    <w:rsid w:val="00644C4A"/>
    <w:rsid w:val="00645E27"/>
    <w:rsid w:val="00653C7E"/>
    <w:rsid w:val="0066657F"/>
    <w:rsid w:val="00673622"/>
    <w:rsid w:val="006753AF"/>
    <w:rsid w:val="00677FA6"/>
    <w:rsid w:val="006976DE"/>
    <w:rsid w:val="006A12F6"/>
    <w:rsid w:val="006B4F74"/>
    <w:rsid w:val="006C7F98"/>
    <w:rsid w:val="006D15CA"/>
    <w:rsid w:val="006F1983"/>
    <w:rsid w:val="006F5D7E"/>
    <w:rsid w:val="0072437A"/>
    <w:rsid w:val="007245E9"/>
    <w:rsid w:val="0073110B"/>
    <w:rsid w:val="00742F76"/>
    <w:rsid w:val="00753309"/>
    <w:rsid w:val="00756642"/>
    <w:rsid w:val="00761754"/>
    <w:rsid w:val="00763D20"/>
    <w:rsid w:val="0076501E"/>
    <w:rsid w:val="00772511"/>
    <w:rsid w:val="007762C2"/>
    <w:rsid w:val="007925C5"/>
    <w:rsid w:val="007C00B0"/>
    <w:rsid w:val="007C6DA8"/>
    <w:rsid w:val="007D2DFF"/>
    <w:rsid w:val="007E1A37"/>
    <w:rsid w:val="007E43E9"/>
    <w:rsid w:val="007F2B4B"/>
    <w:rsid w:val="0082297C"/>
    <w:rsid w:val="008258C3"/>
    <w:rsid w:val="008273BA"/>
    <w:rsid w:val="0084077D"/>
    <w:rsid w:val="00843331"/>
    <w:rsid w:val="00860433"/>
    <w:rsid w:val="008722E8"/>
    <w:rsid w:val="0087394F"/>
    <w:rsid w:val="00884423"/>
    <w:rsid w:val="00896983"/>
    <w:rsid w:val="008A5FF4"/>
    <w:rsid w:val="008B165F"/>
    <w:rsid w:val="008C7D6D"/>
    <w:rsid w:val="008E47ED"/>
    <w:rsid w:val="008E4DAD"/>
    <w:rsid w:val="008F033C"/>
    <w:rsid w:val="008F4A87"/>
    <w:rsid w:val="0090494F"/>
    <w:rsid w:val="009108EA"/>
    <w:rsid w:val="00932788"/>
    <w:rsid w:val="00935A57"/>
    <w:rsid w:val="00943306"/>
    <w:rsid w:val="0095082B"/>
    <w:rsid w:val="009553E3"/>
    <w:rsid w:val="009578FA"/>
    <w:rsid w:val="00957E16"/>
    <w:rsid w:val="00974CF6"/>
    <w:rsid w:val="009857D5"/>
    <w:rsid w:val="0099116D"/>
    <w:rsid w:val="0099671A"/>
    <w:rsid w:val="009A0911"/>
    <w:rsid w:val="009A5E10"/>
    <w:rsid w:val="009A63B5"/>
    <w:rsid w:val="009B0438"/>
    <w:rsid w:val="009B6D30"/>
    <w:rsid w:val="009C352B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374A"/>
    <w:rsid w:val="00AA6DF2"/>
    <w:rsid w:val="00AC6E65"/>
    <w:rsid w:val="00AD421B"/>
    <w:rsid w:val="00AD5782"/>
    <w:rsid w:val="00AF1AFC"/>
    <w:rsid w:val="00AF2544"/>
    <w:rsid w:val="00AF761F"/>
    <w:rsid w:val="00B02891"/>
    <w:rsid w:val="00B07387"/>
    <w:rsid w:val="00B10DB6"/>
    <w:rsid w:val="00B14150"/>
    <w:rsid w:val="00B23CFD"/>
    <w:rsid w:val="00B25575"/>
    <w:rsid w:val="00B34486"/>
    <w:rsid w:val="00B43013"/>
    <w:rsid w:val="00B4759F"/>
    <w:rsid w:val="00B56B6F"/>
    <w:rsid w:val="00B60F31"/>
    <w:rsid w:val="00B71307"/>
    <w:rsid w:val="00B74430"/>
    <w:rsid w:val="00B77B72"/>
    <w:rsid w:val="00B90D9F"/>
    <w:rsid w:val="00B919A0"/>
    <w:rsid w:val="00B97DBB"/>
    <w:rsid w:val="00BA09DA"/>
    <w:rsid w:val="00BB1D09"/>
    <w:rsid w:val="00BB2DAE"/>
    <w:rsid w:val="00BB49E5"/>
    <w:rsid w:val="00BB519D"/>
    <w:rsid w:val="00BC7288"/>
    <w:rsid w:val="00BC7A03"/>
    <w:rsid w:val="00BD4C9A"/>
    <w:rsid w:val="00BF0C32"/>
    <w:rsid w:val="00BF4995"/>
    <w:rsid w:val="00C05B6B"/>
    <w:rsid w:val="00C32F88"/>
    <w:rsid w:val="00C360B5"/>
    <w:rsid w:val="00C509E0"/>
    <w:rsid w:val="00C513E7"/>
    <w:rsid w:val="00C61BCD"/>
    <w:rsid w:val="00C76FE3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7AB2"/>
    <w:rsid w:val="00D227AE"/>
    <w:rsid w:val="00D23343"/>
    <w:rsid w:val="00D23C52"/>
    <w:rsid w:val="00D2460A"/>
    <w:rsid w:val="00D4405B"/>
    <w:rsid w:val="00D44638"/>
    <w:rsid w:val="00D5640F"/>
    <w:rsid w:val="00D7228E"/>
    <w:rsid w:val="00D864AC"/>
    <w:rsid w:val="00D95A7D"/>
    <w:rsid w:val="00DA0F79"/>
    <w:rsid w:val="00DA12BA"/>
    <w:rsid w:val="00DA1A83"/>
    <w:rsid w:val="00DA59E3"/>
    <w:rsid w:val="00DA7D30"/>
    <w:rsid w:val="00DD233D"/>
    <w:rsid w:val="00DD6212"/>
    <w:rsid w:val="00E008F2"/>
    <w:rsid w:val="00E0323C"/>
    <w:rsid w:val="00E127F3"/>
    <w:rsid w:val="00E20FD1"/>
    <w:rsid w:val="00E34FC1"/>
    <w:rsid w:val="00E35F88"/>
    <w:rsid w:val="00E55096"/>
    <w:rsid w:val="00E5671C"/>
    <w:rsid w:val="00E65118"/>
    <w:rsid w:val="00E654B8"/>
    <w:rsid w:val="00E67EE7"/>
    <w:rsid w:val="00E704AE"/>
    <w:rsid w:val="00E779AA"/>
    <w:rsid w:val="00E82B27"/>
    <w:rsid w:val="00E82D55"/>
    <w:rsid w:val="00EA479A"/>
    <w:rsid w:val="00EA4E0B"/>
    <w:rsid w:val="00EA50F8"/>
    <w:rsid w:val="00EC0410"/>
    <w:rsid w:val="00ED5607"/>
    <w:rsid w:val="00EF14BB"/>
    <w:rsid w:val="00EF26B0"/>
    <w:rsid w:val="00F00EA5"/>
    <w:rsid w:val="00F035A3"/>
    <w:rsid w:val="00F0492A"/>
    <w:rsid w:val="00F10171"/>
    <w:rsid w:val="00F14ED0"/>
    <w:rsid w:val="00F20063"/>
    <w:rsid w:val="00F4471B"/>
    <w:rsid w:val="00F5126D"/>
    <w:rsid w:val="00F55A44"/>
    <w:rsid w:val="00F56D17"/>
    <w:rsid w:val="00F65075"/>
    <w:rsid w:val="00F658D5"/>
    <w:rsid w:val="00F818EC"/>
    <w:rsid w:val="00FA2A01"/>
    <w:rsid w:val="00FA551F"/>
    <w:rsid w:val="00FA55C1"/>
    <w:rsid w:val="00FC4169"/>
    <w:rsid w:val="00FD1065"/>
    <w:rsid w:val="00FD77A7"/>
    <w:rsid w:val="00FF41C0"/>
    <w:rsid w:val="00FF489D"/>
    <w:rsid w:val="01942CD3"/>
    <w:rsid w:val="02D13FC0"/>
    <w:rsid w:val="040A065E"/>
    <w:rsid w:val="04483F0A"/>
    <w:rsid w:val="051A2ADC"/>
    <w:rsid w:val="058623F9"/>
    <w:rsid w:val="05F6A856"/>
    <w:rsid w:val="07560AB2"/>
    <w:rsid w:val="07BC6996"/>
    <w:rsid w:val="08A0682B"/>
    <w:rsid w:val="08B9C503"/>
    <w:rsid w:val="097CDC46"/>
    <w:rsid w:val="09E8FC1E"/>
    <w:rsid w:val="0A3EC93D"/>
    <w:rsid w:val="0A4BD1DF"/>
    <w:rsid w:val="0AF37C8F"/>
    <w:rsid w:val="0AF40A58"/>
    <w:rsid w:val="0B4D5F16"/>
    <w:rsid w:val="0B7D8E82"/>
    <w:rsid w:val="0CB47D08"/>
    <w:rsid w:val="0CECBCC4"/>
    <w:rsid w:val="0D79C4DB"/>
    <w:rsid w:val="0E2DE44E"/>
    <w:rsid w:val="0E504D69"/>
    <w:rsid w:val="0EE1318F"/>
    <w:rsid w:val="0FEC1DCA"/>
    <w:rsid w:val="10278A56"/>
    <w:rsid w:val="109D1D8B"/>
    <w:rsid w:val="1150A076"/>
    <w:rsid w:val="11A44676"/>
    <w:rsid w:val="1283E30C"/>
    <w:rsid w:val="12FB2AC6"/>
    <w:rsid w:val="130A962F"/>
    <w:rsid w:val="133BA4DC"/>
    <w:rsid w:val="13DF8CB2"/>
    <w:rsid w:val="14485429"/>
    <w:rsid w:val="14E0362D"/>
    <w:rsid w:val="16D40C8D"/>
    <w:rsid w:val="17ED4F5A"/>
    <w:rsid w:val="182DDC2E"/>
    <w:rsid w:val="19C416E1"/>
    <w:rsid w:val="1A9FD843"/>
    <w:rsid w:val="1AB4DD38"/>
    <w:rsid w:val="1B229AFE"/>
    <w:rsid w:val="1B8454BB"/>
    <w:rsid w:val="1BF3C2AB"/>
    <w:rsid w:val="1C1376CD"/>
    <w:rsid w:val="1D292114"/>
    <w:rsid w:val="1D84FD39"/>
    <w:rsid w:val="21A141E3"/>
    <w:rsid w:val="222DE103"/>
    <w:rsid w:val="2254D15B"/>
    <w:rsid w:val="23846EC7"/>
    <w:rsid w:val="2407B7E7"/>
    <w:rsid w:val="24DC4458"/>
    <w:rsid w:val="2587A659"/>
    <w:rsid w:val="25D6DEBE"/>
    <w:rsid w:val="26166DC9"/>
    <w:rsid w:val="266641E0"/>
    <w:rsid w:val="26D5E661"/>
    <w:rsid w:val="2748276A"/>
    <w:rsid w:val="276BBEB3"/>
    <w:rsid w:val="27FBAD08"/>
    <w:rsid w:val="2951739F"/>
    <w:rsid w:val="2B5011AF"/>
    <w:rsid w:val="2BC241F7"/>
    <w:rsid w:val="2BD01179"/>
    <w:rsid w:val="2C0FCFD4"/>
    <w:rsid w:val="2CFD34BD"/>
    <w:rsid w:val="2DF20BB1"/>
    <w:rsid w:val="2E320385"/>
    <w:rsid w:val="2E64DB97"/>
    <w:rsid w:val="2EDDB830"/>
    <w:rsid w:val="2F8DDC12"/>
    <w:rsid w:val="302D2480"/>
    <w:rsid w:val="303BD5EF"/>
    <w:rsid w:val="3168602A"/>
    <w:rsid w:val="316C7437"/>
    <w:rsid w:val="31D0B503"/>
    <w:rsid w:val="31D7A650"/>
    <w:rsid w:val="33256A65"/>
    <w:rsid w:val="3417CBFC"/>
    <w:rsid w:val="3487194E"/>
    <w:rsid w:val="35CB4BBE"/>
    <w:rsid w:val="35ED8301"/>
    <w:rsid w:val="3625F5F9"/>
    <w:rsid w:val="3677E151"/>
    <w:rsid w:val="3753C649"/>
    <w:rsid w:val="37C1C65A"/>
    <w:rsid w:val="397BAC85"/>
    <w:rsid w:val="3B1E31F6"/>
    <w:rsid w:val="3C708A0A"/>
    <w:rsid w:val="3FC38DE3"/>
    <w:rsid w:val="407388D7"/>
    <w:rsid w:val="41C1F5D2"/>
    <w:rsid w:val="426F16F9"/>
    <w:rsid w:val="428DE4AF"/>
    <w:rsid w:val="43644996"/>
    <w:rsid w:val="4496FF06"/>
    <w:rsid w:val="45C4EDF9"/>
    <w:rsid w:val="45FF6718"/>
    <w:rsid w:val="4667B21F"/>
    <w:rsid w:val="46D084DD"/>
    <w:rsid w:val="4757BF02"/>
    <w:rsid w:val="478382B6"/>
    <w:rsid w:val="47CE8F21"/>
    <w:rsid w:val="493F024E"/>
    <w:rsid w:val="4987D56B"/>
    <w:rsid w:val="4B20D586"/>
    <w:rsid w:val="4C0879C6"/>
    <w:rsid w:val="4E570F58"/>
    <w:rsid w:val="4F49A88A"/>
    <w:rsid w:val="50638BA4"/>
    <w:rsid w:val="517EA78A"/>
    <w:rsid w:val="51FED7EE"/>
    <w:rsid w:val="524EA9D7"/>
    <w:rsid w:val="537EF016"/>
    <w:rsid w:val="5511C6F1"/>
    <w:rsid w:val="557BFAED"/>
    <w:rsid w:val="57180ACF"/>
    <w:rsid w:val="5786FA63"/>
    <w:rsid w:val="5856C6C0"/>
    <w:rsid w:val="585E9E99"/>
    <w:rsid w:val="5958888F"/>
    <w:rsid w:val="5A34B588"/>
    <w:rsid w:val="5A438E08"/>
    <w:rsid w:val="5B69B95A"/>
    <w:rsid w:val="5B801E24"/>
    <w:rsid w:val="5C42C37D"/>
    <w:rsid w:val="5C53EF46"/>
    <w:rsid w:val="5D7F9952"/>
    <w:rsid w:val="5D955234"/>
    <w:rsid w:val="5E9939B4"/>
    <w:rsid w:val="5F9903E9"/>
    <w:rsid w:val="602BACFB"/>
    <w:rsid w:val="6093E75F"/>
    <w:rsid w:val="60B2CF8C"/>
    <w:rsid w:val="6280D56A"/>
    <w:rsid w:val="62FA13C3"/>
    <w:rsid w:val="6313F6F0"/>
    <w:rsid w:val="637207AC"/>
    <w:rsid w:val="641586A2"/>
    <w:rsid w:val="655FE364"/>
    <w:rsid w:val="65BEF713"/>
    <w:rsid w:val="65D6FB5E"/>
    <w:rsid w:val="66091BA3"/>
    <w:rsid w:val="6635FCE7"/>
    <w:rsid w:val="66BC73B8"/>
    <w:rsid w:val="66FABF14"/>
    <w:rsid w:val="6760D7B2"/>
    <w:rsid w:val="6788892C"/>
    <w:rsid w:val="68CDBA1D"/>
    <w:rsid w:val="68D20D11"/>
    <w:rsid w:val="68DD163C"/>
    <w:rsid w:val="6A793FD9"/>
    <w:rsid w:val="6BC679C8"/>
    <w:rsid w:val="6C30E20F"/>
    <w:rsid w:val="6C5B5179"/>
    <w:rsid w:val="6D9D268D"/>
    <w:rsid w:val="6EA74D34"/>
    <w:rsid w:val="6F33EF7F"/>
    <w:rsid w:val="6FD4D408"/>
    <w:rsid w:val="6FE98ED4"/>
    <w:rsid w:val="730A27B3"/>
    <w:rsid w:val="73A0B931"/>
    <w:rsid w:val="73D7689A"/>
    <w:rsid w:val="7573EB57"/>
    <w:rsid w:val="75FE833F"/>
    <w:rsid w:val="76272A33"/>
    <w:rsid w:val="784CAE63"/>
    <w:rsid w:val="79999C23"/>
    <w:rsid w:val="7ADF5637"/>
    <w:rsid w:val="7B58100D"/>
    <w:rsid w:val="7C861051"/>
    <w:rsid w:val="7CA38049"/>
    <w:rsid w:val="7D045F7E"/>
    <w:rsid w:val="7D3FF44C"/>
    <w:rsid w:val="7DF5388B"/>
    <w:rsid w:val="7E1ACAE9"/>
    <w:rsid w:val="7E2AE6CA"/>
    <w:rsid w:val="7E87FF24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ED615"/>
  <w15:chartTrackingRefBased/>
  <w15:docId w15:val="{69180D34-75DD-43BD-9DB3-24FFB2F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AC"/>
  </w:style>
  <w:style w:type="paragraph" w:styleId="Heading1">
    <w:name w:val="heading 1"/>
    <w:basedOn w:val="Normal"/>
    <w:next w:val="Normal"/>
    <w:link w:val="Heading1Char"/>
    <w:uiPriority w:val="9"/>
    <w:qFormat/>
    <w:rsid w:val="00D864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4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4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864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5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5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511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51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77A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51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511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AC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bleGrid">
    <w:name w:val="Table Grid"/>
    <w:basedOn w:val="TableNormal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864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64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UnresolvedMention">
    <w:name w:val="Unresolved Mention"/>
    <w:basedOn w:val="DefaultParagraphFont"/>
    <w:uiPriority w:val="99"/>
    <w:unhideWhenUsed/>
    <w:rsid w:val="0077251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D864AC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4AC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864AC"/>
    <w:rPr>
      <w:b/>
      <w:bCs/>
    </w:rPr>
  </w:style>
  <w:style w:type="character" w:styleId="Emphasis">
    <w:name w:val="Emphasis"/>
    <w:basedOn w:val="DefaultParagraphFont"/>
    <w:uiPriority w:val="20"/>
    <w:qFormat/>
    <w:rsid w:val="00D864A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64A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64AC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64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64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64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864AC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864AC"/>
    <w:rPr>
      <w:b/>
      <w:bCs/>
      <w:smallCaps/>
      <w:spacing w:val="10"/>
    </w:rPr>
  </w:style>
  <w:style w:type="table" w:styleId="GridTable4-Accent4">
    <w:name w:val="Grid Table 4 Accent 4"/>
    <w:basedOn w:val="TableNormal"/>
    <w:uiPriority w:val="49"/>
    <w:rsid w:val="009049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AB7C-9AD2-44AF-8033-0E6FA89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7</cp:revision>
  <cp:lastPrinted>2024-07-22T10:33:00Z</cp:lastPrinted>
  <dcterms:created xsi:type="dcterms:W3CDTF">2024-06-07T11:04:00Z</dcterms:created>
  <dcterms:modified xsi:type="dcterms:W3CDTF">2024-10-17T12:08:00Z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41ad81014cd3bb39cd2c548eab4c1007f3d163b6137195988403c18ea943e784</vt:lpwstr>
  </property>
</Properties>
</file>