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9D48695" w:rsidR="00B14648" w:rsidRDefault="00B14648">
      <w:pPr>
        <w:jc w:val="right"/>
      </w:pPr>
    </w:p>
    <w:p w14:paraId="0D0F7CD5" w14:textId="3B52E416" w:rsidR="00BF4178" w:rsidRDefault="002E771C">
      <w:pPr>
        <w:pStyle w:val="Title"/>
      </w:pPr>
      <w:r>
        <w:t>Security Operating</w:t>
      </w:r>
    </w:p>
    <w:p w14:paraId="00000002" w14:textId="2634A6CF" w:rsidR="00B14648" w:rsidRDefault="005E6EE2">
      <w:pPr>
        <w:pStyle w:val="Title"/>
      </w:pPr>
      <w:r>
        <w:t xml:space="preserve">Procedure </w:t>
      </w:r>
    </w:p>
    <w:p w14:paraId="49DA4544" w14:textId="77777777" w:rsidR="00585C51" w:rsidRDefault="00585C51" w:rsidP="00585C51">
      <w:pPr>
        <w:rPr>
          <w:rFonts w:ascii="Roboto" w:eastAsia="Roboto" w:hAnsi="Roboto" w:cs="Roboto"/>
        </w:rPr>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840"/>
      </w:tblGrid>
      <w:tr w:rsidR="00585C51" w14:paraId="39F3C636" w14:textId="77777777" w:rsidTr="0008023E">
        <w:trPr>
          <w:trHeight w:val="380"/>
        </w:trPr>
        <w:tc>
          <w:tcPr>
            <w:tcW w:w="2160" w:type="dxa"/>
            <w:tcBorders>
              <w:top w:val="single" w:sz="4" w:space="0" w:color="0F9ED5"/>
              <w:left w:val="single" w:sz="4" w:space="0" w:color="0F9ED5"/>
              <w:bottom w:val="single" w:sz="4" w:space="0" w:color="0F9ED5" w:themeColor="accent4"/>
              <w:right w:val="single" w:sz="4" w:space="0" w:color="FFFFFF" w:themeColor="background1"/>
            </w:tcBorders>
            <w:shd w:val="clear" w:color="auto" w:fill="0F9ED5" w:themeFill="accent4"/>
            <w:tcMar>
              <w:top w:w="100" w:type="dxa"/>
              <w:left w:w="100" w:type="dxa"/>
              <w:bottom w:w="100" w:type="dxa"/>
              <w:right w:w="100" w:type="dxa"/>
            </w:tcMar>
          </w:tcPr>
          <w:p w14:paraId="55A015EC" w14:textId="77777777" w:rsidR="00585C51" w:rsidRPr="0008023E" w:rsidRDefault="00585C51" w:rsidP="00C47D15">
            <w:pPr>
              <w:rPr>
                <w:rFonts w:eastAsia="Roboto"/>
                <w:b/>
                <w:bCs/>
                <w:color w:val="FFFFFF" w:themeColor="background1"/>
              </w:rPr>
            </w:pPr>
            <w:r w:rsidRPr="0008023E">
              <w:rPr>
                <w:rFonts w:eastAsia="Roboto"/>
                <w:b/>
                <w:bCs/>
                <w:color w:val="FFFFFF" w:themeColor="background1"/>
              </w:rPr>
              <w:t>Procedure Name</w:t>
            </w:r>
          </w:p>
        </w:tc>
        <w:tc>
          <w:tcPr>
            <w:tcW w:w="6840" w:type="dxa"/>
            <w:tcBorders>
              <w:top w:val="single" w:sz="4" w:space="0" w:color="0F9ED5" w:themeColor="accent4"/>
              <w:left w:val="single" w:sz="4" w:space="0" w:color="FFFFFF" w:themeColor="background1"/>
              <w:bottom w:val="single" w:sz="4" w:space="0" w:color="0F9ED5" w:themeColor="accent4"/>
              <w:right w:val="single" w:sz="4" w:space="0" w:color="0F9ED5" w:themeColor="accent4"/>
            </w:tcBorders>
            <w:shd w:val="clear" w:color="auto" w:fill="auto"/>
            <w:tcMar>
              <w:top w:w="100" w:type="dxa"/>
              <w:left w:w="100" w:type="dxa"/>
              <w:bottom w:w="100" w:type="dxa"/>
              <w:right w:w="100" w:type="dxa"/>
            </w:tcMar>
          </w:tcPr>
          <w:p w14:paraId="7975DEDD" w14:textId="7DD540DF" w:rsidR="00C34153" w:rsidRDefault="00BF4178" w:rsidP="0008023E">
            <w:pPr>
              <w:widowControl w:val="0"/>
              <w:pBdr>
                <w:top w:val="single" w:sz="4" w:space="1" w:color="FFFFFF" w:themeColor="background1"/>
                <w:left w:val="single" w:sz="4" w:space="1" w:color="FFFFFF" w:themeColor="background1"/>
                <w:bottom w:val="single" w:sz="4" w:space="1" w:color="FFFFFF" w:themeColor="background1"/>
                <w:right w:val="single" w:sz="4" w:space="1" w:color="FFFFFF" w:themeColor="background1"/>
                <w:between w:val="single" w:sz="4" w:space="1" w:color="FFFFFF" w:themeColor="background1"/>
                <w:bar w:val="single" w:sz="4" w:color="FFFFFF" w:themeColor="background1"/>
              </w:pBdr>
              <w:spacing w:after="0"/>
              <w:rPr>
                <w:rFonts w:ascii="Roboto" w:eastAsia="Roboto" w:hAnsi="Roboto" w:cs="Roboto"/>
              </w:rPr>
            </w:pPr>
            <w:r>
              <w:rPr>
                <w:rFonts w:ascii="Roboto" w:eastAsia="Roboto" w:hAnsi="Roboto" w:cs="Roboto"/>
              </w:rPr>
              <w:t>Internal Audit</w:t>
            </w:r>
          </w:p>
        </w:tc>
      </w:tr>
    </w:tbl>
    <w:p w14:paraId="00000003" w14:textId="1D6F746A" w:rsidR="00B14648" w:rsidRDefault="00B14648">
      <w:pPr>
        <w:rPr>
          <w:color w:val="00AFF0"/>
          <w:sz w:val="28"/>
          <w:szCs w:val="28"/>
        </w:rPr>
      </w:pP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B35955" w:rsidRPr="00995854" w14:paraId="16366E7D" w14:textId="77777777" w:rsidTr="00C47D15">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57750A" w14:textId="77777777" w:rsidR="00B35955" w:rsidRPr="00995854" w:rsidRDefault="00B35955" w:rsidP="00C47D15">
            <w:pPr>
              <w:rPr>
                <w:rFonts w:ascii="Calibri" w:eastAsia="Calibri" w:hAnsi="Calibri" w:cs="Calibri"/>
              </w:rPr>
            </w:pPr>
            <w:r w:rsidRPr="00995854">
              <w:rPr>
                <w:rFonts w:ascii="Calibri" w:eastAsia="Calibri" w:hAnsi="Calibri" w:cs="Calibri"/>
                <w:lang w:val="en-US"/>
              </w:rPr>
              <w:t xml:space="preserve">Version </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31DD3F" w14:textId="77777777" w:rsidR="00B35955" w:rsidRPr="00550941"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180D8" w14:textId="77777777" w:rsidR="00B35955" w:rsidRPr="00995854"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B8B8D6" w14:textId="77777777" w:rsidR="00B35955" w:rsidRPr="00995854"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30979F78" w14:textId="77777777" w:rsidR="00B35955" w:rsidRPr="00995854"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CD7B23" w14:textId="77777777" w:rsidR="00B35955" w:rsidRPr="00995854"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F9BE90" w14:textId="77777777" w:rsidR="00B35955" w:rsidRPr="00995854"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1073C7" w14:textId="77777777" w:rsidR="00B35955" w:rsidRPr="00670232" w:rsidRDefault="00B35955" w:rsidP="00C47D1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B35955" w:rsidRPr="00995854" w14:paraId="190C858C" w14:textId="77777777" w:rsidTr="00C47D15">
        <w:trPr>
          <w:trHeight w:val="91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tcBorders>
          </w:tcPr>
          <w:p w14:paraId="4139790B" w14:textId="77777777" w:rsidR="00B35955" w:rsidRPr="00995854" w:rsidRDefault="00B35955" w:rsidP="00C47D15">
            <w:pPr>
              <w:rPr>
                <w:rFonts w:ascii="Calibri" w:eastAsia="Calibri" w:hAnsi="Calibri" w:cs="Calibri"/>
                <w:color w:val="FFFFFF" w:themeColor="background1"/>
              </w:rPr>
            </w:pPr>
          </w:p>
        </w:tc>
        <w:tc>
          <w:tcPr>
            <w:tcW w:w="1130" w:type="dxa"/>
            <w:tcBorders>
              <w:top w:val="single" w:sz="4" w:space="0" w:color="FFFFFF" w:themeColor="background1"/>
            </w:tcBorders>
          </w:tcPr>
          <w:p w14:paraId="54E56759"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47" w:type="dxa"/>
            <w:tcBorders>
              <w:top w:val="single" w:sz="4" w:space="0" w:color="FFFFFF" w:themeColor="background1"/>
            </w:tcBorders>
          </w:tcPr>
          <w:p w14:paraId="7FBA9EB0"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63" w:type="dxa"/>
            <w:tcBorders>
              <w:top w:val="single" w:sz="4" w:space="0" w:color="FFFFFF" w:themeColor="background1"/>
            </w:tcBorders>
          </w:tcPr>
          <w:p w14:paraId="3566D294"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17" w:type="dxa"/>
            <w:tcBorders>
              <w:top w:val="single" w:sz="4" w:space="0" w:color="FFFFFF" w:themeColor="background1"/>
            </w:tcBorders>
          </w:tcPr>
          <w:p w14:paraId="44A94F5B"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76" w:type="dxa"/>
            <w:tcBorders>
              <w:top w:val="single" w:sz="4" w:space="0" w:color="FFFFFF" w:themeColor="background1"/>
            </w:tcBorders>
          </w:tcPr>
          <w:p w14:paraId="2E563CDD"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33" w:type="dxa"/>
            <w:tcBorders>
              <w:top w:val="single" w:sz="4" w:space="0" w:color="FFFFFF" w:themeColor="background1"/>
            </w:tcBorders>
          </w:tcPr>
          <w:p w14:paraId="3D69A5DB" w14:textId="77777777" w:rsidR="00B35955" w:rsidRPr="00995854" w:rsidRDefault="00B35955" w:rsidP="00C47D15">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14:paraId="5C1FF71A" w14:textId="77777777" w:rsidR="00B35955" w:rsidRDefault="00B35955">
      <w:pPr>
        <w:rPr>
          <w:color w:val="00AFF0"/>
          <w:sz w:val="28"/>
          <w:szCs w:val="28"/>
        </w:rPr>
      </w:pPr>
    </w:p>
    <w:p w14:paraId="00000004" w14:textId="0DDF2DB4" w:rsidR="00B14648" w:rsidRDefault="0008023E">
      <w:pPr>
        <w:rPr>
          <w:sz w:val="28"/>
          <w:szCs w:val="28"/>
        </w:rPr>
      </w:pPr>
      <w:r w:rsidRPr="007674DD">
        <w:rPr>
          <w:b/>
          <w:bCs/>
          <w:sz w:val="28"/>
          <w:szCs w:val="28"/>
        </w:rPr>
        <w:t>Classification</w:t>
      </w:r>
      <w:r w:rsidRPr="007674DD">
        <w:rPr>
          <w:sz w:val="28"/>
          <w:szCs w:val="28"/>
        </w:rPr>
        <w:t>:</w:t>
      </w:r>
      <w:r>
        <w:t xml:space="preserve"> </w:t>
      </w:r>
      <w:r w:rsidR="005E6EE2">
        <w:rPr>
          <w:sz w:val="28"/>
          <w:szCs w:val="28"/>
        </w:rPr>
        <w:t>Confidential</w:t>
      </w:r>
    </w:p>
    <w:p w14:paraId="08360252" w14:textId="56C7AF4B" w:rsidR="00B367C0" w:rsidRDefault="00B367C0" w:rsidP="00585C51">
      <w:r>
        <w:t xml:space="preserve">This document should be restricted to </w:t>
      </w:r>
      <w:r w:rsidR="00585C51">
        <w:t>those with a specific need.</w:t>
      </w:r>
    </w:p>
    <w:p w14:paraId="10C8C599" w14:textId="77777777" w:rsidR="00761657" w:rsidRPr="00761657" w:rsidRDefault="00761657" w:rsidP="000E20E3">
      <w:pPr>
        <w:pStyle w:val="Heading1"/>
      </w:pPr>
      <w:bookmarkStart w:id="0" w:name="_Toc700567908"/>
      <w:bookmarkStart w:id="1" w:name="_Toc713793392"/>
      <w:bookmarkStart w:id="2" w:name="_Toc2113661735"/>
      <w:bookmarkStart w:id="3" w:name="_Toc1316539024"/>
      <w:bookmarkStart w:id="4" w:name="_Toc1548241454"/>
      <w:bookmarkStart w:id="5" w:name="_Toc1352043046"/>
      <w:bookmarkStart w:id="6" w:name="_Toc89898023"/>
      <w:r w:rsidRPr="00761657">
        <w:t>Purpose of This Document</w:t>
      </w:r>
      <w:bookmarkEnd w:id="0"/>
      <w:bookmarkEnd w:id="1"/>
      <w:bookmarkEnd w:id="2"/>
      <w:bookmarkEnd w:id="3"/>
      <w:bookmarkEnd w:id="4"/>
      <w:bookmarkEnd w:id="5"/>
      <w:bookmarkEnd w:id="6"/>
    </w:p>
    <w:p w14:paraId="01512D58" w14:textId="77777777" w:rsidR="00761657" w:rsidRPr="00761657" w:rsidRDefault="00761657" w:rsidP="00761657">
      <w:r w:rsidRPr="00761657">
        <w:t>This document outlines the procedure for performing internal audits to ensure the Information Security Management System (ISMS) remains aligned with the ISO 27001 Information Security standard.</w:t>
      </w:r>
    </w:p>
    <w:p w14:paraId="22452EC6" w14:textId="77777777" w:rsidR="00761657" w:rsidRPr="00761657" w:rsidRDefault="00761657" w:rsidP="000E20E3">
      <w:pPr>
        <w:pStyle w:val="Heading1"/>
      </w:pPr>
      <w:bookmarkStart w:id="7" w:name="_Toc683991404"/>
      <w:bookmarkStart w:id="8" w:name="_Toc53860869"/>
      <w:bookmarkStart w:id="9" w:name="_Toc804604256"/>
      <w:bookmarkStart w:id="10" w:name="_Toc1424729171"/>
      <w:bookmarkStart w:id="11" w:name="_Toc1958344472"/>
      <w:bookmarkStart w:id="12" w:name="_Toc1699533194"/>
      <w:bookmarkStart w:id="13" w:name="_Toc89898024"/>
      <w:r w:rsidRPr="00761657">
        <w:t>Scope</w:t>
      </w:r>
      <w:bookmarkEnd w:id="7"/>
      <w:bookmarkEnd w:id="8"/>
      <w:bookmarkEnd w:id="9"/>
      <w:bookmarkEnd w:id="10"/>
      <w:bookmarkEnd w:id="11"/>
      <w:bookmarkEnd w:id="12"/>
      <w:bookmarkEnd w:id="13"/>
    </w:p>
    <w:p w14:paraId="53201AB0" w14:textId="77777777" w:rsidR="00761657" w:rsidRPr="00761657" w:rsidRDefault="00761657" w:rsidP="00761657">
      <w:r w:rsidRPr="00761657">
        <w:t>The scope of this procedure is as follows;</w:t>
      </w:r>
    </w:p>
    <w:p w14:paraId="11ACBAD7" w14:textId="77777777" w:rsidR="00761657" w:rsidRPr="00761657" w:rsidRDefault="00761657" w:rsidP="00714F75">
      <w:pPr>
        <w:numPr>
          <w:ilvl w:val="0"/>
          <w:numId w:val="3"/>
        </w:numPr>
      </w:pPr>
      <w:r w:rsidRPr="00761657">
        <w:t>ISO 27001 and controls therein.</w:t>
      </w:r>
    </w:p>
    <w:p w14:paraId="2A8888F9" w14:textId="67A5CBEB" w:rsidR="00761657" w:rsidRPr="00761657" w:rsidRDefault="00761657" w:rsidP="00714F75">
      <w:pPr>
        <w:numPr>
          <w:ilvl w:val="0"/>
          <w:numId w:val="3"/>
        </w:numPr>
      </w:pPr>
      <w:r w:rsidRPr="00761657">
        <w:t xml:space="preserve">The </w:t>
      </w:r>
      <w:r w:rsidR="00CA7015">
        <w:t xml:space="preserve">TechSolution.inc </w:t>
      </w:r>
      <w:r w:rsidRPr="00761657">
        <w:t>Information Security Management System (ISMS)</w:t>
      </w:r>
    </w:p>
    <w:p w14:paraId="5CED948A" w14:textId="77777777" w:rsidR="000E20E3" w:rsidRDefault="000E20E3" w:rsidP="00761657">
      <w:bookmarkStart w:id="14" w:name="_Toc1422192532"/>
      <w:bookmarkStart w:id="15" w:name="_Toc900365827"/>
      <w:bookmarkStart w:id="16" w:name="_Toc1373302080"/>
      <w:bookmarkStart w:id="17" w:name="_Toc1444403149"/>
      <w:bookmarkStart w:id="18" w:name="_Toc586339540"/>
      <w:bookmarkStart w:id="19" w:name="_Toc1079081434"/>
      <w:bookmarkStart w:id="20" w:name="_Toc89898025"/>
    </w:p>
    <w:p w14:paraId="52FB7B24" w14:textId="5EBEE895" w:rsidR="00761657" w:rsidRPr="00761657" w:rsidRDefault="00761657" w:rsidP="000E20E3">
      <w:pPr>
        <w:pStyle w:val="Heading1"/>
      </w:pPr>
      <w:r w:rsidRPr="00761657">
        <w:t>Responsibilities</w:t>
      </w:r>
      <w:bookmarkEnd w:id="14"/>
      <w:bookmarkEnd w:id="15"/>
      <w:bookmarkEnd w:id="16"/>
      <w:bookmarkEnd w:id="17"/>
      <w:bookmarkEnd w:id="18"/>
      <w:bookmarkEnd w:id="19"/>
      <w:bookmarkEnd w:id="20"/>
    </w:p>
    <w:tbl>
      <w:tblPr>
        <w:tblStyle w:val="TableGrid"/>
        <w:tblW w:w="0" w:type="auto"/>
        <w:tblLayout w:type="fixed"/>
        <w:tblLook w:val="06A0" w:firstRow="1" w:lastRow="0" w:firstColumn="1" w:lastColumn="0" w:noHBand="1" w:noVBand="1"/>
      </w:tblPr>
      <w:tblGrid>
        <w:gridCol w:w="3005"/>
        <w:gridCol w:w="3005"/>
        <w:gridCol w:w="3005"/>
      </w:tblGrid>
      <w:tr w:rsidR="00761657" w:rsidRPr="00761657" w14:paraId="26EF5DBA" w14:textId="77777777" w:rsidTr="009F7E9B">
        <w:tc>
          <w:tcPr>
            <w:tcW w:w="3005" w:type="dxa"/>
          </w:tcPr>
          <w:p w14:paraId="14B0073F" w14:textId="77777777" w:rsidR="00761657" w:rsidRPr="00761657" w:rsidRDefault="00761657" w:rsidP="00761657">
            <w:pPr>
              <w:spacing w:after="160" w:line="259" w:lineRule="auto"/>
              <w:rPr>
                <w:b/>
                <w:bCs/>
              </w:rPr>
            </w:pPr>
            <w:r w:rsidRPr="00761657">
              <w:rPr>
                <w:b/>
                <w:bCs/>
              </w:rPr>
              <w:t>Role</w:t>
            </w:r>
          </w:p>
        </w:tc>
        <w:tc>
          <w:tcPr>
            <w:tcW w:w="3005" w:type="dxa"/>
          </w:tcPr>
          <w:p w14:paraId="4012B655" w14:textId="77777777" w:rsidR="00761657" w:rsidRPr="00761657" w:rsidRDefault="00761657" w:rsidP="00761657">
            <w:pPr>
              <w:spacing w:after="160" w:line="259" w:lineRule="auto"/>
              <w:rPr>
                <w:b/>
                <w:bCs/>
              </w:rPr>
            </w:pPr>
            <w:r w:rsidRPr="00761657">
              <w:rPr>
                <w:b/>
                <w:bCs/>
              </w:rPr>
              <w:t>Responsibilities</w:t>
            </w:r>
          </w:p>
        </w:tc>
        <w:tc>
          <w:tcPr>
            <w:tcW w:w="3005" w:type="dxa"/>
          </w:tcPr>
          <w:p w14:paraId="28E9A86E" w14:textId="77777777" w:rsidR="00761657" w:rsidRPr="00761657" w:rsidRDefault="00761657" w:rsidP="00761657">
            <w:pPr>
              <w:spacing w:after="160" w:line="259" w:lineRule="auto"/>
              <w:rPr>
                <w:b/>
                <w:bCs/>
              </w:rPr>
            </w:pPr>
            <w:r w:rsidRPr="00761657">
              <w:rPr>
                <w:b/>
                <w:bCs/>
              </w:rPr>
              <w:t>Frequency</w:t>
            </w:r>
          </w:p>
        </w:tc>
      </w:tr>
      <w:tr w:rsidR="00761657" w:rsidRPr="00761657" w14:paraId="5D679195" w14:textId="77777777" w:rsidTr="009F7E9B">
        <w:trPr>
          <w:trHeight w:val="1140"/>
        </w:trPr>
        <w:tc>
          <w:tcPr>
            <w:tcW w:w="3005" w:type="dxa"/>
          </w:tcPr>
          <w:p w14:paraId="47EB7346" w14:textId="77777777" w:rsidR="00761657" w:rsidRPr="00761657" w:rsidRDefault="00761657" w:rsidP="00761657">
            <w:pPr>
              <w:spacing w:after="160" w:line="259" w:lineRule="auto"/>
            </w:pPr>
            <w:r w:rsidRPr="00761657">
              <w:t>Internal Auditor</w:t>
            </w:r>
          </w:p>
        </w:tc>
        <w:tc>
          <w:tcPr>
            <w:tcW w:w="3005" w:type="dxa"/>
          </w:tcPr>
          <w:p w14:paraId="2EB221F1" w14:textId="77777777" w:rsidR="00761657" w:rsidRPr="00761657" w:rsidRDefault="00761657" w:rsidP="00714F75">
            <w:pPr>
              <w:numPr>
                <w:ilvl w:val="0"/>
                <w:numId w:val="2"/>
              </w:numPr>
              <w:spacing w:after="160" w:line="259" w:lineRule="auto"/>
            </w:pPr>
            <w:r w:rsidRPr="00761657">
              <w:t>Conduct internal audit</w:t>
            </w:r>
          </w:p>
          <w:p w14:paraId="02CCE868" w14:textId="77777777" w:rsidR="00761657" w:rsidRPr="00761657" w:rsidRDefault="00761657" w:rsidP="00714F75">
            <w:pPr>
              <w:numPr>
                <w:ilvl w:val="0"/>
                <w:numId w:val="2"/>
              </w:numPr>
              <w:spacing w:after="160" w:line="259" w:lineRule="auto"/>
            </w:pPr>
            <w:r w:rsidRPr="00761657">
              <w:t>Product report on findings</w:t>
            </w:r>
          </w:p>
          <w:p w14:paraId="09FC86B2" w14:textId="77777777" w:rsidR="00761657" w:rsidRPr="00761657" w:rsidRDefault="00761657" w:rsidP="00714F75">
            <w:pPr>
              <w:numPr>
                <w:ilvl w:val="0"/>
                <w:numId w:val="2"/>
              </w:numPr>
              <w:spacing w:after="160" w:line="259" w:lineRule="auto"/>
            </w:pPr>
            <w:r w:rsidRPr="00761657">
              <w:t>Present findings to ISG</w:t>
            </w:r>
          </w:p>
          <w:p w14:paraId="37C814E3" w14:textId="77777777" w:rsidR="00761657" w:rsidRPr="00761657" w:rsidRDefault="00761657" w:rsidP="00714F75">
            <w:pPr>
              <w:numPr>
                <w:ilvl w:val="0"/>
                <w:numId w:val="2"/>
              </w:numPr>
              <w:spacing w:after="160" w:line="259" w:lineRule="auto"/>
            </w:pPr>
            <w:r w:rsidRPr="00761657">
              <w:lastRenderedPageBreak/>
              <w:t>Track progress over time</w:t>
            </w:r>
          </w:p>
        </w:tc>
        <w:tc>
          <w:tcPr>
            <w:tcW w:w="3005" w:type="dxa"/>
          </w:tcPr>
          <w:p w14:paraId="11D6181B" w14:textId="77777777" w:rsidR="00761657" w:rsidRPr="00761657" w:rsidRDefault="00761657" w:rsidP="00761657">
            <w:pPr>
              <w:spacing w:after="160" w:line="259" w:lineRule="auto"/>
            </w:pPr>
            <w:r w:rsidRPr="00761657">
              <w:lastRenderedPageBreak/>
              <w:t>6 monthly, minimum</w:t>
            </w:r>
          </w:p>
        </w:tc>
      </w:tr>
      <w:tr w:rsidR="00761657" w:rsidRPr="00761657" w14:paraId="3292BBC0" w14:textId="77777777" w:rsidTr="009F7E9B">
        <w:trPr>
          <w:trHeight w:val="915"/>
        </w:trPr>
        <w:tc>
          <w:tcPr>
            <w:tcW w:w="3005" w:type="dxa"/>
          </w:tcPr>
          <w:p w14:paraId="6948EFCC" w14:textId="77777777" w:rsidR="00761657" w:rsidRPr="00761657" w:rsidRDefault="00761657" w:rsidP="00761657">
            <w:pPr>
              <w:spacing w:after="160" w:line="259" w:lineRule="auto"/>
            </w:pPr>
            <w:r w:rsidRPr="00761657">
              <w:t>Information Security Group (ISG)</w:t>
            </w:r>
          </w:p>
        </w:tc>
        <w:tc>
          <w:tcPr>
            <w:tcW w:w="3005" w:type="dxa"/>
          </w:tcPr>
          <w:p w14:paraId="2E2449D0" w14:textId="77777777" w:rsidR="00761657" w:rsidRPr="00761657" w:rsidRDefault="00761657" w:rsidP="00714F75">
            <w:pPr>
              <w:numPr>
                <w:ilvl w:val="0"/>
                <w:numId w:val="1"/>
              </w:numPr>
              <w:spacing w:after="160" w:line="259" w:lineRule="auto"/>
            </w:pPr>
            <w:r w:rsidRPr="00761657">
              <w:t>Review findings</w:t>
            </w:r>
          </w:p>
          <w:p w14:paraId="41308F32" w14:textId="77777777" w:rsidR="00761657" w:rsidRPr="00761657" w:rsidRDefault="00761657" w:rsidP="00714F75">
            <w:pPr>
              <w:numPr>
                <w:ilvl w:val="0"/>
                <w:numId w:val="1"/>
              </w:numPr>
              <w:spacing w:after="160" w:line="259" w:lineRule="auto"/>
            </w:pPr>
            <w:r w:rsidRPr="00761657">
              <w:t>Direct &amp; track remediation activities for non-compliances</w:t>
            </w:r>
          </w:p>
        </w:tc>
        <w:tc>
          <w:tcPr>
            <w:tcW w:w="3005" w:type="dxa"/>
          </w:tcPr>
          <w:p w14:paraId="7EF25ACF" w14:textId="77777777" w:rsidR="00761657" w:rsidRPr="00761657" w:rsidRDefault="00761657" w:rsidP="00761657">
            <w:pPr>
              <w:spacing w:after="160" w:line="259" w:lineRule="auto"/>
            </w:pPr>
            <w:r w:rsidRPr="00761657">
              <w:t>Upon audit results and monthly tracking of actions after that.</w:t>
            </w:r>
          </w:p>
        </w:tc>
      </w:tr>
    </w:tbl>
    <w:p w14:paraId="423974AA" w14:textId="77777777" w:rsidR="00761657" w:rsidRPr="00761657" w:rsidRDefault="00761657" w:rsidP="00761657"/>
    <w:p w14:paraId="313D7546" w14:textId="77777777" w:rsidR="00761657" w:rsidRPr="00761657" w:rsidRDefault="00761657" w:rsidP="000E20E3">
      <w:pPr>
        <w:pStyle w:val="Heading1"/>
      </w:pPr>
      <w:bookmarkStart w:id="21" w:name="_Toc1676048866"/>
      <w:bookmarkStart w:id="22" w:name="_Toc2083863779"/>
      <w:bookmarkStart w:id="23" w:name="_Toc1904276490"/>
      <w:bookmarkStart w:id="24" w:name="_Toc521344518"/>
      <w:bookmarkStart w:id="25" w:name="_Toc276077516"/>
      <w:bookmarkStart w:id="26" w:name="_Toc1658789851"/>
      <w:bookmarkStart w:id="27" w:name="_Toc89898026"/>
      <w:r w:rsidRPr="00761657">
        <w:t>Procedure</w:t>
      </w:r>
      <w:bookmarkEnd w:id="21"/>
      <w:bookmarkEnd w:id="22"/>
      <w:bookmarkEnd w:id="23"/>
      <w:bookmarkEnd w:id="24"/>
      <w:bookmarkEnd w:id="25"/>
      <w:bookmarkEnd w:id="26"/>
      <w:bookmarkEnd w:id="27"/>
    </w:p>
    <w:p w14:paraId="1DC8DE44" w14:textId="77777777" w:rsidR="00761657" w:rsidRPr="00761657" w:rsidRDefault="00761657" w:rsidP="00761657"/>
    <w:p w14:paraId="3E039665" w14:textId="77777777" w:rsidR="00761657" w:rsidRPr="00761657" w:rsidRDefault="00761657" w:rsidP="000E20E3">
      <w:pPr>
        <w:pStyle w:val="Heading2"/>
      </w:pPr>
      <w:bookmarkStart w:id="28" w:name="_Toc89898027"/>
      <w:r w:rsidRPr="00761657">
        <w:t>Overview</w:t>
      </w:r>
      <w:bookmarkEnd w:id="28"/>
    </w:p>
    <w:p w14:paraId="2AAD634E" w14:textId="77777777" w:rsidR="00761657" w:rsidRPr="00761657" w:rsidRDefault="00761657" w:rsidP="00761657"/>
    <w:p w14:paraId="58C76D2B" w14:textId="77777777" w:rsidR="00761657" w:rsidRPr="00761657" w:rsidRDefault="00761657" w:rsidP="00761657">
      <w:r w:rsidRPr="00761657">
        <w:rPr>
          <w:noProof/>
        </w:rPr>
        <w:drawing>
          <wp:inline distT="0" distB="0" distL="0" distR="0" wp14:anchorId="35765EDD" wp14:editId="22F6E56A">
            <wp:extent cx="5730240" cy="3192780"/>
            <wp:effectExtent l="0" t="0" r="3810" b="7620"/>
            <wp:docPr id="4"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14:paraId="75B3EF8C" w14:textId="77777777" w:rsidR="00761657" w:rsidRPr="00761657" w:rsidRDefault="00761657" w:rsidP="000E20E3">
      <w:pPr>
        <w:pStyle w:val="Heading2"/>
      </w:pPr>
      <w:bookmarkStart w:id="29" w:name="_Toc89898028"/>
      <w:r w:rsidRPr="00761657">
        <w:t>Procedure Steps</w:t>
      </w:r>
      <w:bookmarkEnd w:id="29"/>
    </w:p>
    <w:p w14:paraId="12F9C167" w14:textId="77777777" w:rsidR="00761657" w:rsidRPr="00761657" w:rsidRDefault="00761657" w:rsidP="00761657">
      <w:pPr>
        <w:rPr>
          <w:b/>
          <w:bCs/>
        </w:rPr>
      </w:pPr>
      <w:bookmarkStart w:id="30" w:name="_Toc89898029"/>
      <w:r w:rsidRPr="00761657">
        <w:rPr>
          <w:b/>
          <w:bCs/>
        </w:rPr>
        <w:t>Step 1: Initiation</w:t>
      </w:r>
      <w:bookmarkEnd w:id="30"/>
    </w:p>
    <w:p w14:paraId="127D437E" w14:textId="77777777" w:rsidR="00761657" w:rsidRPr="00761657" w:rsidRDefault="00761657" w:rsidP="00714F75">
      <w:pPr>
        <w:numPr>
          <w:ilvl w:val="0"/>
          <w:numId w:val="3"/>
        </w:numPr>
      </w:pPr>
      <w:r w:rsidRPr="00761657">
        <w:t xml:space="preserve">Every six months (minimum), the Internal Auditor will commence the audit. </w:t>
      </w:r>
    </w:p>
    <w:p w14:paraId="6A92FFA7" w14:textId="77777777" w:rsidR="00761657" w:rsidRPr="00761657" w:rsidRDefault="00761657" w:rsidP="00761657">
      <w:pPr>
        <w:rPr>
          <w:b/>
          <w:bCs/>
        </w:rPr>
      </w:pPr>
      <w:bookmarkStart w:id="31" w:name="_Toc89898030"/>
      <w:r w:rsidRPr="00761657">
        <w:rPr>
          <w:b/>
          <w:bCs/>
        </w:rPr>
        <w:t>Step 2: Audit Plan</w:t>
      </w:r>
      <w:bookmarkEnd w:id="31"/>
    </w:p>
    <w:p w14:paraId="2466A36E" w14:textId="77777777" w:rsidR="00761657" w:rsidRPr="00761657" w:rsidRDefault="00761657" w:rsidP="00714F75">
      <w:pPr>
        <w:numPr>
          <w:ilvl w:val="0"/>
          <w:numId w:val="3"/>
        </w:numPr>
      </w:pPr>
      <w:r w:rsidRPr="00761657">
        <w:t>The Internal Auditor will document the scope of the audit, checking any changes in the ISO 27001 criteria and adjusting as necessary.</w:t>
      </w:r>
    </w:p>
    <w:p w14:paraId="10986CCF" w14:textId="35E60997" w:rsidR="00761657" w:rsidRPr="00761657" w:rsidRDefault="00761657" w:rsidP="00714F75">
      <w:pPr>
        <w:numPr>
          <w:ilvl w:val="0"/>
          <w:numId w:val="3"/>
        </w:numPr>
      </w:pPr>
      <w:r w:rsidRPr="00761657">
        <w:t>The activities, timescales</w:t>
      </w:r>
      <w:r w:rsidR="002E771C">
        <w:t>, and resources needed will be documented in the audit plan and emailed to the ISG to increase</w:t>
      </w:r>
      <w:r w:rsidRPr="00761657">
        <w:t xml:space="preserve"> their awareness. If the ISG have any concerns about the audit's potential scope or business impact, they should advise the Auditor.</w:t>
      </w:r>
    </w:p>
    <w:p w14:paraId="4292FD5E" w14:textId="77777777" w:rsidR="00761657" w:rsidRPr="00761657" w:rsidRDefault="00761657" w:rsidP="00761657">
      <w:pPr>
        <w:rPr>
          <w:b/>
          <w:bCs/>
        </w:rPr>
      </w:pPr>
      <w:r w:rsidRPr="00761657">
        <w:rPr>
          <w:b/>
          <w:bCs/>
        </w:rPr>
        <w:t xml:space="preserve"> </w:t>
      </w:r>
      <w:bookmarkStart w:id="32" w:name="_Toc89898031"/>
      <w:r w:rsidRPr="00761657">
        <w:rPr>
          <w:b/>
          <w:bCs/>
        </w:rPr>
        <w:t>Step 3: Interviews &amp; Practices Review</w:t>
      </w:r>
      <w:bookmarkEnd w:id="32"/>
    </w:p>
    <w:p w14:paraId="1C0ED385" w14:textId="77777777" w:rsidR="00761657" w:rsidRPr="00761657" w:rsidRDefault="00761657" w:rsidP="00714F75">
      <w:pPr>
        <w:numPr>
          <w:ilvl w:val="0"/>
          <w:numId w:val="4"/>
        </w:numPr>
      </w:pPr>
      <w:r w:rsidRPr="00761657">
        <w:t xml:space="preserve">Adhering to the Audit Plan, the Internal Auditor will review practices in alignment with the </w:t>
      </w:r>
      <w:hyperlink r:id="rId9">
        <w:r w:rsidRPr="00761657">
          <w:rPr>
            <w:rStyle w:val="Hyperlink"/>
          </w:rPr>
          <w:t>Internal Audit Template</w:t>
        </w:r>
      </w:hyperlink>
      <w:r w:rsidRPr="00761657">
        <w:t>.</w:t>
      </w:r>
    </w:p>
    <w:p w14:paraId="7FD55D05" w14:textId="77777777" w:rsidR="00761657" w:rsidRPr="00761657" w:rsidRDefault="00761657" w:rsidP="00714F75">
      <w:pPr>
        <w:numPr>
          <w:ilvl w:val="0"/>
          <w:numId w:val="4"/>
        </w:numPr>
      </w:pPr>
      <w:r w:rsidRPr="00761657">
        <w:t>The Auditor will review the results with the necessary managers/team leaders who implement the ISO 27001 guidance and, where necessary, front-line staff who carry out activities to ensure they are aware of procedures and policies.</w:t>
      </w:r>
    </w:p>
    <w:p w14:paraId="375E8280" w14:textId="77777777" w:rsidR="00761657" w:rsidRPr="00761657" w:rsidRDefault="00761657" w:rsidP="00761657">
      <w:pPr>
        <w:rPr>
          <w:b/>
          <w:bCs/>
        </w:rPr>
      </w:pPr>
      <w:bookmarkStart w:id="33" w:name="_Toc89898032"/>
      <w:r w:rsidRPr="00761657">
        <w:rPr>
          <w:b/>
          <w:bCs/>
        </w:rPr>
        <w:t>Step 4: Mandatory Documents &amp; Records Evidence</w:t>
      </w:r>
      <w:bookmarkEnd w:id="33"/>
    </w:p>
    <w:p w14:paraId="3FC141BD" w14:textId="15C27FDC" w:rsidR="00761657" w:rsidRPr="00761657" w:rsidRDefault="00761657" w:rsidP="00714F75">
      <w:pPr>
        <w:numPr>
          <w:ilvl w:val="0"/>
          <w:numId w:val="5"/>
        </w:numPr>
      </w:pPr>
      <w:r w:rsidRPr="00761657">
        <w:t xml:space="preserve">The Auditor will collect examples of the ISO 27001 mandatory documents and records identified in the Audit Template above, linking evidence and examples </w:t>
      </w:r>
      <w:r w:rsidR="002E771C">
        <w:t>in the audit results where possible</w:t>
      </w:r>
      <w:r w:rsidRPr="00761657">
        <w:t>.</w:t>
      </w:r>
    </w:p>
    <w:p w14:paraId="7403D64F" w14:textId="77777777" w:rsidR="00761657" w:rsidRPr="00761657" w:rsidRDefault="00761657" w:rsidP="00761657">
      <w:pPr>
        <w:rPr>
          <w:b/>
          <w:bCs/>
        </w:rPr>
      </w:pPr>
      <w:r w:rsidRPr="00761657">
        <w:rPr>
          <w:b/>
          <w:bCs/>
        </w:rPr>
        <w:t>Step 5: Findings Report</w:t>
      </w:r>
    </w:p>
    <w:p w14:paraId="52418F0E" w14:textId="77777777" w:rsidR="00761657" w:rsidRPr="00761657" w:rsidRDefault="00761657" w:rsidP="00714F75">
      <w:pPr>
        <w:numPr>
          <w:ilvl w:val="0"/>
          <w:numId w:val="5"/>
        </w:numPr>
      </w:pPr>
      <w:r w:rsidRPr="00761657">
        <w:t>The Auditor will complete the template, highlighting where the activities are in compliance and where they are not. The completed report should be distributed to the ISG for review. Textual commentary may be provided, if necessary, within the template.</w:t>
      </w:r>
    </w:p>
    <w:p w14:paraId="3819FDC1" w14:textId="77777777" w:rsidR="00761657" w:rsidRPr="00761657" w:rsidRDefault="00761657" w:rsidP="00714F75">
      <w:pPr>
        <w:numPr>
          <w:ilvl w:val="0"/>
          <w:numId w:val="5"/>
        </w:numPr>
      </w:pPr>
      <w:r w:rsidRPr="00761657">
        <w:t xml:space="preserve">The Auditor will update the </w:t>
      </w:r>
      <w:hyperlink r:id="rId10">
        <w:r w:rsidRPr="00761657">
          <w:rPr>
            <w:rStyle w:val="Hyperlink"/>
          </w:rPr>
          <w:t>Non-</w:t>
        </w:r>
      </w:hyperlink>
      <w:r w:rsidRPr="00761657">
        <w:rPr>
          <w:u w:val="single"/>
        </w:rPr>
        <w:t>Compliance Log</w:t>
      </w:r>
      <w:r w:rsidRPr="00761657">
        <w:t xml:space="preserve"> with any findings that fall short of the ISO 27001 expectations. These findings may be categorised as follows;</w:t>
      </w:r>
    </w:p>
    <w:p w14:paraId="58289DA5" w14:textId="77777777" w:rsidR="00761657" w:rsidRPr="00761657" w:rsidRDefault="00761657" w:rsidP="00714F75">
      <w:pPr>
        <w:numPr>
          <w:ilvl w:val="1"/>
          <w:numId w:val="5"/>
        </w:numPr>
      </w:pPr>
      <w:r w:rsidRPr="00761657">
        <w:rPr>
          <w:b/>
          <w:bCs/>
        </w:rPr>
        <w:t>Non-Compliance</w:t>
      </w:r>
      <w:r w:rsidRPr="00761657">
        <w:t xml:space="preserve"> – Where the activities and evidence fall short of the ISMS expected standards</w:t>
      </w:r>
    </w:p>
    <w:p w14:paraId="29349630" w14:textId="77777777" w:rsidR="00761657" w:rsidRPr="00761657" w:rsidRDefault="00761657" w:rsidP="00714F75">
      <w:pPr>
        <w:numPr>
          <w:ilvl w:val="1"/>
          <w:numId w:val="5"/>
        </w:numPr>
      </w:pPr>
      <w:r w:rsidRPr="00761657">
        <w:rPr>
          <w:b/>
          <w:bCs/>
        </w:rPr>
        <w:t>Area of Improvement</w:t>
      </w:r>
      <w:r w:rsidRPr="00761657">
        <w:t xml:space="preserve"> – Where the criteria are broadly met, but improvements have been identified.</w:t>
      </w:r>
    </w:p>
    <w:p w14:paraId="617281B5" w14:textId="77777777" w:rsidR="00761657" w:rsidRPr="00761657" w:rsidRDefault="00761657" w:rsidP="00714F75">
      <w:pPr>
        <w:numPr>
          <w:ilvl w:val="0"/>
          <w:numId w:val="5"/>
        </w:numPr>
      </w:pPr>
      <w:r w:rsidRPr="00761657">
        <w:t xml:space="preserve">Audit results will be filed in the </w:t>
      </w:r>
      <w:hyperlink r:id="rId11">
        <w:r w:rsidRPr="00761657">
          <w:rPr>
            <w:rStyle w:val="Hyperlink"/>
          </w:rPr>
          <w:t>Audit Results</w:t>
        </w:r>
      </w:hyperlink>
      <w:r w:rsidRPr="00761657">
        <w:t xml:space="preserve"> repository. </w:t>
      </w:r>
    </w:p>
    <w:p w14:paraId="00E6E788" w14:textId="77777777" w:rsidR="00761657" w:rsidRPr="00761657" w:rsidRDefault="00761657" w:rsidP="00761657">
      <w:pPr>
        <w:rPr>
          <w:b/>
          <w:bCs/>
        </w:rPr>
      </w:pPr>
      <w:r w:rsidRPr="00761657">
        <w:rPr>
          <w:b/>
          <w:bCs/>
        </w:rPr>
        <w:t>Step 6: Review the Findings</w:t>
      </w:r>
    </w:p>
    <w:p w14:paraId="354CF9AA" w14:textId="77777777" w:rsidR="00761657" w:rsidRPr="00761657" w:rsidRDefault="00761657" w:rsidP="00714F75">
      <w:pPr>
        <w:numPr>
          <w:ilvl w:val="0"/>
          <w:numId w:val="5"/>
        </w:numPr>
      </w:pPr>
      <w:r w:rsidRPr="00761657">
        <w:t>The Auditor will present the significant findings in person to the ISG, focusing on the non-compliances and gaps discovered in the report. The ISG may ask questions and choose to follow up where there may be disputes.</w:t>
      </w:r>
    </w:p>
    <w:p w14:paraId="6512BD82" w14:textId="4D35E5B1" w:rsidR="00761657" w:rsidRPr="00761657" w:rsidRDefault="00761657" w:rsidP="00714F75">
      <w:pPr>
        <w:numPr>
          <w:ilvl w:val="0"/>
          <w:numId w:val="5"/>
        </w:numPr>
      </w:pPr>
      <w:r w:rsidRPr="00761657">
        <w:t>The ISG will ensure that ownership is assigned to update the Risk Log for any identified risks that indicate vulnerabilities in the findings report.</w:t>
      </w:r>
    </w:p>
    <w:p w14:paraId="1AFD05E6" w14:textId="77777777" w:rsidR="00761657" w:rsidRPr="00761657" w:rsidRDefault="00761657" w:rsidP="00761657">
      <w:pPr>
        <w:rPr>
          <w:b/>
          <w:bCs/>
        </w:rPr>
      </w:pPr>
      <w:r w:rsidRPr="00761657">
        <w:rPr>
          <w:b/>
          <w:bCs/>
        </w:rPr>
        <w:t>Step 7: Remediation Plan</w:t>
      </w:r>
    </w:p>
    <w:p w14:paraId="77D8064B" w14:textId="77777777" w:rsidR="00761657" w:rsidRPr="00761657" w:rsidRDefault="00761657" w:rsidP="00714F75">
      <w:pPr>
        <w:numPr>
          <w:ilvl w:val="0"/>
          <w:numId w:val="5"/>
        </w:numPr>
      </w:pPr>
      <w:r w:rsidRPr="00761657">
        <w:t xml:space="preserve">The ISG will ensure that remediation actions are defined and added to </w:t>
      </w:r>
      <w:hyperlink r:id="rId12">
        <w:r w:rsidRPr="00761657">
          <w:rPr>
            <w:rStyle w:val="Hyperlink"/>
          </w:rPr>
          <w:t>the Non-Compliance L</w:t>
        </w:r>
      </w:hyperlink>
      <w:r w:rsidRPr="00761657">
        <w:rPr>
          <w:u w:val="single"/>
        </w:rPr>
        <w:t>og</w:t>
      </w:r>
      <w:r w:rsidRPr="00761657">
        <w:t xml:space="preserve"> items where the Auditor logged them during Step 5.</w:t>
      </w:r>
    </w:p>
    <w:p w14:paraId="666204B3" w14:textId="77777777" w:rsidR="00761657" w:rsidRDefault="00761657" w:rsidP="00585C51"/>
    <w:p w14:paraId="2FF29617" w14:textId="77777777" w:rsidR="00460363" w:rsidRDefault="00460363" w:rsidP="00585C51"/>
    <w:sectPr w:rsidR="00460363" w:rsidSect="00585C51">
      <w:headerReference w:type="firs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FE2B" w14:textId="77777777" w:rsidR="00714F75" w:rsidRDefault="00714F75">
      <w:pPr>
        <w:spacing w:after="0"/>
      </w:pPr>
      <w:r>
        <w:separator/>
      </w:r>
    </w:p>
  </w:endnote>
  <w:endnote w:type="continuationSeparator" w:id="0">
    <w:p w14:paraId="0F185719" w14:textId="77777777" w:rsidR="00714F75" w:rsidRDefault="00714F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8A21" w14:textId="77777777" w:rsidR="00714F75" w:rsidRDefault="00714F75">
      <w:pPr>
        <w:spacing w:after="0"/>
      </w:pPr>
      <w:r>
        <w:separator/>
      </w:r>
    </w:p>
  </w:footnote>
  <w:footnote w:type="continuationSeparator" w:id="0">
    <w:p w14:paraId="587CFA7B" w14:textId="77777777" w:rsidR="00714F75" w:rsidRDefault="00714F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1A29" w14:textId="059E6579" w:rsidR="00A13DB3" w:rsidRDefault="00A13DB3" w:rsidP="00A13DB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3B10"/>
    <w:multiLevelType w:val="hybridMultilevel"/>
    <w:tmpl w:val="14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4091C"/>
    <w:multiLevelType w:val="hybridMultilevel"/>
    <w:tmpl w:val="1CDA3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615197"/>
    <w:multiLevelType w:val="hybridMultilevel"/>
    <w:tmpl w:val="6DB40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2847AE"/>
    <w:multiLevelType w:val="hybridMultilevel"/>
    <w:tmpl w:val="49E43162"/>
    <w:lvl w:ilvl="0" w:tplc="C4B839EA">
      <w:start w:val="1"/>
      <w:numFmt w:val="bullet"/>
      <w:lvlText w:val=""/>
      <w:lvlJc w:val="left"/>
      <w:pPr>
        <w:ind w:left="360" w:hanging="360"/>
      </w:pPr>
      <w:rPr>
        <w:rFonts w:ascii="Symbol" w:hAnsi="Symbol" w:hint="default"/>
      </w:rPr>
    </w:lvl>
    <w:lvl w:ilvl="1" w:tplc="469A1972">
      <w:start w:val="1"/>
      <w:numFmt w:val="bullet"/>
      <w:lvlText w:val="o"/>
      <w:lvlJc w:val="left"/>
      <w:pPr>
        <w:ind w:left="1080" w:hanging="360"/>
      </w:pPr>
      <w:rPr>
        <w:rFonts w:ascii="Courier New" w:hAnsi="Courier New" w:hint="default"/>
      </w:rPr>
    </w:lvl>
    <w:lvl w:ilvl="2" w:tplc="94CA9BCA">
      <w:start w:val="1"/>
      <w:numFmt w:val="bullet"/>
      <w:lvlText w:val=""/>
      <w:lvlJc w:val="left"/>
      <w:pPr>
        <w:ind w:left="1800" w:hanging="360"/>
      </w:pPr>
      <w:rPr>
        <w:rFonts w:ascii="Wingdings" w:hAnsi="Wingdings" w:hint="default"/>
      </w:rPr>
    </w:lvl>
    <w:lvl w:ilvl="3" w:tplc="2C6EC324">
      <w:start w:val="1"/>
      <w:numFmt w:val="bullet"/>
      <w:lvlText w:val=""/>
      <w:lvlJc w:val="left"/>
      <w:pPr>
        <w:ind w:left="2520" w:hanging="360"/>
      </w:pPr>
      <w:rPr>
        <w:rFonts w:ascii="Symbol" w:hAnsi="Symbol" w:hint="default"/>
      </w:rPr>
    </w:lvl>
    <w:lvl w:ilvl="4" w:tplc="E234964E">
      <w:start w:val="1"/>
      <w:numFmt w:val="bullet"/>
      <w:lvlText w:val="o"/>
      <w:lvlJc w:val="left"/>
      <w:pPr>
        <w:ind w:left="3240" w:hanging="360"/>
      </w:pPr>
      <w:rPr>
        <w:rFonts w:ascii="Courier New" w:hAnsi="Courier New" w:hint="default"/>
      </w:rPr>
    </w:lvl>
    <w:lvl w:ilvl="5" w:tplc="979A8CC4">
      <w:start w:val="1"/>
      <w:numFmt w:val="bullet"/>
      <w:lvlText w:val=""/>
      <w:lvlJc w:val="left"/>
      <w:pPr>
        <w:ind w:left="3960" w:hanging="360"/>
      </w:pPr>
      <w:rPr>
        <w:rFonts w:ascii="Wingdings" w:hAnsi="Wingdings" w:hint="default"/>
      </w:rPr>
    </w:lvl>
    <w:lvl w:ilvl="6" w:tplc="D0248E30">
      <w:start w:val="1"/>
      <w:numFmt w:val="bullet"/>
      <w:lvlText w:val=""/>
      <w:lvlJc w:val="left"/>
      <w:pPr>
        <w:ind w:left="4680" w:hanging="360"/>
      </w:pPr>
      <w:rPr>
        <w:rFonts w:ascii="Symbol" w:hAnsi="Symbol" w:hint="default"/>
      </w:rPr>
    </w:lvl>
    <w:lvl w:ilvl="7" w:tplc="3942FD8C">
      <w:start w:val="1"/>
      <w:numFmt w:val="bullet"/>
      <w:lvlText w:val="o"/>
      <w:lvlJc w:val="left"/>
      <w:pPr>
        <w:ind w:left="5400" w:hanging="360"/>
      </w:pPr>
      <w:rPr>
        <w:rFonts w:ascii="Courier New" w:hAnsi="Courier New" w:hint="default"/>
      </w:rPr>
    </w:lvl>
    <w:lvl w:ilvl="8" w:tplc="6B38D4B6">
      <w:start w:val="1"/>
      <w:numFmt w:val="bullet"/>
      <w:lvlText w:val=""/>
      <w:lvlJc w:val="left"/>
      <w:pPr>
        <w:ind w:left="6120" w:hanging="360"/>
      </w:pPr>
      <w:rPr>
        <w:rFonts w:ascii="Wingdings" w:hAnsi="Wingdings" w:hint="default"/>
      </w:rPr>
    </w:lvl>
  </w:abstractNum>
  <w:abstractNum w:abstractNumId="4" w15:restartNumberingAfterBreak="0">
    <w:nsid w:val="6F6429FC"/>
    <w:multiLevelType w:val="hybridMultilevel"/>
    <w:tmpl w:val="E1A04910"/>
    <w:lvl w:ilvl="0" w:tplc="52DE6E28">
      <w:start w:val="1"/>
      <w:numFmt w:val="bullet"/>
      <w:lvlText w:val=""/>
      <w:lvlJc w:val="left"/>
      <w:pPr>
        <w:ind w:left="360" w:hanging="360"/>
      </w:pPr>
      <w:rPr>
        <w:rFonts w:ascii="Symbol" w:hAnsi="Symbol" w:hint="default"/>
      </w:rPr>
    </w:lvl>
    <w:lvl w:ilvl="1" w:tplc="5DD2DBF8">
      <w:start w:val="1"/>
      <w:numFmt w:val="bullet"/>
      <w:lvlText w:val="o"/>
      <w:lvlJc w:val="left"/>
      <w:pPr>
        <w:ind w:left="1080" w:hanging="360"/>
      </w:pPr>
      <w:rPr>
        <w:rFonts w:ascii="Courier New" w:hAnsi="Courier New" w:hint="default"/>
      </w:rPr>
    </w:lvl>
    <w:lvl w:ilvl="2" w:tplc="58FAFCB8">
      <w:start w:val="1"/>
      <w:numFmt w:val="bullet"/>
      <w:lvlText w:val=""/>
      <w:lvlJc w:val="left"/>
      <w:pPr>
        <w:ind w:left="1800" w:hanging="360"/>
      </w:pPr>
      <w:rPr>
        <w:rFonts w:ascii="Wingdings" w:hAnsi="Wingdings" w:hint="default"/>
      </w:rPr>
    </w:lvl>
    <w:lvl w:ilvl="3" w:tplc="AE0C7B70">
      <w:start w:val="1"/>
      <w:numFmt w:val="bullet"/>
      <w:lvlText w:val=""/>
      <w:lvlJc w:val="left"/>
      <w:pPr>
        <w:ind w:left="2520" w:hanging="360"/>
      </w:pPr>
      <w:rPr>
        <w:rFonts w:ascii="Symbol" w:hAnsi="Symbol" w:hint="default"/>
      </w:rPr>
    </w:lvl>
    <w:lvl w:ilvl="4" w:tplc="E7B6F54A">
      <w:start w:val="1"/>
      <w:numFmt w:val="bullet"/>
      <w:lvlText w:val="o"/>
      <w:lvlJc w:val="left"/>
      <w:pPr>
        <w:ind w:left="3240" w:hanging="360"/>
      </w:pPr>
      <w:rPr>
        <w:rFonts w:ascii="Courier New" w:hAnsi="Courier New" w:hint="default"/>
      </w:rPr>
    </w:lvl>
    <w:lvl w:ilvl="5" w:tplc="9BAA4332">
      <w:start w:val="1"/>
      <w:numFmt w:val="bullet"/>
      <w:lvlText w:val=""/>
      <w:lvlJc w:val="left"/>
      <w:pPr>
        <w:ind w:left="3960" w:hanging="360"/>
      </w:pPr>
      <w:rPr>
        <w:rFonts w:ascii="Wingdings" w:hAnsi="Wingdings" w:hint="default"/>
      </w:rPr>
    </w:lvl>
    <w:lvl w:ilvl="6" w:tplc="6B7E6396">
      <w:start w:val="1"/>
      <w:numFmt w:val="bullet"/>
      <w:lvlText w:val=""/>
      <w:lvlJc w:val="left"/>
      <w:pPr>
        <w:ind w:left="4680" w:hanging="360"/>
      </w:pPr>
      <w:rPr>
        <w:rFonts w:ascii="Symbol" w:hAnsi="Symbol" w:hint="default"/>
      </w:rPr>
    </w:lvl>
    <w:lvl w:ilvl="7" w:tplc="F1144776">
      <w:start w:val="1"/>
      <w:numFmt w:val="bullet"/>
      <w:lvlText w:val="o"/>
      <w:lvlJc w:val="left"/>
      <w:pPr>
        <w:ind w:left="5400" w:hanging="360"/>
      </w:pPr>
      <w:rPr>
        <w:rFonts w:ascii="Courier New" w:hAnsi="Courier New" w:hint="default"/>
      </w:rPr>
    </w:lvl>
    <w:lvl w:ilvl="8" w:tplc="D8C477DE">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yNjCwMLcwMLQwNzRX0lEKTi0uzszPAykwqwUAoVjNdSwAAAA="/>
  </w:docVars>
  <w:rsids>
    <w:rsidRoot w:val="00B14648"/>
    <w:rsid w:val="00016368"/>
    <w:rsid w:val="0004682A"/>
    <w:rsid w:val="0008023E"/>
    <w:rsid w:val="000916C2"/>
    <w:rsid w:val="000A73AA"/>
    <w:rsid w:val="000C4B07"/>
    <w:rsid w:val="000D2CBC"/>
    <w:rsid w:val="000E1C46"/>
    <w:rsid w:val="000E20E3"/>
    <w:rsid w:val="00110772"/>
    <w:rsid w:val="00257F84"/>
    <w:rsid w:val="00277158"/>
    <w:rsid w:val="002842DD"/>
    <w:rsid w:val="00292422"/>
    <w:rsid w:val="002B33F3"/>
    <w:rsid w:val="002E771C"/>
    <w:rsid w:val="003429A1"/>
    <w:rsid w:val="003937B9"/>
    <w:rsid w:val="003A63DF"/>
    <w:rsid w:val="003D54F6"/>
    <w:rsid w:val="003E3FA8"/>
    <w:rsid w:val="004225DF"/>
    <w:rsid w:val="00434167"/>
    <w:rsid w:val="004415A6"/>
    <w:rsid w:val="00445EEF"/>
    <w:rsid w:val="00460363"/>
    <w:rsid w:val="004639D5"/>
    <w:rsid w:val="004A4633"/>
    <w:rsid w:val="004A6F7E"/>
    <w:rsid w:val="00522FEE"/>
    <w:rsid w:val="00523F90"/>
    <w:rsid w:val="00525794"/>
    <w:rsid w:val="00526735"/>
    <w:rsid w:val="0052717A"/>
    <w:rsid w:val="00585C51"/>
    <w:rsid w:val="00596C8A"/>
    <w:rsid w:val="005E6EE2"/>
    <w:rsid w:val="00610BC9"/>
    <w:rsid w:val="00657616"/>
    <w:rsid w:val="00701C99"/>
    <w:rsid w:val="00702296"/>
    <w:rsid w:val="00714F75"/>
    <w:rsid w:val="0072488C"/>
    <w:rsid w:val="00732D89"/>
    <w:rsid w:val="00761657"/>
    <w:rsid w:val="007674DD"/>
    <w:rsid w:val="00767ABA"/>
    <w:rsid w:val="00777339"/>
    <w:rsid w:val="007D4830"/>
    <w:rsid w:val="00816EF1"/>
    <w:rsid w:val="0084602A"/>
    <w:rsid w:val="00887AC5"/>
    <w:rsid w:val="008C6D26"/>
    <w:rsid w:val="008D5540"/>
    <w:rsid w:val="008F420C"/>
    <w:rsid w:val="00951328"/>
    <w:rsid w:val="00965E85"/>
    <w:rsid w:val="009702D2"/>
    <w:rsid w:val="00993D14"/>
    <w:rsid w:val="009E10A3"/>
    <w:rsid w:val="00A13DB3"/>
    <w:rsid w:val="00A4116A"/>
    <w:rsid w:val="00A42A10"/>
    <w:rsid w:val="00B10724"/>
    <w:rsid w:val="00B14648"/>
    <w:rsid w:val="00B35955"/>
    <w:rsid w:val="00B367C0"/>
    <w:rsid w:val="00B50F30"/>
    <w:rsid w:val="00B81CBB"/>
    <w:rsid w:val="00B86A33"/>
    <w:rsid w:val="00BA7915"/>
    <w:rsid w:val="00BF4178"/>
    <w:rsid w:val="00C34153"/>
    <w:rsid w:val="00C5527E"/>
    <w:rsid w:val="00C66B10"/>
    <w:rsid w:val="00C71DE6"/>
    <w:rsid w:val="00CA4915"/>
    <w:rsid w:val="00CA5836"/>
    <w:rsid w:val="00CA7015"/>
    <w:rsid w:val="00CF69E5"/>
    <w:rsid w:val="00D60965"/>
    <w:rsid w:val="00D859A9"/>
    <w:rsid w:val="00E07A85"/>
    <w:rsid w:val="00E957B6"/>
    <w:rsid w:val="00EC444D"/>
    <w:rsid w:val="00ED1884"/>
    <w:rsid w:val="00F53C30"/>
    <w:rsid w:val="00F752E8"/>
    <w:rsid w:val="00F7744C"/>
    <w:rsid w:val="00FD1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2B6DB4"/>
  <w15:docId w15:val="{D33D69EB-8533-9E4B-A931-628BFD1F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9A9"/>
  </w:style>
  <w:style w:type="paragraph" w:styleId="Heading1">
    <w:name w:val="heading 1"/>
    <w:basedOn w:val="Normal"/>
    <w:next w:val="Normal"/>
    <w:link w:val="Heading1Char"/>
    <w:uiPriority w:val="9"/>
    <w:qFormat/>
    <w:rsid w:val="00D859A9"/>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D859A9"/>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9A9"/>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9A9"/>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D859A9"/>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D859A9"/>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D859A9"/>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D859A9"/>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D859A9"/>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9A9"/>
    <w:pPr>
      <w:spacing w:after="0" w:line="204" w:lineRule="auto"/>
      <w:contextualSpacing/>
    </w:pPr>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D859A9"/>
    <w:pPr>
      <w:numPr>
        <w:ilvl w:val="1"/>
      </w:numPr>
      <w:spacing w:after="240" w:line="240" w:lineRule="auto"/>
    </w:pPr>
    <w:rPr>
      <w:rFonts w:asciiTheme="majorHAnsi" w:eastAsiaTheme="majorEastAsia" w:hAnsiTheme="majorHAnsi" w:cstheme="majorBidi"/>
      <w:color w:val="156082"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66B10"/>
    <w:pPr>
      <w:tabs>
        <w:tab w:val="center" w:pos="4513"/>
        <w:tab w:val="right" w:pos="9026"/>
      </w:tabs>
      <w:spacing w:after="0"/>
    </w:pPr>
  </w:style>
  <w:style w:type="character" w:customStyle="1" w:styleId="HeaderChar">
    <w:name w:val="Header Char"/>
    <w:basedOn w:val="DefaultParagraphFont"/>
    <w:link w:val="Header"/>
    <w:uiPriority w:val="99"/>
    <w:rsid w:val="00C66B10"/>
  </w:style>
  <w:style w:type="paragraph" w:styleId="Footer">
    <w:name w:val="footer"/>
    <w:basedOn w:val="Normal"/>
    <w:link w:val="FooterChar"/>
    <w:uiPriority w:val="99"/>
    <w:unhideWhenUsed/>
    <w:rsid w:val="00C66B10"/>
    <w:pPr>
      <w:tabs>
        <w:tab w:val="center" w:pos="4513"/>
        <w:tab w:val="right" w:pos="9026"/>
      </w:tabs>
      <w:spacing w:after="0"/>
    </w:pPr>
  </w:style>
  <w:style w:type="character" w:customStyle="1" w:styleId="FooterChar">
    <w:name w:val="Footer Char"/>
    <w:basedOn w:val="DefaultParagraphFont"/>
    <w:link w:val="Footer"/>
    <w:uiPriority w:val="99"/>
    <w:rsid w:val="00C66B10"/>
  </w:style>
  <w:style w:type="character" w:customStyle="1" w:styleId="Heading1Char">
    <w:name w:val="Heading 1 Char"/>
    <w:basedOn w:val="DefaultParagraphFont"/>
    <w:link w:val="Heading1"/>
    <w:uiPriority w:val="9"/>
    <w:rsid w:val="00D859A9"/>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D85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9A9"/>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9A9"/>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D859A9"/>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D859A9"/>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D859A9"/>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D859A9"/>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D859A9"/>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D859A9"/>
    <w:pPr>
      <w:spacing w:line="240" w:lineRule="auto"/>
    </w:pPr>
    <w:rPr>
      <w:b/>
      <w:bCs/>
      <w:smallCaps/>
      <w:color w:val="0E2841" w:themeColor="text2"/>
    </w:rPr>
  </w:style>
  <w:style w:type="character" w:customStyle="1" w:styleId="TitleChar">
    <w:name w:val="Title Char"/>
    <w:basedOn w:val="DefaultParagraphFont"/>
    <w:link w:val="Title"/>
    <w:uiPriority w:val="10"/>
    <w:rsid w:val="00D859A9"/>
    <w:rPr>
      <w:rFonts w:asciiTheme="majorHAnsi" w:eastAsiaTheme="majorEastAsia" w:hAnsiTheme="majorHAnsi" w:cstheme="majorBidi"/>
      <w:caps/>
      <w:color w:val="0E2841" w:themeColor="text2"/>
      <w:spacing w:val="-15"/>
      <w:sz w:val="72"/>
      <w:szCs w:val="72"/>
    </w:rPr>
  </w:style>
  <w:style w:type="character" w:customStyle="1" w:styleId="SubtitleChar">
    <w:name w:val="Subtitle Char"/>
    <w:basedOn w:val="DefaultParagraphFont"/>
    <w:link w:val="Subtitle"/>
    <w:uiPriority w:val="11"/>
    <w:rsid w:val="00D859A9"/>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D859A9"/>
    <w:rPr>
      <w:b/>
      <w:bCs/>
    </w:rPr>
  </w:style>
  <w:style w:type="character" w:styleId="Emphasis">
    <w:name w:val="Emphasis"/>
    <w:basedOn w:val="DefaultParagraphFont"/>
    <w:uiPriority w:val="20"/>
    <w:qFormat/>
    <w:rsid w:val="00D859A9"/>
    <w:rPr>
      <w:i/>
      <w:iCs/>
    </w:rPr>
  </w:style>
  <w:style w:type="paragraph" w:styleId="NoSpacing">
    <w:name w:val="No Spacing"/>
    <w:uiPriority w:val="1"/>
    <w:qFormat/>
    <w:rsid w:val="00D859A9"/>
    <w:pPr>
      <w:spacing w:after="0" w:line="240" w:lineRule="auto"/>
    </w:pPr>
  </w:style>
  <w:style w:type="paragraph" w:styleId="Quote">
    <w:name w:val="Quote"/>
    <w:basedOn w:val="Normal"/>
    <w:next w:val="Normal"/>
    <w:link w:val="QuoteChar"/>
    <w:uiPriority w:val="29"/>
    <w:qFormat/>
    <w:rsid w:val="00D859A9"/>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D859A9"/>
    <w:rPr>
      <w:color w:val="0E2841" w:themeColor="text2"/>
      <w:sz w:val="24"/>
      <w:szCs w:val="24"/>
    </w:rPr>
  </w:style>
  <w:style w:type="paragraph" w:styleId="IntenseQuote">
    <w:name w:val="Intense Quote"/>
    <w:basedOn w:val="Normal"/>
    <w:next w:val="Normal"/>
    <w:link w:val="IntenseQuoteChar"/>
    <w:uiPriority w:val="30"/>
    <w:qFormat/>
    <w:rsid w:val="00D859A9"/>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D859A9"/>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D859A9"/>
    <w:rPr>
      <w:i/>
      <w:iCs/>
      <w:color w:val="595959" w:themeColor="text1" w:themeTint="A6"/>
    </w:rPr>
  </w:style>
  <w:style w:type="character" w:styleId="IntenseEmphasis">
    <w:name w:val="Intense Emphasis"/>
    <w:basedOn w:val="DefaultParagraphFont"/>
    <w:uiPriority w:val="21"/>
    <w:qFormat/>
    <w:rsid w:val="00D859A9"/>
    <w:rPr>
      <w:b/>
      <w:bCs/>
      <w:i/>
      <w:iCs/>
    </w:rPr>
  </w:style>
  <w:style w:type="character" w:styleId="SubtleReference">
    <w:name w:val="Subtle Reference"/>
    <w:basedOn w:val="DefaultParagraphFont"/>
    <w:uiPriority w:val="31"/>
    <w:qFormat/>
    <w:rsid w:val="00D859A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859A9"/>
    <w:rPr>
      <w:b/>
      <w:bCs/>
      <w:smallCaps/>
      <w:color w:val="0E2841" w:themeColor="text2"/>
      <w:u w:val="single"/>
    </w:rPr>
  </w:style>
  <w:style w:type="character" w:styleId="BookTitle">
    <w:name w:val="Book Title"/>
    <w:basedOn w:val="DefaultParagraphFont"/>
    <w:uiPriority w:val="33"/>
    <w:qFormat/>
    <w:rsid w:val="00D859A9"/>
    <w:rPr>
      <w:b/>
      <w:bCs/>
      <w:smallCaps/>
      <w:spacing w:val="10"/>
    </w:rPr>
  </w:style>
  <w:style w:type="paragraph" w:styleId="TOCHeading">
    <w:name w:val="TOC Heading"/>
    <w:basedOn w:val="Heading1"/>
    <w:next w:val="Normal"/>
    <w:uiPriority w:val="39"/>
    <w:semiHidden/>
    <w:unhideWhenUsed/>
    <w:qFormat/>
    <w:rsid w:val="00D859A9"/>
    <w:pPr>
      <w:outlineLvl w:val="9"/>
    </w:pPr>
  </w:style>
  <w:style w:type="paragraph" w:styleId="NormalWeb">
    <w:name w:val="Normal (Web)"/>
    <w:basedOn w:val="Normal"/>
    <w:uiPriority w:val="99"/>
    <w:semiHidden/>
    <w:unhideWhenUsed/>
    <w:rsid w:val="00C552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73AA"/>
    <w:pPr>
      <w:ind w:left="720"/>
      <w:contextualSpacing/>
    </w:pPr>
  </w:style>
  <w:style w:type="table" w:styleId="GridTable4-Accent4">
    <w:name w:val="Grid Table 4 Accent 4"/>
    <w:basedOn w:val="TableNormal"/>
    <w:uiPriority w:val="49"/>
    <w:rsid w:val="00B35955"/>
    <w:pPr>
      <w:spacing w:after="0" w:line="240" w:lineRule="auto"/>
    </w:pPr>
    <w:rPr>
      <w:lang w:eastAsia="en-US"/>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Grid">
    <w:name w:val="Table Grid"/>
    <w:basedOn w:val="TableNormal"/>
    <w:uiPriority w:val="39"/>
    <w:rsid w:val="0076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657"/>
    <w:rPr>
      <w:color w:val="467886" w:themeColor="hyperlink"/>
      <w:u w:val="single"/>
    </w:rPr>
  </w:style>
  <w:style w:type="character" w:styleId="UnresolvedMention">
    <w:name w:val="Unresolved Mention"/>
    <w:basedOn w:val="DefaultParagraphFont"/>
    <w:uiPriority w:val="99"/>
    <w:semiHidden/>
    <w:unhideWhenUsed/>
    <w:rsid w:val="00761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23">
      <w:bodyDiv w:val="1"/>
      <w:marLeft w:val="0"/>
      <w:marRight w:val="0"/>
      <w:marTop w:val="0"/>
      <w:marBottom w:val="0"/>
      <w:divBdr>
        <w:top w:val="none" w:sz="0" w:space="0" w:color="auto"/>
        <w:left w:val="none" w:sz="0" w:space="0" w:color="auto"/>
        <w:bottom w:val="none" w:sz="0" w:space="0" w:color="auto"/>
        <w:right w:val="none" w:sz="0" w:space="0" w:color="auto"/>
      </w:divBdr>
    </w:div>
    <w:div w:id="14499726">
      <w:bodyDiv w:val="1"/>
      <w:marLeft w:val="0"/>
      <w:marRight w:val="0"/>
      <w:marTop w:val="0"/>
      <w:marBottom w:val="0"/>
      <w:divBdr>
        <w:top w:val="none" w:sz="0" w:space="0" w:color="auto"/>
        <w:left w:val="none" w:sz="0" w:space="0" w:color="auto"/>
        <w:bottom w:val="none" w:sz="0" w:space="0" w:color="auto"/>
        <w:right w:val="none" w:sz="0" w:space="0" w:color="auto"/>
      </w:divBdr>
    </w:div>
    <w:div w:id="189687707">
      <w:bodyDiv w:val="1"/>
      <w:marLeft w:val="0"/>
      <w:marRight w:val="0"/>
      <w:marTop w:val="0"/>
      <w:marBottom w:val="0"/>
      <w:divBdr>
        <w:top w:val="none" w:sz="0" w:space="0" w:color="auto"/>
        <w:left w:val="none" w:sz="0" w:space="0" w:color="auto"/>
        <w:bottom w:val="none" w:sz="0" w:space="0" w:color="auto"/>
        <w:right w:val="none" w:sz="0" w:space="0" w:color="auto"/>
      </w:divBdr>
    </w:div>
    <w:div w:id="515727283">
      <w:bodyDiv w:val="1"/>
      <w:marLeft w:val="0"/>
      <w:marRight w:val="0"/>
      <w:marTop w:val="0"/>
      <w:marBottom w:val="0"/>
      <w:divBdr>
        <w:top w:val="none" w:sz="0" w:space="0" w:color="auto"/>
        <w:left w:val="none" w:sz="0" w:space="0" w:color="auto"/>
        <w:bottom w:val="none" w:sz="0" w:space="0" w:color="auto"/>
        <w:right w:val="none" w:sz="0" w:space="0" w:color="auto"/>
      </w:divBdr>
    </w:div>
    <w:div w:id="635765090">
      <w:bodyDiv w:val="1"/>
      <w:marLeft w:val="0"/>
      <w:marRight w:val="0"/>
      <w:marTop w:val="0"/>
      <w:marBottom w:val="0"/>
      <w:divBdr>
        <w:top w:val="none" w:sz="0" w:space="0" w:color="auto"/>
        <w:left w:val="none" w:sz="0" w:space="0" w:color="auto"/>
        <w:bottom w:val="none" w:sz="0" w:space="0" w:color="auto"/>
        <w:right w:val="none" w:sz="0" w:space="0" w:color="auto"/>
      </w:divBdr>
    </w:div>
    <w:div w:id="714623468">
      <w:bodyDiv w:val="1"/>
      <w:marLeft w:val="0"/>
      <w:marRight w:val="0"/>
      <w:marTop w:val="0"/>
      <w:marBottom w:val="0"/>
      <w:divBdr>
        <w:top w:val="none" w:sz="0" w:space="0" w:color="auto"/>
        <w:left w:val="none" w:sz="0" w:space="0" w:color="auto"/>
        <w:bottom w:val="none" w:sz="0" w:space="0" w:color="auto"/>
        <w:right w:val="none" w:sz="0" w:space="0" w:color="auto"/>
      </w:divBdr>
    </w:div>
    <w:div w:id="823011996">
      <w:bodyDiv w:val="1"/>
      <w:marLeft w:val="0"/>
      <w:marRight w:val="0"/>
      <w:marTop w:val="0"/>
      <w:marBottom w:val="0"/>
      <w:divBdr>
        <w:top w:val="none" w:sz="0" w:space="0" w:color="auto"/>
        <w:left w:val="none" w:sz="0" w:space="0" w:color="auto"/>
        <w:bottom w:val="none" w:sz="0" w:space="0" w:color="auto"/>
        <w:right w:val="none" w:sz="0" w:space="0" w:color="auto"/>
      </w:divBdr>
    </w:div>
    <w:div w:id="829752546">
      <w:bodyDiv w:val="1"/>
      <w:marLeft w:val="0"/>
      <w:marRight w:val="0"/>
      <w:marTop w:val="0"/>
      <w:marBottom w:val="0"/>
      <w:divBdr>
        <w:top w:val="none" w:sz="0" w:space="0" w:color="auto"/>
        <w:left w:val="none" w:sz="0" w:space="0" w:color="auto"/>
        <w:bottom w:val="none" w:sz="0" w:space="0" w:color="auto"/>
        <w:right w:val="none" w:sz="0" w:space="0" w:color="auto"/>
      </w:divBdr>
    </w:div>
    <w:div w:id="1011570065">
      <w:bodyDiv w:val="1"/>
      <w:marLeft w:val="0"/>
      <w:marRight w:val="0"/>
      <w:marTop w:val="0"/>
      <w:marBottom w:val="0"/>
      <w:divBdr>
        <w:top w:val="none" w:sz="0" w:space="0" w:color="auto"/>
        <w:left w:val="none" w:sz="0" w:space="0" w:color="auto"/>
        <w:bottom w:val="none" w:sz="0" w:space="0" w:color="auto"/>
        <w:right w:val="none" w:sz="0" w:space="0" w:color="auto"/>
      </w:divBdr>
    </w:div>
    <w:div w:id="1176916594">
      <w:bodyDiv w:val="1"/>
      <w:marLeft w:val="0"/>
      <w:marRight w:val="0"/>
      <w:marTop w:val="0"/>
      <w:marBottom w:val="0"/>
      <w:divBdr>
        <w:top w:val="none" w:sz="0" w:space="0" w:color="auto"/>
        <w:left w:val="none" w:sz="0" w:space="0" w:color="auto"/>
        <w:bottom w:val="none" w:sz="0" w:space="0" w:color="auto"/>
        <w:right w:val="none" w:sz="0" w:space="0" w:color="auto"/>
      </w:divBdr>
    </w:div>
    <w:div w:id="1290631310">
      <w:bodyDiv w:val="1"/>
      <w:marLeft w:val="0"/>
      <w:marRight w:val="0"/>
      <w:marTop w:val="0"/>
      <w:marBottom w:val="0"/>
      <w:divBdr>
        <w:top w:val="none" w:sz="0" w:space="0" w:color="auto"/>
        <w:left w:val="none" w:sz="0" w:space="0" w:color="auto"/>
        <w:bottom w:val="none" w:sz="0" w:space="0" w:color="auto"/>
        <w:right w:val="none" w:sz="0" w:space="0" w:color="auto"/>
      </w:divBdr>
    </w:div>
    <w:div w:id="1291014245">
      <w:bodyDiv w:val="1"/>
      <w:marLeft w:val="0"/>
      <w:marRight w:val="0"/>
      <w:marTop w:val="0"/>
      <w:marBottom w:val="0"/>
      <w:divBdr>
        <w:top w:val="none" w:sz="0" w:space="0" w:color="auto"/>
        <w:left w:val="none" w:sz="0" w:space="0" w:color="auto"/>
        <w:bottom w:val="none" w:sz="0" w:space="0" w:color="auto"/>
        <w:right w:val="none" w:sz="0" w:space="0" w:color="auto"/>
      </w:divBdr>
    </w:div>
    <w:div w:id="1449616615">
      <w:bodyDiv w:val="1"/>
      <w:marLeft w:val="0"/>
      <w:marRight w:val="0"/>
      <w:marTop w:val="0"/>
      <w:marBottom w:val="0"/>
      <w:divBdr>
        <w:top w:val="none" w:sz="0" w:space="0" w:color="auto"/>
        <w:left w:val="none" w:sz="0" w:space="0" w:color="auto"/>
        <w:bottom w:val="none" w:sz="0" w:space="0" w:color="auto"/>
        <w:right w:val="none" w:sz="0" w:space="0" w:color="auto"/>
      </w:divBdr>
    </w:div>
    <w:div w:id="1690374045">
      <w:bodyDiv w:val="1"/>
      <w:marLeft w:val="0"/>
      <w:marRight w:val="0"/>
      <w:marTop w:val="0"/>
      <w:marBottom w:val="0"/>
      <w:divBdr>
        <w:top w:val="none" w:sz="0" w:space="0" w:color="auto"/>
        <w:left w:val="none" w:sz="0" w:space="0" w:color="auto"/>
        <w:bottom w:val="none" w:sz="0" w:space="0" w:color="auto"/>
        <w:right w:val="none" w:sz="0" w:space="0" w:color="auto"/>
      </w:divBdr>
    </w:div>
    <w:div w:id="1962420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iassociation.sharepoint.com/:l:/s/InformationSecurity/FOB1vHopTDRPtcHGNpuleRUBQmp3br8yftx64-FBRY4MxQ?e=9zyb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association.sharepoint.com/sites/InformationSecurity/Audit%20Results/Forms/AllItem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iassociation.sharepoint.com/:l:/s/InformationSecurity/FOB1vHopTDRPtcHGNpuleRUBQmp3br8yftx64-FBRY4MxQ?e=9zybIg" TargetMode="External"/><Relationship Id="rId4" Type="http://schemas.openxmlformats.org/officeDocument/2006/relationships/settings" Target="settings.xml"/><Relationship Id="rId9" Type="http://schemas.openxmlformats.org/officeDocument/2006/relationships/hyperlink" Target="https://priassociation.sharepoint.com/:x:/s/InformationSecurity/ESzZ7A_pmwBHqXpY7d--tK0BK7X3a0nJUMxMZxcWpVAK3g?e=SGQF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jvDltgZYJNsLR/U35OwwvusYJg==">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Olamide</cp:lastModifiedBy>
  <cp:revision>8</cp:revision>
  <dcterms:created xsi:type="dcterms:W3CDTF">2024-06-08T19:00:00Z</dcterms:created>
  <dcterms:modified xsi:type="dcterms:W3CDTF">2024-10-24T11:18:00Z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2bf4aaa2e79538540a3c20cf1956d687c0a0a87b4f909ee596219d22f1afa31d</vt:lpwstr>
  </property>
</Properties>
</file>