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A18B" w14:textId="77777777" w:rsidR="00AF0CD7" w:rsidRDefault="00AC1DD0">
      <w:pPr>
        <w:spacing w:after="144" w:line="259" w:lineRule="auto"/>
        <w:ind w:left="-5"/>
      </w:pPr>
      <w:r>
        <w:rPr>
          <w:sz w:val="72"/>
        </w:rPr>
        <w:t>Security Risk Assessment &amp;</w:t>
      </w:r>
    </w:p>
    <w:p w14:paraId="4A321B13" w14:textId="77777777" w:rsidR="00AF0CD7" w:rsidRDefault="00AC1DD0">
      <w:pPr>
        <w:spacing w:after="473" w:line="259" w:lineRule="auto"/>
        <w:ind w:left="-5"/>
      </w:pPr>
      <w:r>
        <w:rPr>
          <w:sz w:val="72"/>
        </w:rPr>
        <w:t>Treatment Methodology</w:t>
      </w:r>
    </w:p>
    <w:p w14:paraId="7F458FF9" w14:textId="77777777" w:rsidR="00AF0CD7" w:rsidRDefault="00AC1DD0">
      <w:pPr>
        <w:spacing w:after="237" w:line="259" w:lineRule="auto"/>
        <w:ind w:left="0" w:firstLine="0"/>
      </w:pPr>
      <w:r>
        <w:rPr>
          <w:sz w:val="28"/>
        </w:rPr>
        <w:t xml:space="preserve">Classification: </w:t>
      </w:r>
      <w:r>
        <w:rPr>
          <w:b/>
          <w:sz w:val="24"/>
        </w:rPr>
        <w:t>Internal</w:t>
      </w:r>
    </w:p>
    <w:p w14:paraId="2AB14F20" w14:textId="77777777" w:rsidR="00AF0CD7" w:rsidRDefault="00AC1DD0">
      <w:pPr>
        <w:spacing w:after="0"/>
        <w:ind w:left="-5" w:right="11"/>
      </w:pPr>
      <w:r>
        <w:rPr>
          <w:noProof/>
        </w:rPr>
        <w:drawing>
          <wp:anchor distT="0" distB="0" distL="114300" distR="114300" simplePos="0" relativeHeight="251658240" behindDoc="0" locked="0" layoutInCell="1" allowOverlap="0" wp14:anchorId="59B68E34" wp14:editId="4B7A39E8">
            <wp:simplePos x="0" y="0"/>
            <wp:positionH relativeFrom="page">
              <wp:posOffset>5972175</wp:posOffset>
            </wp:positionH>
            <wp:positionV relativeFrom="page">
              <wp:posOffset>1123950</wp:posOffset>
            </wp:positionV>
            <wp:extent cx="1185672" cy="1185672"/>
            <wp:effectExtent l="0" t="0" r="0" b="0"/>
            <wp:wrapTopAndBottom/>
            <wp:docPr id="19271" name="Picture 19271"/>
            <wp:cNvGraphicFramePr/>
            <a:graphic xmlns:a="http://schemas.openxmlformats.org/drawingml/2006/main">
              <a:graphicData uri="http://schemas.openxmlformats.org/drawingml/2006/picture">
                <pic:pic xmlns:pic="http://schemas.openxmlformats.org/drawingml/2006/picture">
                  <pic:nvPicPr>
                    <pic:cNvPr id="19271" name="Picture 19271"/>
                    <pic:cNvPicPr/>
                  </pic:nvPicPr>
                  <pic:blipFill>
                    <a:blip r:embed="rId7"/>
                    <a:stretch>
                      <a:fillRect/>
                    </a:stretch>
                  </pic:blipFill>
                  <pic:spPr>
                    <a:xfrm>
                      <a:off x="0" y="0"/>
                      <a:ext cx="1185672" cy="1185672"/>
                    </a:xfrm>
                    <a:prstGeom prst="rect">
                      <a:avLst/>
                    </a:prstGeom>
                  </pic:spPr>
                </pic:pic>
              </a:graphicData>
            </a:graphic>
          </wp:anchor>
        </w:drawing>
      </w:r>
      <w:r>
        <w:t>This document may only be shared internally without prior confirmation from the owner.</w:t>
      </w:r>
    </w:p>
    <w:tbl>
      <w:tblPr>
        <w:tblStyle w:val="TableGrid"/>
        <w:tblW w:w="8863" w:type="dxa"/>
        <w:tblInd w:w="8" w:type="dxa"/>
        <w:tblCellMar>
          <w:top w:w="295" w:type="dxa"/>
          <w:left w:w="95" w:type="dxa"/>
          <w:bottom w:w="0" w:type="dxa"/>
          <w:right w:w="115" w:type="dxa"/>
        </w:tblCellMar>
        <w:tblLook w:val="04A0" w:firstRow="1" w:lastRow="0" w:firstColumn="1" w:lastColumn="0" w:noHBand="0" w:noVBand="1"/>
      </w:tblPr>
      <w:tblGrid>
        <w:gridCol w:w="1043"/>
        <w:gridCol w:w="1260"/>
        <w:gridCol w:w="1120"/>
        <w:gridCol w:w="1220"/>
        <w:gridCol w:w="1420"/>
        <w:gridCol w:w="1160"/>
        <w:gridCol w:w="1640"/>
      </w:tblGrid>
      <w:tr w:rsidR="00AF0CD7" w14:paraId="7A0647BB" w14:textId="77777777">
        <w:trPr>
          <w:trHeight w:val="1361"/>
        </w:trPr>
        <w:tc>
          <w:tcPr>
            <w:tcW w:w="1043" w:type="dxa"/>
            <w:tcBorders>
              <w:top w:val="single" w:sz="8" w:space="0" w:color="FFFFFF"/>
              <w:left w:val="single" w:sz="8" w:space="0" w:color="FFFFFF"/>
              <w:bottom w:val="single" w:sz="8" w:space="0" w:color="FFFFFF"/>
              <w:right w:val="single" w:sz="8" w:space="0" w:color="FFFFFF"/>
            </w:tcBorders>
            <w:shd w:val="clear" w:color="auto" w:fill="0F9ED5"/>
          </w:tcPr>
          <w:p w14:paraId="6F354847" w14:textId="77777777" w:rsidR="00AF0CD7" w:rsidRDefault="00AC1DD0">
            <w:pPr>
              <w:spacing w:after="0" w:line="259" w:lineRule="auto"/>
              <w:ind w:left="3" w:firstLine="0"/>
            </w:pPr>
            <w:r>
              <w:rPr>
                <w:b/>
                <w:color w:val="FFFFFF"/>
              </w:rPr>
              <w:t>Version</w:t>
            </w:r>
          </w:p>
        </w:tc>
        <w:tc>
          <w:tcPr>
            <w:tcW w:w="1260" w:type="dxa"/>
            <w:tcBorders>
              <w:top w:val="single" w:sz="8" w:space="0" w:color="FFFFFF"/>
              <w:left w:val="single" w:sz="8" w:space="0" w:color="FFFFFF"/>
              <w:bottom w:val="single" w:sz="8" w:space="0" w:color="FFFFFF"/>
              <w:right w:val="single" w:sz="8" w:space="0" w:color="FFFFFF"/>
            </w:tcBorders>
            <w:shd w:val="clear" w:color="auto" w:fill="0F9ED5"/>
          </w:tcPr>
          <w:p w14:paraId="6A22BAD6" w14:textId="77777777" w:rsidR="00AF0CD7" w:rsidRDefault="00AC1DD0">
            <w:pPr>
              <w:spacing w:after="18" w:line="259" w:lineRule="auto"/>
              <w:ind w:firstLine="0"/>
            </w:pPr>
            <w:r>
              <w:rPr>
                <w:b/>
                <w:color w:val="FFFFFF"/>
              </w:rPr>
              <w:t>Approved</w:t>
            </w:r>
          </w:p>
          <w:p w14:paraId="51668513" w14:textId="77777777" w:rsidR="00AF0CD7" w:rsidRDefault="00AC1DD0">
            <w:pPr>
              <w:spacing w:after="0" w:line="259" w:lineRule="auto"/>
              <w:ind w:firstLine="0"/>
            </w:pPr>
            <w:r>
              <w:rPr>
                <w:b/>
                <w:color w:val="FFFFFF"/>
              </w:rPr>
              <w:t>By</w:t>
            </w:r>
          </w:p>
        </w:tc>
        <w:tc>
          <w:tcPr>
            <w:tcW w:w="1120" w:type="dxa"/>
            <w:tcBorders>
              <w:top w:val="single" w:sz="8" w:space="0" w:color="FFFFFF"/>
              <w:left w:val="single" w:sz="8" w:space="0" w:color="FFFFFF"/>
              <w:bottom w:val="single" w:sz="8" w:space="0" w:color="FFFFFF"/>
              <w:right w:val="single" w:sz="8" w:space="0" w:color="FFFFFF"/>
            </w:tcBorders>
            <w:shd w:val="clear" w:color="auto" w:fill="0F9ED5"/>
          </w:tcPr>
          <w:p w14:paraId="650C01DE" w14:textId="77777777" w:rsidR="00AF0CD7" w:rsidRDefault="00AC1DD0">
            <w:pPr>
              <w:spacing w:after="0" w:line="259" w:lineRule="auto"/>
              <w:ind w:firstLine="0"/>
            </w:pPr>
            <w:r>
              <w:rPr>
                <w:b/>
                <w:color w:val="FFFFFF"/>
              </w:rPr>
              <w:t>Owner</w:t>
            </w:r>
          </w:p>
        </w:tc>
        <w:tc>
          <w:tcPr>
            <w:tcW w:w="1220" w:type="dxa"/>
            <w:tcBorders>
              <w:top w:val="single" w:sz="8" w:space="0" w:color="FFFFFF"/>
              <w:left w:val="single" w:sz="8" w:space="0" w:color="FFFFFF"/>
              <w:bottom w:val="single" w:sz="8" w:space="0" w:color="FFFFFF"/>
              <w:right w:val="single" w:sz="8" w:space="0" w:color="FFFFFF"/>
            </w:tcBorders>
            <w:shd w:val="clear" w:color="auto" w:fill="0F9ED5"/>
          </w:tcPr>
          <w:p w14:paraId="18B084EE" w14:textId="77777777" w:rsidR="00AF0CD7" w:rsidRDefault="00AC1DD0">
            <w:pPr>
              <w:spacing w:after="25" w:line="259" w:lineRule="auto"/>
              <w:ind w:left="15" w:firstLine="0"/>
            </w:pPr>
            <w:r>
              <w:rPr>
                <w:b/>
                <w:color w:val="FFFFFF"/>
              </w:rPr>
              <w:t>Date Last</w:t>
            </w:r>
          </w:p>
          <w:p w14:paraId="46E86BC9" w14:textId="77777777" w:rsidR="00AF0CD7" w:rsidRDefault="00AC1DD0">
            <w:pPr>
              <w:spacing w:after="0" w:line="259" w:lineRule="auto"/>
              <w:ind w:left="15" w:firstLine="0"/>
            </w:pPr>
            <w:r>
              <w:rPr>
                <w:b/>
                <w:color w:val="FFFFFF"/>
              </w:rPr>
              <w:t>Updated</w:t>
            </w:r>
          </w:p>
        </w:tc>
        <w:tc>
          <w:tcPr>
            <w:tcW w:w="1420" w:type="dxa"/>
            <w:tcBorders>
              <w:top w:val="single" w:sz="8" w:space="0" w:color="FFFFFF"/>
              <w:left w:val="single" w:sz="8" w:space="0" w:color="FFFFFF"/>
              <w:bottom w:val="single" w:sz="8" w:space="0" w:color="FFFFFF"/>
              <w:right w:val="single" w:sz="8" w:space="0" w:color="FFFFFF"/>
            </w:tcBorders>
            <w:shd w:val="clear" w:color="auto" w:fill="0F9ED5"/>
          </w:tcPr>
          <w:p w14:paraId="5D7BE93E" w14:textId="77777777" w:rsidR="00AF0CD7" w:rsidRDefault="00AC1DD0">
            <w:pPr>
              <w:spacing w:after="18" w:line="259" w:lineRule="auto"/>
              <w:ind w:firstLine="0"/>
            </w:pPr>
            <w:r>
              <w:rPr>
                <w:b/>
                <w:color w:val="FFFFFF"/>
              </w:rPr>
              <w:t>Review</w:t>
            </w:r>
          </w:p>
          <w:p w14:paraId="75AFC696" w14:textId="77777777" w:rsidR="00AF0CD7" w:rsidRDefault="00AC1DD0">
            <w:pPr>
              <w:spacing w:after="0" w:line="259" w:lineRule="auto"/>
              <w:ind w:firstLine="0"/>
            </w:pPr>
            <w:r>
              <w:rPr>
                <w:b/>
                <w:color w:val="FFFFFF"/>
              </w:rPr>
              <w:t>Frequency</w:t>
            </w:r>
          </w:p>
        </w:tc>
        <w:tc>
          <w:tcPr>
            <w:tcW w:w="1160" w:type="dxa"/>
            <w:tcBorders>
              <w:top w:val="single" w:sz="8" w:space="0" w:color="FFFFFF"/>
              <w:left w:val="single" w:sz="8" w:space="0" w:color="FFFFFF"/>
              <w:bottom w:val="single" w:sz="8" w:space="0" w:color="FFFFFF"/>
              <w:right w:val="single" w:sz="8" w:space="0" w:color="FFFFFF"/>
            </w:tcBorders>
            <w:shd w:val="clear" w:color="auto" w:fill="0F9ED5"/>
          </w:tcPr>
          <w:p w14:paraId="73626B3D" w14:textId="77777777" w:rsidR="00AF0CD7" w:rsidRDefault="00AC1DD0">
            <w:pPr>
              <w:spacing w:after="18" w:line="259" w:lineRule="auto"/>
              <w:ind w:left="0" w:firstLine="0"/>
            </w:pPr>
            <w:r>
              <w:rPr>
                <w:b/>
                <w:color w:val="FFFFFF"/>
              </w:rPr>
              <w:t>Next</w:t>
            </w:r>
          </w:p>
          <w:p w14:paraId="21B90204" w14:textId="77777777" w:rsidR="00AF0CD7" w:rsidRDefault="00AC1DD0">
            <w:pPr>
              <w:spacing w:after="0" w:line="259" w:lineRule="auto"/>
              <w:ind w:left="0" w:firstLine="0"/>
            </w:pPr>
            <w:r>
              <w:rPr>
                <w:b/>
                <w:color w:val="FFFFFF"/>
              </w:rPr>
              <w:t>Review</w:t>
            </w:r>
          </w:p>
        </w:tc>
        <w:tc>
          <w:tcPr>
            <w:tcW w:w="1640" w:type="dxa"/>
            <w:tcBorders>
              <w:top w:val="single" w:sz="8" w:space="0" w:color="FFFFFF"/>
              <w:left w:val="single" w:sz="8" w:space="0" w:color="FFFFFF"/>
              <w:bottom w:val="single" w:sz="8" w:space="0" w:color="FFFFFF"/>
              <w:right w:val="nil"/>
            </w:tcBorders>
            <w:shd w:val="clear" w:color="auto" w:fill="0F9ED5"/>
          </w:tcPr>
          <w:p w14:paraId="518F1ADC" w14:textId="77777777" w:rsidR="00AF0CD7" w:rsidRDefault="00AC1DD0">
            <w:pPr>
              <w:spacing w:after="0" w:line="259" w:lineRule="auto"/>
              <w:ind w:firstLine="0"/>
            </w:pPr>
            <w:r>
              <w:rPr>
                <w:b/>
                <w:color w:val="FFFFFF"/>
              </w:rPr>
              <w:t>Comments</w:t>
            </w:r>
          </w:p>
        </w:tc>
      </w:tr>
      <w:tr w:rsidR="00AF0CD7" w14:paraId="3484F7BE" w14:textId="77777777">
        <w:trPr>
          <w:trHeight w:val="940"/>
        </w:trPr>
        <w:tc>
          <w:tcPr>
            <w:tcW w:w="1043" w:type="dxa"/>
            <w:tcBorders>
              <w:top w:val="single" w:sz="8" w:space="0" w:color="FFFFFF"/>
              <w:left w:val="single" w:sz="8" w:space="0" w:color="60CAF3"/>
              <w:bottom w:val="single" w:sz="8" w:space="0" w:color="60CAF3"/>
              <w:right w:val="single" w:sz="8" w:space="0" w:color="60CAF3"/>
            </w:tcBorders>
          </w:tcPr>
          <w:p w14:paraId="5DFABAA8" w14:textId="77777777" w:rsidR="00AF0CD7" w:rsidRDefault="00AF0CD7">
            <w:pPr>
              <w:spacing w:after="160" w:line="259" w:lineRule="auto"/>
              <w:ind w:left="0" w:firstLine="0"/>
            </w:pPr>
          </w:p>
        </w:tc>
        <w:tc>
          <w:tcPr>
            <w:tcW w:w="1260" w:type="dxa"/>
            <w:tcBorders>
              <w:top w:val="single" w:sz="8" w:space="0" w:color="FFFFFF"/>
              <w:left w:val="single" w:sz="8" w:space="0" w:color="60CAF3"/>
              <w:bottom w:val="single" w:sz="8" w:space="0" w:color="60CAF3"/>
              <w:right w:val="single" w:sz="8" w:space="0" w:color="60CAF3"/>
            </w:tcBorders>
          </w:tcPr>
          <w:p w14:paraId="76D7A442" w14:textId="77777777" w:rsidR="00AF0CD7" w:rsidRDefault="00AF0CD7">
            <w:pPr>
              <w:spacing w:after="160" w:line="259" w:lineRule="auto"/>
              <w:ind w:left="0" w:firstLine="0"/>
            </w:pPr>
          </w:p>
        </w:tc>
        <w:tc>
          <w:tcPr>
            <w:tcW w:w="1120" w:type="dxa"/>
            <w:tcBorders>
              <w:top w:val="single" w:sz="8" w:space="0" w:color="FFFFFF"/>
              <w:left w:val="single" w:sz="8" w:space="0" w:color="60CAF3"/>
              <w:bottom w:val="single" w:sz="8" w:space="0" w:color="60CAF3"/>
              <w:right w:val="single" w:sz="8" w:space="0" w:color="60CAF3"/>
            </w:tcBorders>
          </w:tcPr>
          <w:p w14:paraId="49C56107" w14:textId="77777777" w:rsidR="00AF0CD7" w:rsidRDefault="00AF0CD7">
            <w:pPr>
              <w:spacing w:after="160" w:line="259" w:lineRule="auto"/>
              <w:ind w:left="0" w:firstLine="0"/>
            </w:pPr>
          </w:p>
        </w:tc>
        <w:tc>
          <w:tcPr>
            <w:tcW w:w="1220" w:type="dxa"/>
            <w:tcBorders>
              <w:top w:val="single" w:sz="8" w:space="0" w:color="FFFFFF"/>
              <w:left w:val="single" w:sz="8" w:space="0" w:color="60CAF3"/>
              <w:bottom w:val="single" w:sz="8" w:space="0" w:color="60CAF3"/>
              <w:right w:val="single" w:sz="8" w:space="0" w:color="60CAF3"/>
            </w:tcBorders>
          </w:tcPr>
          <w:p w14:paraId="3428167F" w14:textId="77777777" w:rsidR="00AF0CD7" w:rsidRDefault="00AF0CD7">
            <w:pPr>
              <w:spacing w:after="160" w:line="259" w:lineRule="auto"/>
              <w:ind w:left="0" w:firstLine="0"/>
            </w:pPr>
          </w:p>
        </w:tc>
        <w:tc>
          <w:tcPr>
            <w:tcW w:w="1420" w:type="dxa"/>
            <w:tcBorders>
              <w:top w:val="single" w:sz="8" w:space="0" w:color="FFFFFF"/>
              <w:left w:val="single" w:sz="8" w:space="0" w:color="60CAF3"/>
              <w:bottom w:val="single" w:sz="8" w:space="0" w:color="60CAF3"/>
              <w:right w:val="single" w:sz="8" w:space="0" w:color="60CAF3"/>
            </w:tcBorders>
          </w:tcPr>
          <w:p w14:paraId="00F3CE86" w14:textId="77777777" w:rsidR="00AF0CD7" w:rsidRDefault="00AF0CD7">
            <w:pPr>
              <w:spacing w:after="160" w:line="259" w:lineRule="auto"/>
              <w:ind w:left="0" w:firstLine="0"/>
            </w:pPr>
          </w:p>
        </w:tc>
        <w:tc>
          <w:tcPr>
            <w:tcW w:w="1160" w:type="dxa"/>
            <w:tcBorders>
              <w:top w:val="single" w:sz="8" w:space="0" w:color="FFFFFF"/>
              <w:left w:val="single" w:sz="8" w:space="0" w:color="60CAF3"/>
              <w:bottom w:val="single" w:sz="8" w:space="0" w:color="60CAF3"/>
              <w:right w:val="single" w:sz="8" w:space="0" w:color="60CAF3"/>
            </w:tcBorders>
          </w:tcPr>
          <w:p w14:paraId="244689A1" w14:textId="77777777" w:rsidR="00AF0CD7" w:rsidRDefault="00AF0CD7">
            <w:pPr>
              <w:spacing w:after="160" w:line="259" w:lineRule="auto"/>
              <w:ind w:left="0" w:firstLine="0"/>
            </w:pPr>
          </w:p>
        </w:tc>
        <w:tc>
          <w:tcPr>
            <w:tcW w:w="1640" w:type="dxa"/>
            <w:tcBorders>
              <w:top w:val="single" w:sz="8" w:space="0" w:color="FFFFFF"/>
              <w:left w:val="single" w:sz="8" w:space="0" w:color="60CAF3"/>
              <w:bottom w:val="single" w:sz="8" w:space="0" w:color="60CAF3"/>
              <w:right w:val="single" w:sz="8" w:space="0" w:color="60CAF3"/>
            </w:tcBorders>
          </w:tcPr>
          <w:p w14:paraId="411A99A4" w14:textId="77777777" w:rsidR="00AF0CD7" w:rsidRDefault="00AF0CD7">
            <w:pPr>
              <w:spacing w:after="160" w:line="259" w:lineRule="auto"/>
              <w:ind w:left="0" w:firstLine="0"/>
            </w:pPr>
          </w:p>
        </w:tc>
      </w:tr>
    </w:tbl>
    <w:p w14:paraId="6C20F702" w14:textId="77777777" w:rsidR="00AF0CD7" w:rsidRDefault="00AC1DD0">
      <w:pPr>
        <w:pStyle w:val="Heading1"/>
        <w:ind w:left="-5"/>
      </w:pPr>
      <w:r>
        <w:t>Purpose of This Document</w:t>
      </w:r>
    </w:p>
    <w:p w14:paraId="47B0F067" w14:textId="6E0C13EB" w:rsidR="00AF0CD7" w:rsidRDefault="00AC1DD0">
      <w:pPr>
        <w:ind w:left="-5" w:right="11"/>
      </w:pPr>
      <w:r>
        <w:t xml:space="preserve">The following document outlines the overall approach to information security within </w:t>
      </w:r>
      <w:r w:rsidR="00C451B3">
        <w:t>TechSolution.inc</w:t>
      </w:r>
      <w:r>
        <w:t>.</w:t>
      </w:r>
    </w:p>
    <w:p w14:paraId="6A036FD0" w14:textId="77777777" w:rsidR="00AF0CD7" w:rsidRDefault="00AC1DD0">
      <w:pPr>
        <w:ind w:left="-5" w:right="11"/>
      </w:pPr>
      <w:r>
        <w:t>It is intended as guidance on crucial aspects of managing critical principles of information security risks.</w:t>
      </w:r>
    </w:p>
    <w:p w14:paraId="20E57AF2" w14:textId="77777777" w:rsidR="00AF0CD7" w:rsidRDefault="00AC1DD0">
      <w:pPr>
        <w:spacing w:after="2327"/>
        <w:ind w:left="-5" w:right="11"/>
      </w:pPr>
      <w:r>
        <w:t>The content is for staff, a</w:t>
      </w:r>
      <w:r>
        <w:t>uditors, suppliers, and customers. Further supporting details can be found in the referenced policies and procedures.</w:t>
      </w:r>
    </w:p>
    <w:p w14:paraId="1EAA5D79" w14:textId="77777777" w:rsidR="00AF0CD7" w:rsidRDefault="00AC1DD0">
      <w:pPr>
        <w:pStyle w:val="Heading1"/>
        <w:ind w:left="-5"/>
      </w:pPr>
      <w:r>
        <w:lastRenderedPageBreak/>
        <w:t>The Risk Log</w:t>
      </w:r>
    </w:p>
    <w:p w14:paraId="08D0B058" w14:textId="77777777" w:rsidR="00AF0CD7" w:rsidRDefault="00AC1DD0">
      <w:pPr>
        <w:ind w:left="-5" w:right="11"/>
      </w:pPr>
      <w:r>
        <w:t>The Information security risk log can be found in the internal file server.</w:t>
      </w:r>
    </w:p>
    <w:p w14:paraId="4909DB16" w14:textId="77777777" w:rsidR="00AF0CD7" w:rsidRDefault="00AC1DD0">
      <w:pPr>
        <w:spacing w:after="275"/>
        <w:ind w:left="-5" w:right="11"/>
      </w:pPr>
      <w:r>
        <w:t>Access to the risk log is restricted to:</w:t>
      </w:r>
    </w:p>
    <w:p w14:paraId="1A26C0E6" w14:textId="77777777" w:rsidR="00AF0CD7" w:rsidRDefault="00AC1DD0">
      <w:pPr>
        <w:numPr>
          <w:ilvl w:val="0"/>
          <w:numId w:val="1"/>
        </w:numPr>
        <w:spacing w:after="9"/>
        <w:ind w:hanging="360"/>
      </w:pPr>
      <w:r>
        <w:rPr>
          <w:b/>
          <w:sz w:val="24"/>
        </w:rPr>
        <w:t>Informat</w:t>
      </w:r>
      <w:r>
        <w:rPr>
          <w:b/>
          <w:sz w:val="24"/>
        </w:rPr>
        <w:t xml:space="preserve">ion Security Manager: </w:t>
      </w:r>
      <w:r>
        <w:rPr>
          <w:sz w:val="24"/>
        </w:rPr>
        <w:t>Full access to view, edit, and manage all entries in the risk log.</w:t>
      </w:r>
    </w:p>
    <w:p w14:paraId="5BC2EC3A" w14:textId="77777777" w:rsidR="00AF0CD7" w:rsidRDefault="00AC1DD0">
      <w:pPr>
        <w:numPr>
          <w:ilvl w:val="0"/>
          <w:numId w:val="1"/>
        </w:numPr>
        <w:spacing w:after="9"/>
        <w:ind w:hanging="360"/>
      </w:pPr>
      <w:r>
        <w:rPr>
          <w:b/>
          <w:sz w:val="24"/>
        </w:rPr>
        <w:t xml:space="preserve">IT Team: </w:t>
      </w:r>
      <w:r>
        <w:rPr>
          <w:sz w:val="24"/>
        </w:rPr>
        <w:t>View access to all risk entries, with edit privileges only for specific entries related to their systems.</w:t>
      </w:r>
    </w:p>
    <w:p w14:paraId="5FED6182" w14:textId="77777777" w:rsidR="00AF0CD7" w:rsidRDefault="00AC1DD0">
      <w:pPr>
        <w:numPr>
          <w:ilvl w:val="0"/>
          <w:numId w:val="1"/>
        </w:numPr>
        <w:spacing w:after="9"/>
        <w:ind w:hanging="360"/>
      </w:pPr>
      <w:r>
        <w:rPr>
          <w:b/>
          <w:sz w:val="24"/>
        </w:rPr>
        <w:t xml:space="preserve">Senior Management: </w:t>
      </w:r>
      <w:r>
        <w:rPr>
          <w:sz w:val="24"/>
        </w:rPr>
        <w:t>View-only access to high-risk items and key decision points.</w:t>
      </w:r>
    </w:p>
    <w:p w14:paraId="30C29C68" w14:textId="77777777" w:rsidR="00AF0CD7" w:rsidRDefault="00AC1DD0">
      <w:pPr>
        <w:numPr>
          <w:ilvl w:val="0"/>
          <w:numId w:val="1"/>
        </w:numPr>
        <w:spacing w:after="9"/>
        <w:ind w:hanging="360"/>
      </w:pPr>
      <w:r>
        <w:rPr>
          <w:b/>
          <w:sz w:val="24"/>
        </w:rPr>
        <w:t xml:space="preserve">Risk and Compliance Team: </w:t>
      </w:r>
      <w:r>
        <w:rPr>
          <w:sz w:val="24"/>
        </w:rPr>
        <w:t>Full access to view and edit risk entries for audit and compliance purposes.</w:t>
      </w:r>
    </w:p>
    <w:p w14:paraId="34F71600" w14:textId="77777777" w:rsidR="00AF0CD7" w:rsidRDefault="00AC1DD0">
      <w:pPr>
        <w:numPr>
          <w:ilvl w:val="0"/>
          <w:numId w:val="1"/>
        </w:numPr>
        <w:spacing w:after="1272"/>
        <w:ind w:hanging="360"/>
      </w:pPr>
      <w:r>
        <w:rPr>
          <w:b/>
          <w:sz w:val="24"/>
        </w:rPr>
        <w:t xml:space="preserve">External Auditors (as needed): </w:t>
      </w:r>
      <w:r>
        <w:rPr>
          <w:sz w:val="24"/>
        </w:rPr>
        <w:t>Temporary view-only access is granted for specific audit peri</w:t>
      </w:r>
      <w:r>
        <w:rPr>
          <w:sz w:val="24"/>
        </w:rPr>
        <w:t>ods.</w:t>
      </w:r>
    </w:p>
    <w:p w14:paraId="0613DE23" w14:textId="77777777" w:rsidR="00AF0CD7" w:rsidRDefault="00AC1DD0">
      <w:pPr>
        <w:pStyle w:val="Heading1"/>
        <w:ind w:left="-5"/>
      </w:pPr>
      <w:r>
        <w:t>Roles &amp; Responsibilities</w:t>
      </w:r>
    </w:p>
    <w:p w14:paraId="433D99EA" w14:textId="77777777" w:rsidR="00AF0CD7" w:rsidRDefault="00AC1DD0">
      <w:pPr>
        <w:spacing w:after="288" w:line="259" w:lineRule="auto"/>
        <w:ind w:left="-5"/>
      </w:pPr>
      <w:r>
        <w:rPr>
          <w:b/>
          <w:sz w:val="24"/>
        </w:rPr>
        <w:t>Information Security Group (ISG)</w:t>
      </w:r>
    </w:p>
    <w:p w14:paraId="2D467E80" w14:textId="77777777" w:rsidR="00AF0CD7" w:rsidRDefault="00AC1DD0">
      <w:pPr>
        <w:numPr>
          <w:ilvl w:val="0"/>
          <w:numId w:val="2"/>
        </w:numPr>
        <w:spacing w:after="9"/>
        <w:ind w:hanging="425"/>
      </w:pPr>
      <w:r>
        <w:rPr>
          <w:sz w:val="24"/>
        </w:rPr>
        <w:t>Establishing the organization's risk management policy, objectives, and risk appetite.</w:t>
      </w:r>
    </w:p>
    <w:p w14:paraId="046FBBD6" w14:textId="77777777" w:rsidR="00AF0CD7" w:rsidRDefault="00AC1DD0">
      <w:pPr>
        <w:numPr>
          <w:ilvl w:val="0"/>
          <w:numId w:val="2"/>
        </w:numPr>
        <w:spacing w:after="288" w:line="259" w:lineRule="auto"/>
        <w:ind w:hanging="425"/>
      </w:pPr>
      <w:r>
        <w:rPr>
          <w:sz w:val="24"/>
        </w:rPr>
        <w:t>Allocating necessary resources to support the risk treatment process.</w:t>
      </w:r>
    </w:p>
    <w:p w14:paraId="4D85B138" w14:textId="77777777" w:rsidR="00AF0CD7" w:rsidRDefault="00AC1DD0">
      <w:pPr>
        <w:numPr>
          <w:ilvl w:val="0"/>
          <w:numId w:val="2"/>
        </w:numPr>
        <w:spacing w:after="9"/>
        <w:ind w:hanging="425"/>
      </w:pPr>
      <w:r>
        <w:rPr>
          <w:sz w:val="24"/>
        </w:rPr>
        <w:t>Ensuring risk treatment activities a</w:t>
      </w:r>
      <w:r>
        <w:rPr>
          <w:sz w:val="24"/>
        </w:rPr>
        <w:t>re aligned with the organization's overall strategic objectives.</w:t>
      </w:r>
    </w:p>
    <w:p w14:paraId="1CEC9F31" w14:textId="77777777" w:rsidR="00AF0CD7" w:rsidRDefault="00AC1DD0">
      <w:pPr>
        <w:spacing w:after="288" w:line="259" w:lineRule="auto"/>
        <w:ind w:left="-5"/>
      </w:pPr>
      <w:r>
        <w:rPr>
          <w:b/>
          <w:sz w:val="24"/>
        </w:rPr>
        <w:t>Risk owners</w:t>
      </w:r>
    </w:p>
    <w:p w14:paraId="3CA3D937" w14:textId="77777777" w:rsidR="00AF0CD7" w:rsidRDefault="00AC1DD0">
      <w:pPr>
        <w:numPr>
          <w:ilvl w:val="0"/>
          <w:numId w:val="2"/>
        </w:numPr>
        <w:spacing w:after="9"/>
        <w:ind w:hanging="425"/>
      </w:pPr>
      <w:r>
        <w:rPr>
          <w:sz w:val="24"/>
        </w:rPr>
        <w:t>Identifying and assessing risks associated with their specific areas of responsibility.</w:t>
      </w:r>
    </w:p>
    <w:p w14:paraId="74D0F895" w14:textId="77777777" w:rsidR="00AF0CD7" w:rsidRDefault="00AC1DD0">
      <w:pPr>
        <w:numPr>
          <w:ilvl w:val="0"/>
          <w:numId w:val="2"/>
        </w:numPr>
        <w:spacing w:after="9"/>
        <w:ind w:hanging="425"/>
      </w:pPr>
      <w:r>
        <w:rPr>
          <w:sz w:val="24"/>
        </w:rPr>
        <w:t>Defining risk criteria and acceptable risk levels.</w:t>
      </w:r>
    </w:p>
    <w:p w14:paraId="0FDD51A9" w14:textId="77777777" w:rsidR="00AF0CD7" w:rsidRDefault="00AC1DD0">
      <w:pPr>
        <w:numPr>
          <w:ilvl w:val="0"/>
          <w:numId w:val="2"/>
        </w:numPr>
        <w:spacing w:after="9"/>
        <w:ind w:hanging="425"/>
      </w:pPr>
      <w:r>
        <w:rPr>
          <w:sz w:val="24"/>
        </w:rPr>
        <w:t>Select appropriate risk treatment option</w:t>
      </w:r>
      <w:r>
        <w:rPr>
          <w:sz w:val="24"/>
        </w:rPr>
        <w:t>s (accept, avoid, transfer, or mitigate) based on the organization's risk appetite and criteria.</w:t>
      </w:r>
    </w:p>
    <w:p w14:paraId="389278AB" w14:textId="77777777" w:rsidR="00AF0CD7" w:rsidRDefault="00AC1DD0">
      <w:pPr>
        <w:numPr>
          <w:ilvl w:val="0"/>
          <w:numId w:val="2"/>
        </w:numPr>
        <w:spacing w:after="255"/>
        <w:ind w:hanging="425"/>
      </w:pPr>
      <w:r>
        <w:rPr>
          <w:sz w:val="24"/>
        </w:rPr>
        <w:t>Implementing and monitoring risk treatment plans.</w:t>
      </w:r>
    </w:p>
    <w:p w14:paraId="662BFB68" w14:textId="77777777" w:rsidR="00AF0CD7" w:rsidRDefault="00AC1DD0">
      <w:pPr>
        <w:numPr>
          <w:ilvl w:val="0"/>
          <w:numId w:val="2"/>
        </w:numPr>
        <w:spacing w:after="255"/>
        <w:ind w:hanging="425"/>
      </w:pPr>
      <w:r>
        <w:rPr>
          <w:sz w:val="24"/>
        </w:rPr>
        <w:t>Reporting on risk treatment progress.</w:t>
      </w:r>
    </w:p>
    <w:p w14:paraId="4058A2F7" w14:textId="77777777" w:rsidR="00AF0CD7" w:rsidRDefault="00AC1DD0">
      <w:pPr>
        <w:spacing w:after="288" w:line="259" w:lineRule="auto"/>
        <w:ind w:left="-5"/>
      </w:pPr>
      <w:r>
        <w:rPr>
          <w:b/>
          <w:sz w:val="24"/>
        </w:rPr>
        <w:t>Information Security Officer (ISO):</w:t>
      </w:r>
    </w:p>
    <w:p w14:paraId="2370C3EF" w14:textId="77777777" w:rsidR="00AF0CD7" w:rsidRDefault="00AC1DD0">
      <w:pPr>
        <w:numPr>
          <w:ilvl w:val="0"/>
          <w:numId w:val="2"/>
        </w:numPr>
        <w:spacing w:after="9"/>
        <w:ind w:hanging="425"/>
      </w:pPr>
      <w:r>
        <w:rPr>
          <w:sz w:val="24"/>
        </w:rPr>
        <w:t>Developing and maintaining the risk treatment methodology and associated tools and techniques.</w:t>
      </w:r>
    </w:p>
    <w:p w14:paraId="3819785F" w14:textId="77777777" w:rsidR="00AF0CD7" w:rsidRDefault="00AC1DD0">
      <w:pPr>
        <w:numPr>
          <w:ilvl w:val="0"/>
          <w:numId w:val="2"/>
        </w:numPr>
        <w:spacing w:after="9"/>
        <w:ind w:hanging="425"/>
      </w:pPr>
      <w:r>
        <w:rPr>
          <w:sz w:val="24"/>
        </w:rPr>
        <w:t>Providing guidance and support to risk owners and stakeholders in the risk treatment process.</w:t>
      </w:r>
    </w:p>
    <w:p w14:paraId="442BB877" w14:textId="77777777" w:rsidR="00AF0CD7" w:rsidRDefault="00AC1DD0">
      <w:pPr>
        <w:numPr>
          <w:ilvl w:val="0"/>
          <w:numId w:val="2"/>
        </w:numPr>
        <w:spacing w:after="243"/>
        <w:ind w:hanging="425"/>
      </w:pPr>
      <w:r>
        <w:rPr>
          <w:sz w:val="24"/>
        </w:rPr>
        <w:t>Monitoring the overall risk treatment progress and effectiveness. ●</w:t>
      </w:r>
      <w:r>
        <w:rPr>
          <w:sz w:val="24"/>
        </w:rPr>
        <w:tab/>
        <w:t>Reporting on the risk treatment process to top management and relevant stakeholders.</w:t>
      </w:r>
    </w:p>
    <w:p w14:paraId="5C5092E8" w14:textId="77777777" w:rsidR="00AF0CD7" w:rsidRDefault="00AC1DD0">
      <w:pPr>
        <w:numPr>
          <w:ilvl w:val="0"/>
          <w:numId w:val="2"/>
        </w:numPr>
        <w:spacing w:after="1836"/>
        <w:ind w:hanging="425"/>
      </w:pPr>
      <w:r>
        <w:rPr>
          <w:sz w:val="24"/>
        </w:rPr>
        <w:t>Coordinating risk treatment activities.</w:t>
      </w:r>
    </w:p>
    <w:p w14:paraId="1A20BAC8" w14:textId="77777777" w:rsidR="00AF0CD7" w:rsidRDefault="00AC1DD0">
      <w:pPr>
        <w:pStyle w:val="Heading1"/>
        <w:ind w:left="-5"/>
      </w:pPr>
      <w:r>
        <w:t>Summary of approach</w:t>
      </w:r>
    </w:p>
    <w:p w14:paraId="74AA3EBB" w14:textId="77777777" w:rsidR="00AF0CD7" w:rsidRDefault="00AC1DD0">
      <w:pPr>
        <w:ind w:left="-5" w:right="11"/>
      </w:pPr>
      <w:r>
        <w:t>The risk management approach is broken down into five key steps:</w:t>
      </w:r>
    </w:p>
    <w:p w14:paraId="42356EFD" w14:textId="77777777" w:rsidR="00AF0CD7" w:rsidRDefault="00AC1DD0">
      <w:pPr>
        <w:spacing w:after="952" w:line="259" w:lineRule="auto"/>
        <w:ind w:left="30" w:right="-30" w:firstLine="0"/>
      </w:pPr>
      <w:r>
        <w:rPr>
          <w:noProof/>
        </w:rPr>
        <w:drawing>
          <wp:inline distT="0" distB="0" distL="0" distR="0" wp14:anchorId="2B0C4B08" wp14:editId="11A72BE7">
            <wp:extent cx="5943600" cy="3343275"/>
            <wp:effectExtent l="0" t="0" r="0" b="0"/>
            <wp:docPr id="565" name="Picture 565"/>
            <wp:cNvGraphicFramePr/>
            <a:graphic xmlns:a="http://schemas.openxmlformats.org/drawingml/2006/main">
              <a:graphicData uri="http://schemas.openxmlformats.org/drawingml/2006/picture">
                <pic:pic xmlns:pic="http://schemas.openxmlformats.org/drawingml/2006/picture">
                  <pic:nvPicPr>
                    <pic:cNvPr id="565" name="Picture 565"/>
                    <pic:cNvPicPr/>
                  </pic:nvPicPr>
                  <pic:blipFill>
                    <a:blip r:embed="rId8"/>
                    <a:stretch>
                      <a:fillRect/>
                    </a:stretch>
                  </pic:blipFill>
                  <pic:spPr>
                    <a:xfrm>
                      <a:off x="0" y="0"/>
                      <a:ext cx="5943600" cy="3343275"/>
                    </a:xfrm>
                    <a:prstGeom prst="rect">
                      <a:avLst/>
                    </a:prstGeom>
                  </pic:spPr>
                </pic:pic>
              </a:graphicData>
            </a:graphic>
          </wp:inline>
        </w:drawing>
      </w:r>
    </w:p>
    <w:p w14:paraId="16EFBED9" w14:textId="77777777" w:rsidR="00AF0CD7" w:rsidRDefault="00AC1DD0">
      <w:pPr>
        <w:pStyle w:val="Heading1"/>
        <w:ind w:left="-5"/>
      </w:pPr>
      <w:r>
        <w:t>Risk Identification</w:t>
      </w:r>
    </w:p>
    <w:p w14:paraId="067943A2" w14:textId="1F44E254" w:rsidR="00AF0CD7" w:rsidRDefault="00AC1DD0">
      <w:pPr>
        <w:ind w:left="-5" w:right="11"/>
      </w:pPr>
      <w:r>
        <w:t xml:space="preserve">The identification of security risks can come through many methods. Within the </w:t>
      </w:r>
      <w:r w:rsidR="00C451B3">
        <w:t>TechSolution.inc</w:t>
      </w:r>
      <w:r>
        <w:t>, these include, but are not limited to:</w:t>
      </w:r>
    </w:p>
    <w:p w14:paraId="75244530" w14:textId="77777777" w:rsidR="00AF0CD7" w:rsidRDefault="00AC1DD0">
      <w:pPr>
        <w:numPr>
          <w:ilvl w:val="0"/>
          <w:numId w:val="3"/>
        </w:numPr>
        <w:ind w:right="11" w:hanging="360"/>
      </w:pPr>
      <w:r>
        <w:rPr>
          <w:b/>
        </w:rPr>
        <w:t>Annual review of the organization's cont</w:t>
      </w:r>
      <w:r>
        <w:rPr>
          <w:b/>
        </w:rPr>
        <w:t xml:space="preserve">ext </w:t>
      </w:r>
      <w:r>
        <w:t>– Any changes to scope, stakeholders, or legislation that may introduce new risks.</w:t>
      </w:r>
    </w:p>
    <w:p w14:paraId="0B7F2A24" w14:textId="77777777" w:rsidR="00AF0CD7" w:rsidRDefault="00AC1DD0">
      <w:pPr>
        <w:numPr>
          <w:ilvl w:val="0"/>
          <w:numId w:val="3"/>
        </w:numPr>
        <w:ind w:right="11" w:hanging="360"/>
      </w:pPr>
      <w:r>
        <w:rPr>
          <w:b/>
        </w:rPr>
        <w:t xml:space="preserve">Monitoring emerging threats </w:t>
      </w:r>
      <w:r>
        <w:t>– through alerts from vendors on security threats, updates from the media, and notifications from organizations such as the UK National Cyber</w:t>
      </w:r>
      <w:r>
        <w:t xml:space="preserve"> Security Centre (NCSC).</w:t>
      </w:r>
    </w:p>
    <w:p w14:paraId="2880698B" w14:textId="3C63DF36" w:rsidR="00AF0CD7" w:rsidRDefault="00AC1DD0">
      <w:pPr>
        <w:numPr>
          <w:ilvl w:val="0"/>
          <w:numId w:val="3"/>
        </w:numPr>
        <w:ind w:right="11" w:hanging="360"/>
      </w:pPr>
      <w:r>
        <w:rPr>
          <w:b/>
        </w:rPr>
        <w:t xml:space="preserve">SWOT analysis </w:t>
      </w:r>
      <w:r>
        <w:t xml:space="preserve">– a method of reviewing an organization's strengths, weaknesses, Opportunities, and Threats. </w:t>
      </w:r>
      <w:r w:rsidR="00C451B3">
        <w:t>TechSolution.inc</w:t>
      </w:r>
      <w:r>
        <w:t xml:space="preserve"> undertakes such an assessment of significant threats annually.</w:t>
      </w:r>
    </w:p>
    <w:p w14:paraId="615DB164" w14:textId="77777777" w:rsidR="00AF0CD7" w:rsidRDefault="00AC1DD0">
      <w:pPr>
        <w:numPr>
          <w:ilvl w:val="0"/>
          <w:numId w:val="3"/>
        </w:numPr>
        <w:ind w:right="11" w:hanging="360"/>
      </w:pPr>
      <w:r>
        <w:rPr>
          <w:b/>
        </w:rPr>
        <w:t xml:space="preserve">Stakeholder engagement </w:t>
      </w:r>
      <w:r>
        <w:t>– Feedback from staff within</w:t>
      </w:r>
      <w:r>
        <w:t xml:space="preserve"> and outside the organization.</w:t>
      </w:r>
    </w:p>
    <w:p w14:paraId="626B367F" w14:textId="1250F7EA" w:rsidR="00AF0CD7" w:rsidRDefault="00AC1DD0">
      <w:pPr>
        <w:numPr>
          <w:ilvl w:val="0"/>
          <w:numId w:val="3"/>
        </w:numPr>
        <w:ind w:right="11" w:hanging="360"/>
      </w:pPr>
      <w:r>
        <w:rPr>
          <w:b/>
        </w:rPr>
        <w:t xml:space="preserve">Security audits </w:t>
      </w:r>
      <w:r>
        <w:t xml:space="preserve">– external audits, penetration &amp; vulnerability testing. </w:t>
      </w:r>
      <w:r w:rsidR="00C451B3">
        <w:t>TechSolution.inc</w:t>
      </w:r>
      <w:r>
        <w:t xml:space="preserve"> uses both external audits and conducts annual penetration tests.</w:t>
      </w:r>
    </w:p>
    <w:p w14:paraId="461698ED" w14:textId="77777777" w:rsidR="00AF0CD7" w:rsidRDefault="00AC1DD0">
      <w:pPr>
        <w:numPr>
          <w:ilvl w:val="0"/>
          <w:numId w:val="3"/>
        </w:numPr>
        <w:ind w:right="11" w:hanging="360"/>
      </w:pPr>
      <w:r>
        <w:rPr>
          <w:b/>
        </w:rPr>
        <w:t xml:space="preserve">Risk assessment of critical systems </w:t>
      </w:r>
      <w:r>
        <w:t>– A top-to-bottom review of components and</w:t>
      </w:r>
      <w:r>
        <w:t xml:space="preserve"> the likely risks to their continued operation.</w:t>
      </w:r>
    </w:p>
    <w:p w14:paraId="6BF5A06D" w14:textId="77777777" w:rsidR="00AF0CD7" w:rsidRDefault="00AC1DD0">
      <w:pPr>
        <w:spacing w:after="1186"/>
        <w:ind w:left="-5" w:right="11"/>
      </w:pPr>
      <w:r>
        <w:t xml:space="preserve">Risks should be reported to the Help Desk (if external to IT) and registered in the Risk Log, which will be the single point of truth for the risk details and treatment plan as it progresses through the risk </w:t>
      </w:r>
      <w:r>
        <w:t>treatment process.</w:t>
      </w:r>
    </w:p>
    <w:p w14:paraId="491857C1" w14:textId="77777777" w:rsidR="00AF0CD7" w:rsidRDefault="00AC1DD0">
      <w:pPr>
        <w:pStyle w:val="Heading1"/>
        <w:ind w:left="-5"/>
      </w:pPr>
      <w:r>
        <w:t>Risk Assessment</w:t>
      </w:r>
    </w:p>
    <w:p w14:paraId="45EB5F27" w14:textId="77777777" w:rsidR="00AF0CD7" w:rsidRDefault="00AC1DD0">
      <w:pPr>
        <w:ind w:left="-5" w:right="11"/>
      </w:pPr>
      <w:r>
        <w:t>Each risk is then evaluated based on its likelihood and impact. Likelihood refers to the probability of a risk occurring, while impact represents the potential consequences if the risk materializes.</w:t>
      </w:r>
    </w:p>
    <w:p w14:paraId="71AE456A" w14:textId="0598118A" w:rsidR="00AF0CD7" w:rsidRDefault="00C451B3">
      <w:pPr>
        <w:spacing w:after="507"/>
        <w:ind w:left="-5" w:right="11"/>
      </w:pPr>
      <w:r>
        <w:t>TechSolution.inc</w:t>
      </w:r>
      <w:r w:rsidR="00AC1DD0">
        <w:t xml:space="preserve"> has chosen t</w:t>
      </w:r>
      <w:r w:rsidR="00AC1DD0">
        <w:t>o use the following measurement scales:</w:t>
      </w:r>
    </w:p>
    <w:tbl>
      <w:tblPr>
        <w:tblStyle w:val="TableGrid"/>
        <w:tblW w:w="8883" w:type="dxa"/>
        <w:tblInd w:w="8" w:type="dxa"/>
        <w:tblCellMar>
          <w:top w:w="59" w:type="dxa"/>
          <w:left w:w="0" w:type="dxa"/>
          <w:bottom w:w="33" w:type="dxa"/>
          <w:right w:w="115" w:type="dxa"/>
        </w:tblCellMar>
        <w:tblLook w:val="04A0" w:firstRow="1" w:lastRow="0" w:firstColumn="1" w:lastColumn="0" w:noHBand="0" w:noVBand="1"/>
      </w:tblPr>
      <w:tblGrid>
        <w:gridCol w:w="2003"/>
        <w:gridCol w:w="825"/>
        <w:gridCol w:w="5035"/>
        <w:gridCol w:w="1020"/>
      </w:tblGrid>
      <w:tr w:rsidR="00AF0CD7" w14:paraId="72000B07" w14:textId="77777777">
        <w:trPr>
          <w:trHeight w:val="540"/>
        </w:trPr>
        <w:tc>
          <w:tcPr>
            <w:tcW w:w="2828" w:type="dxa"/>
            <w:gridSpan w:val="2"/>
            <w:tcBorders>
              <w:top w:val="single" w:sz="8" w:space="0" w:color="0F9ED5"/>
              <w:left w:val="single" w:sz="8" w:space="0" w:color="0F9ED5"/>
              <w:bottom w:val="single" w:sz="8" w:space="0" w:color="0F9ED5"/>
              <w:right w:val="nil"/>
            </w:tcBorders>
            <w:shd w:val="clear" w:color="auto" w:fill="0F9ED5"/>
            <w:vAlign w:val="bottom"/>
          </w:tcPr>
          <w:p w14:paraId="45A9E313" w14:textId="77777777" w:rsidR="00AF0CD7" w:rsidRDefault="00AC1DD0">
            <w:pPr>
              <w:spacing w:after="0" w:line="259" w:lineRule="auto"/>
              <w:ind w:left="448" w:firstLine="0"/>
            </w:pPr>
            <w:r>
              <w:rPr>
                <w:b/>
              </w:rPr>
              <w:t>Likelihood</w:t>
            </w:r>
          </w:p>
        </w:tc>
        <w:tc>
          <w:tcPr>
            <w:tcW w:w="5035" w:type="dxa"/>
            <w:tcBorders>
              <w:top w:val="single" w:sz="8" w:space="0" w:color="0F9ED5"/>
              <w:left w:val="nil"/>
              <w:bottom w:val="single" w:sz="8" w:space="0" w:color="0F9ED5"/>
              <w:right w:val="nil"/>
            </w:tcBorders>
            <w:shd w:val="clear" w:color="auto" w:fill="0F9ED5"/>
            <w:vAlign w:val="bottom"/>
          </w:tcPr>
          <w:p w14:paraId="21793B94" w14:textId="77777777" w:rsidR="00AF0CD7" w:rsidRDefault="00AC1DD0">
            <w:pPr>
              <w:spacing w:after="0" w:line="259" w:lineRule="auto"/>
              <w:ind w:left="1495" w:firstLine="0"/>
            </w:pPr>
            <w:r>
              <w:rPr>
                <w:b/>
              </w:rPr>
              <w:t>Description</w:t>
            </w:r>
          </w:p>
        </w:tc>
        <w:tc>
          <w:tcPr>
            <w:tcW w:w="1020" w:type="dxa"/>
            <w:tcBorders>
              <w:top w:val="single" w:sz="8" w:space="0" w:color="0F9ED5"/>
              <w:left w:val="nil"/>
              <w:bottom w:val="single" w:sz="8" w:space="0" w:color="0F9ED5"/>
              <w:right w:val="single" w:sz="8" w:space="0" w:color="0F9ED5"/>
            </w:tcBorders>
            <w:shd w:val="clear" w:color="auto" w:fill="0F9ED5"/>
            <w:vAlign w:val="bottom"/>
          </w:tcPr>
          <w:p w14:paraId="42EF50EA" w14:textId="77777777" w:rsidR="00AF0CD7" w:rsidRDefault="00AC1DD0">
            <w:pPr>
              <w:spacing w:after="0" w:line="259" w:lineRule="auto"/>
              <w:ind w:left="202" w:firstLine="0"/>
            </w:pPr>
            <w:r>
              <w:rPr>
                <w:b/>
              </w:rPr>
              <w:t>Score</w:t>
            </w:r>
          </w:p>
        </w:tc>
      </w:tr>
      <w:tr w:rsidR="00AF0CD7" w14:paraId="67B948E8" w14:textId="77777777">
        <w:trPr>
          <w:trHeight w:val="2345"/>
        </w:trPr>
        <w:tc>
          <w:tcPr>
            <w:tcW w:w="2003" w:type="dxa"/>
            <w:tcBorders>
              <w:top w:val="single" w:sz="8" w:space="0" w:color="0F9ED5"/>
              <w:left w:val="single" w:sz="8" w:space="0" w:color="60CAF3"/>
              <w:bottom w:val="single" w:sz="8" w:space="0" w:color="60CAF3"/>
              <w:right w:val="single" w:sz="8" w:space="0" w:color="60CAF3"/>
            </w:tcBorders>
            <w:shd w:val="clear" w:color="auto" w:fill="CAEDFB"/>
          </w:tcPr>
          <w:p w14:paraId="06B40C93" w14:textId="77777777" w:rsidR="00AF0CD7" w:rsidRDefault="00AC1DD0">
            <w:pPr>
              <w:spacing w:after="0" w:line="259" w:lineRule="auto"/>
              <w:ind w:left="108" w:firstLine="0"/>
              <w:jc w:val="center"/>
            </w:pPr>
            <w:r>
              <w:t>Remote</w:t>
            </w:r>
          </w:p>
        </w:tc>
        <w:tc>
          <w:tcPr>
            <w:tcW w:w="825" w:type="dxa"/>
            <w:tcBorders>
              <w:top w:val="single" w:sz="8" w:space="0" w:color="0F9ED5"/>
              <w:left w:val="single" w:sz="8" w:space="0" w:color="60CAF3"/>
              <w:bottom w:val="single" w:sz="8" w:space="0" w:color="60CAF3"/>
              <w:right w:val="nil"/>
            </w:tcBorders>
            <w:shd w:val="clear" w:color="auto" w:fill="CAEDFB"/>
          </w:tcPr>
          <w:p w14:paraId="44530EC9" w14:textId="77777777" w:rsidR="00AF0CD7" w:rsidRDefault="00AC1DD0">
            <w:pPr>
              <w:spacing w:after="309" w:line="259" w:lineRule="auto"/>
              <w:ind w:left="353" w:firstLine="0"/>
              <w:jc w:val="center"/>
            </w:pPr>
            <w:r>
              <w:t>●</w:t>
            </w:r>
          </w:p>
          <w:p w14:paraId="416B1561" w14:textId="77777777" w:rsidR="00AF0CD7" w:rsidRDefault="00AC1DD0">
            <w:pPr>
              <w:spacing w:after="600" w:line="259" w:lineRule="auto"/>
              <w:ind w:left="353" w:firstLine="0"/>
              <w:jc w:val="center"/>
            </w:pPr>
            <w:r>
              <w:t>●</w:t>
            </w:r>
          </w:p>
          <w:p w14:paraId="441FF458" w14:textId="77777777" w:rsidR="00AF0CD7" w:rsidRDefault="00AC1DD0">
            <w:pPr>
              <w:spacing w:after="0" w:line="259" w:lineRule="auto"/>
              <w:ind w:left="353" w:firstLine="0"/>
              <w:jc w:val="center"/>
            </w:pPr>
            <w:r>
              <w:t>●</w:t>
            </w:r>
          </w:p>
        </w:tc>
        <w:tc>
          <w:tcPr>
            <w:tcW w:w="5035" w:type="dxa"/>
            <w:tcBorders>
              <w:top w:val="single" w:sz="8" w:space="0" w:color="0F9ED5"/>
              <w:left w:val="nil"/>
              <w:bottom w:val="single" w:sz="8" w:space="0" w:color="60CAF3"/>
              <w:right w:val="single" w:sz="8" w:space="0" w:color="60CAF3"/>
            </w:tcBorders>
            <w:shd w:val="clear" w:color="auto" w:fill="CAEDFB"/>
          </w:tcPr>
          <w:p w14:paraId="18EDA019" w14:textId="77777777" w:rsidR="00AF0CD7" w:rsidRDefault="00AC1DD0">
            <w:pPr>
              <w:spacing w:after="13" w:line="282" w:lineRule="auto"/>
              <w:ind w:left="0" w:firstLine="70"/>
            </w:pPr>
            <w:r>
              <w:t>The risk is improbable to occur under normal circumstances.</w:t>
            </w:r>
          </w:p>
          <w:p w14:paraId="6F23A789" w14:textId="77777777" w:rsidR="00AF0CD7" w:rsidRDefault="00AC1DD0">
            <w:pPr>
              <w:spacing w:after="3"/>
              <w:ind w:left="0" w:firstLine="0"/>
            </w:pPr>
            <w:r>
              <w:t>There may be no known instances or only a few rare cases in similar organizations or environments.</w:t>
            </w:r>
          </w:p>
          <w:p w14:paraId="45DF2569" w14:textId="77777777" w:rsidR="00AF0CD7" w:rsidRDefault="00AC1DD0">
            <w:pPr>
              <w:spacing w:after="0" w:line="259" w:lineRule="auto"/>
              <w:ind w:left="0" w:firstLine="0"/>
            </w:pPr>
            <w:r>
              <w:t>This category is typically reserved for risks considered negligible or theoretical.</w:t>
            </w:r>
          </w:p>
        </w:tc>
        <w:tc>
          <w:tcPr>
            <w:tcW w:w="1020" w:type="dxa"/>
            <w:tcBorders>
              <w:top w:val="single" w:sz="8" w:space="0" w:color="0F9ED5"/>
              <w:left w:val="single" w:sz="8" w:space="0" w:color="60CAF3"/>
              <w:bottom w:val="single" w:sz="8" w:space="0" w:color="60CAF3"/>
              <w:right w:val="single" w:sz="8" w:space="0" w:color="60CAF3"/>
            </w:tcBorders>
            <w:shd w:val="clear" w:color="auto" w:fill="CAEDFB"/>
          </w:tcPr>
          <w:p w14:paraId="1CAB03B0" w14:textId="77777777" w:rsidR="00AF0CD7" w:rsidRDefault="00AC1DD0">
            <w:pPr>
              <w:spacing w:after="0" w:line="259" w:lineRule="auto"/>
              <w:ind w:left="110" w:firstLine="0"/>
              <w:jc w:val="center"/>
            </w:pPr>
            <w:r>
              <w:t>1</w:t>
            </w:r>
          </w:p>
        </w:tc>
      </w:tr>
      <w:tr w:rsidR="00AF0CD7" w14:paraId="0339EFCD" w14:textId="77777777">
        <w:trPr>
          <w:trHeight w:val="2015"/>
        </w:trPr>
        <w:tc>
          <w:tcPr>
            <w:tcW w:w="2003" w:type="dxa"/>
            <w:tcBorders>
              <w:top w:val="single" w:sz="8" w:space="0" w:color="60CAF3"/>
              <w:left w:val="single" w:sz="8" w:space="0" w:color="60CAF3"/>
              <w:bottom w:val="single" w:sz="8" w:space="0" w:color="60CAF3"/>
              <w:right w:val="single" w:sz="8" w:space="0" w:color="60CAF3"/>
            </w:tcBorders>
          </w:tcPr>
          <w:p w14:paraId="4A2EE18B" w14:textId="77777777" w:rsidR="00AF0CD7" w:rsidRDefault="00AC1DD0">
            <w:pPr>
              <w:spacing w:after="0" w:line="259" w:lineRule="auto"/>
              <w:ind w:left="108" w:firstLine="0"/>
              <w:jc w:val="center"/>
            </w:pPr>
            <w:r>
              <w:t>Unlikely</w:t>
            </w:r>
          </w:p>
        </w:tc>
        <w:tc>
          <w:tcPr>
            <w:tcW w:w="825" w:type="dxa"/>
            <w:tcBorders>
              <w:top w:val="single" w:sz="8" w:space="0" w:color="60CAF3"/>
              <w:left w:val="single" w:sz="8" w:space="0" w:color="60CAF3"/>
              <w:bottom w:val="single" w:sz="8" w:space="0" w:color="60CAF3"/>
              <w:right w:val="nil"/>
            </w:tcBorders>
          </w:tcPr>
          <w:p w14:paraId="038F759B" w14:textId="77777777" w:rsidR="00AF0CD7" w:rsidRDefault="00AC1DD0">
            <w:pPr>
              <w:spacing w:after="18" w:line="259" w:lineRule="auto"/>
              <w:ind w:left="353" w:firstLine="0"/>
              <w:jc w:val="center"/>
            </w:pPr>
            <w:r>
              <w:t>●</w:t>
            </w:r>
          </w:p>
          <w:p w14:paraId="319F6233" w14:textId="77777777" w:rsidR="00AF0CD7" w:rsidRDefault="00AC1DD0">
            <w:pPr>
              <w:spacing w:after="309" w:line="259" w:lineRule="auto"/>
              <w:ind w:left="353" w:firstLine="0"/>
              <w:jc w:val="center"/>
            </w:pPr>
            <w:r>
              <w:t>●</w:t>
            </w:r>
          </w:p>
          <w:p w14:paraId="4A86FC6B" w14:textId="77777777" w:rsidR="00AF0CD7" w:rsidRDefault="00AC1DD0">
            <w:pPr>
              <w:spacing w:after="0" w:line="259" w:lineRule="auto"/>
              <w:ind w:left="353" w:firstLine="0"/>
              <w:jc w:val="center"/>
            </w:pPr>
            <w:r>
              <w:t>●</w:t>
            </w:r>
          </w:p>
        </w:tc>
        <w:tc>
          <w:tcPr>
            <w:tcW w:w="5035" w:type="dxa"/>
            <w:tcBorders>
              <w:top w:val="single" w:sz="8" w:space="0" w:color="60CAF3"/>
              <w:left w:val="nil"/>
              <w:bottom w:val="single" w:sz="8" w:space="0" w:color="60CAF3"/>
              <w:right w:val="single" w:sz="8" w:space="0" w:color="60CAF3"/>
            </w:tcBorders>
          </w:tcPr>
          <w:p w14:paraId="378E700F" w14:textId="77777777" w:rsidR="00AF0CD7" w:rsidRDefault="00AC1DD0">
            <w:pPr>
              <w:spacing w:after="44" w:line="259" w:lineRule="auto"/>
              <w:ind w:left="70" w:firstLine="0"/>
            </w:pPr>
            <w:r>
              <w:t>The risk has a low chance of occurring.</w:t>
            </w:r>
          </w:p>
          <w:p w14:paraId="6E6DCB75" w14:textId="77777777" w:rsidR="00AF0CD7" w:rsidRDefault="00AC1DD0">
            <w:pPr>
              <w:spacing w:after="0" w:line="301" w:lineRule="auto"/>
              <w:ind w:left="0" w:firstLine="96"/>
            </w:pPr>
            <w:r>
              <w:t>It might happen in exceptional circumstances but is not expected to occur regularly.</w:t>
            </w:r>
          </w:p>
          <w:p w14:paraId="052349CF" w14:textId="77777777" w:rsidR="00AF0CD7" w:rsidRDefault="00AC1DD0">
            <w:pPr>
              <w:spacing w:after="0" w:line="259" w:lineRule="auto"/>
              <w:ind w:left="0" w:firstLine="0"/>
            </w:pPr>
            <w:r>
              <w:t xml:space="preserve">This level is for </w:t>
            </w:r>
            <w:proofErr w:type="spellStart"/>
            <w:r>
              <w:t>recognised</w:t>
            </w:r>
            <w:proofErr w:type="spellEnd"/>
            <w:r>
              <w:t xml:space="preserve"> risks uncommon in your industry or operational environment.</w:t>
            </w:r>
          </w:p>
        </w:tc>
        <w:tc>
          <w:tcPr>
            <w:tcW w:w="1020" w:type="dxa"/>
            <w:tcBorders>
              <w:top w:val="single" w:sz="8" w:space="0" w:color="60CAF3"/>
              <w:left w:val="single" w:sz="8" w:space="0" w:color="60CAF3"/>
              <w:bottom w:val="single" w:sz="8" w:space="0" w:color="60CAF3"/>
              <w:right w:val="single" w:sz="8" w:space="0" w:color="60CAF3"/>
            </w:tcBorders>
          </w:tcPr>
          <w:p w14:paraId="35D338E1" w14:textId="77777777" w:rsidR="00AF0CD7" w:rsidRDefault="00AC1DD0">
            <w:pPr>
              <w:spacing w:after="0" w:line="259" w:lineRule="auto"/>
              <w:ind w:left="110" w:firstLine="0"/>
              <w:jc w:val="center"/>
            </w:pPr>
            <w:r>
              <w:t>2</w:t>
            </w:r>
          </w:p>
        </w:tc>
      </w:tr>
      <w:tr w:rsidR="00AF0CD7" w14:paraId="2BC327DF" w14:textId="77777777">
        <w:trPr>
          <w:trHeight w:val="2040"/>
        </w:trPr>
        <w:tc>
          <w:tcPr>
            <w:tcW w:w="2003" w:type="dxa"/>
            <w:tcBorders>
              <w:top w:val="single" w:sz="8" w:space="0" w:color="60CAF3"/>
              <w:left w:val="single" w:sz="8" w:space="0" w:color="60CAF3"/>
              <w:bottom w:val="single" w:sz="8" w:space="0" w:color="60CAF3"/>
              <w:right w:val="single" w:sz="8" w:space="0" w:color="60CAF3"/>
            </w:tcBorders>
            <w:shd w:val="clear" w:color="auto" w:fill="CAEDFB"/>
          </w:tcPr>
          <w:p w14:paraId="60B139B4" w14:textId="77777777" w:rsidR="00AF0CD7" w:rsidRDefault="00AC1DD0">
            <w:pPr>
              <w:spacing w:after="0" w:line="259" w:lineRule="auto"/>
              <w:ind w:left="108" w:firstLine="0"/>
              <w:jc w:val="center"/>
            </w:pPr>
            <w:r>
              <w:t>Possible</w:t>
            </w:r>
          </w:p>
        </w:tc>
        <w:tc>
          <w:tcPr>
            <w:tcW w:w="825" w:type="dxa"/>
            <w:tcBorders>
              <w:top w:val="single" w:sz="8" w:space="0" w:color="60CAF3"/>
              <w:left w:val="single" w:sz="8" w:space="0" w:color="60CAF3"/>
              <w:bottom w:val="single" w:sz="8" w:space="0" w:color="60CAF3"/>
              <w:right w:val="nil"/>
            </w:tcBorders>
            <w:shd w:val="clear" w:color="auto" w:fill="CAEDFB"/>
          </w:tcPr>
          <w:p w14:paraId="09FF8B02" w14:textId="77777777" w:rsidR="00AF0CD7" w:rsidRDefault="00AC1DD0">
            <w:pPr>
              <w:spacing w:after="18" w:line="259" w:lineRule="auto"/>
              <w:ind w:left="353" w:firstLine="0"/>
              <w:jc w:val="center"/>
            </w:pPr>
            <w:r>
              <w:t>●</w:t>
            </w:r>
          </w:p>
          <w:p w14:paraId="2B848353" w14:textId="77777777" w:rsidR="00AF0CD7" w:rsidRDefault="00AC1DD0">
            <w:pPr>
              <w:spacing w:after="309" w:line="259" w:lineRule="auto"/>
              <w:ind w:left="353" w:firstLine="0"/>
              <w:jc w:val="center"/>
            </w:pPr>
            <w:r>
              <w:t>●</w:t>
            </w:r>
          </w:p>
          <w:p w14:paraId="15AED874" w14:textId="77777777" w:rsidR="00AF0CD7" w:rsidRDefault="00AC1DD0">
            <w:pPr>
              <w:spacing w:after="0" w:line="259" w:lineRule="auto"/>
              <w:ind w:left="353" w:firstLine="0"/>
              <w:jc w:val="center"/>
            </w:pPr>
            <w:r>
              <w:t>●</w:t>
            </w:r>
          </w:p>
        </w:tc>
        <w:tc>
          <w:tcPr>
            <w:tcW w:w="5035" w:type="dxa"/>
            <w:tcBorders>
              <w:top w:val="single" w:sz="8" w:space="0" w:color="60CAF3"/>
              <w:left w:val="nil"/>
              <w:bottom w:val="single" w:sz="8" w:space="0" w:color="60CAF3"/>
              <w:right w:val="single" w:sz="8" w:space="0" w:color="60CAF3"/>
            </w:tcBorders>
            <w:shd w:val="clear" w:color="auto" w:fill="CAEDFB"/>
          </w:tcPr>
          <w:p w14:paraId="6FB290B0" w14:textId="77777777" w:rsidR="00AF0CD7" w:rsidRDefault="00AC1DD0">
            <w:pPr>
              <w:spacing w:after="0" w:line="301" w:lineRule="auto"/>
              <w:ind w:left="0" w:firstLine="0"/>
            </w:pPr>
            <w:r>
              <w:t>The risk has a moderate likelihood of occurring. There is an equal chance of the risk occurring or not occurring.</w:t>
            </w:r>
          </w:p>
          <w:p w14:paraId="306592C5" w14:textId="77777777" w:rsidR="00AF0CD7" w:rsidRDefault="00AC1DD0">
            <w:pPr>
              <w:spacing w:after="0" w:line="259" w:lineRule="auto"/>
              <w:ind w:left="0" w:firstLine="0"/>
            </w:pPr>
            <w:r>
              <w:t>It's a realistic possibility in your current environment and should be given a fair amount of attention.</w:t>
            </w:r>
          </w:p>
        </w:tc>
        <w:tc>
          <w:tcPr>
            <w:tcW w:w="1020" w:type="dxa"/>
            <w:tcBorders>
              <w:top w:val="single" w:sz="8" w:space="0" w:color="60CAF3"/>
              <w:left w:val="single" w:sz="8" w:space="0" w:color="60CAF3"/>
              <w:bottom w:val="single" w:sz="8" w:space="0" w:color="60CAF3"/>
              <w:right w:val="single" w:sz="8" w:space="0" w:color="60CAF3"/>
            </w:tcBorders>
            <w:shd w:val="clear" w:color="auto" w:fill="CAEDFB"/>
          </w:tcPr>
          <w:p w14:paraId="43BC5985" w14:textId="77777777" w:rsidR="00AF0CD7" w:rsidRDefault="00AC1DD0">
            <w:pPr>
              <w:spacing w:after="0" w:line="259" w:lineRule="auto"/>
              <w:ind w:left="110" w:firstLine="0"/>
              <w:jc w:val="center"/>
            </w:pPr>
            <w:r>
              <w:t>3</w:t>
            </w:r>
          </w:p>
        </w:tc>
      </w:tr>
    </w:tbl>
    <w:p w14:paraId="78DD66B5" w14:textId="77777777" w:rsidR="00AF0CD7" w:rsidRDefault="00AF0CD7">
      <w:pPr>
        <w:spacing w:after="0" w:line="259" w:lineRule="auto"/>
        <w:ind w:left="-1440" w:right="470" w:firstLine="0"/>
      </w:pPr>
    </w:p>
    <w:tbl>
      <w:tblPr>
        <w:tblStyle w:val="TableGrid"/>
        <w:tblW w:w="8883" w:type="dxa"/>
        <w:tblInd w:w="8" w:type="dxa"/>
        <w:tblCellMar>
          <w:top w:w="51" w:type="dxa"/>
          <w:left w:w="0" w:type="dxa"/>
          <w:bottom w:w="0" w:type="dxa"/>
          <w:right w:w="115" w:type="dxa"/>
        </w:tblCellMar>
        <w:tblLook w:val="04A0" w:firstRow="1" w:lastRow="0" w:firstColumn="1" w:lastColumn="0" w:noHBand="0" w:noVBand="1"/>
      </w:tblPr>
      <w:tblGrid>
        <w:gridCol w:w="1998"/>
        <w:gridCol w:w="20"/>
        <w:gridCol w:w="803"/>
        <w:gridCol w:w="15"/>
        <w:gridCol w:w="4989"/>
        <w:gridCol w:w="1018"/>
        <w:gridCol w:w="40"/>
      </w:tblGrid>
      <w:tr w:rsidR="00AF0CD7" w14:paraId="74328930" w14:textId="77777777">
        <w:trPr>
          <w:gridAfter w:val="1"/>
          <w:wAfter w:w="40" w:type="dxa"/>
          <w:trHeight w:val="2338"/>
        </w:trPr>
        <w:tc>
          <w:tcPr>
            <w:tcW w:w="2003" w:type="dxa"/>
            <w:tcBorders>
              <w:top w:val="single" w:sz="8" w:space="0" w:color="60CAF3"/>
              <w:left w:val="single" w:sz="8" w:space="0" w:color="60CAF3"/>
              <w:bottom w:val="single" w:sz="8" w:space="0" w:color="60CAF3"/>
              <w:right w:val="single" w:sz="8" w:space="0" w:color="60CAF3"/>
            </w:tcBorders>
          </w:tcPr>
          <w:p w14:paraId="60BA1FA5" w14:textId="77777777" w:rsidR="00AF0CD7" w:rsidRDefault="00AC1DD0">
            <w:pPr>
              <w:spacing w:after="0" w:line="259" w:lineRule="auto"/>
              <w:ind w:left="108" w:firstLine="0"/>
              <w:jc w:val="center"/>
            </w:pPr>
            <w:r>
              <w:t>Probable</w:t>
            </w:r>
          </w:p>
        </w:tc>
        <w:tc>
          <w:tcPr>
            <w:tcW w:w="825" w:type="dxa"/>
            <w:gridSpan w:val="2"/>
            <w:tcBorders>
              <w:top w:val="single" w:sz="8" w:space="0" w:color="60CAF3"/>
              <w:left w:val="single" w:sz="8" w:space="0" w:color="60CAF3"/>
              <w:bottom w:val="single" w:sz="8" w:space="0" w:color="60CAF3"/>
              <w:right w:val="nil"/>
            </w:tcBorders>
          </w:tcPr>
          <w:p w14:paraId="5F5CDA60" w14:textId="77777777" w:rsidR="00AF0CD7" w:rsidRDefault="00AC1DD0">
            <w:pPr>
              <w:spacing w:after="18" w:line="259" w:lineRule="auto"/>
              <w:ind w:left="353" w:firstLine="0"/>
              <w:jc w:val="center"/>
            </w:pPr>
            <w:r>
              <w:t>●</w:t>
            </w:r>
          </w:p>
          <w:p w14:paraId="08328220" w14:textId="77777777" w:rsidR="00AF0CD7" w:rsidRDefault="00AC1DD0">
            <w:pPr>
              <w:spacing w:after="890" w:line="259" w:lineRule="auto"/>
              <w:ind w:left="353" w:firstLine="0"/>
              <w:jc w:val="center"/>
            </w:pPr>
            <w:r>
              <w:t>●</w:t>
            </w:r>
          </w:p>
          <w:p w14:paraId="14B6B2A9" w14:textId="77777777" w:rsidR="00AF0CD7" w:rsidRDefault="00AC1DD0">
            <w:pPr>
              <w:spacing w:after="0" w:line="259" w:lineRule="auto"/>
              <w:ind w:left="353" w:firstLine="0"/>
              <w:jc w:val="center"/>
            </w:pPr>
            <w:r>
              <w:t>●</w:t>
            </w:r>
          </w:p>
        </w:tc>
        <w:tc>
          <w:tcPr>
            <w:tcW w:w="5035" w:type="dxa"/>
            <w:gridSpan w:val="2"/>
            <w:tcBorders>
              <w:top w:val="single" w:sz="8" w:space="0" w:color="60CAF3"/>
              <w:left w:val="nil"/>
              <w:bottom w:val="single" w:sz="8" w:space="0" w:color="60CAF3"/>
              <w:right w:val="single" w:sz="8" w:space="0" w:color="60CAF3"/>
            </w:tcBorders>
          </w:tcPr>
          <w:p w14:paraId="3FF0B73D" w14:textId="77777777" w:rsidR="00AF0CD7" w:rsidRDefault="00AC1DD0">
            <w:pPr>
              <w:spacing w:after="0" w:line="296" w:lineRule="auto"/>
              <w:ind w:left="0" w:right="437" w:firstLine="35"/>
            </w:pPr>
            <w:r>
              <w:t>The risk is more likely to occur than not. There have been instances of this risk materializing in similar contexts, or there are factors in your environment that increase its likelihood.</w:t>
            </w:r>
          </w:p>
          <w:p w14:paraId="10B281B2" w14:textId="77777777" w:rsidR="00AF0CD7" w:rsidRDefault="00AC1DD0">
            <w:pPr>
              <w:spacing w:after="0" w:line="259" w:lineRule="auto"/>
              <w:ind w:left="0" w:right="24" w:firstLine="105"/>
            </w:pPr>
            <w:r>
              <w:t>It requires proactive management and monitoring.</w:t>
            </w:r>
          </w:p>
        </w:tc>
        <w:tc>
          <w:tcPr>
            <w:tcW w:w="1020" w:type="dxa"/>
            <w:tcBorders>
              <w:top w:val="single" w:sz="8" w:space="0" w:color="60CAF3"/>
              <w:left w:val="single" w:sz="8" w:space="0" w:color="60CAF3"/>
              <w:bottom w:val="single" w:sz="8" w:space="0" w:color="60CAF3"/>
              <w:right w:val="single" w:sz="8" w:space="0" w:color="60CAF3"/>
            </w:tcBorders>
          </w:tcPr>
          <w:p w14:paraId="2B2637AC" w14:textId="77777777" w:rsidR="00AF0CD7" w:rsidRDefault="00AC1DD0">
            <w:pPr>
              <w:spacing w:after="0" w:line="259" w:lineRule="auto"/>
              <w:ind w:left="110" w:firstLine="0"/>
              <w:jc w:val="center"/>
            </w:pPr>
            <w:r>
              <w:t>4</w:t>
            </w:r>
          </w:p>
        </w:tc>
      </w:tr>
      <w:tr w:rsidR="00AF0CD7" w14:paraId="410450CD" w14:textId="77777777">
        <w:trPr>
          <w:gridAfter w:val="1"/>
          <w:wAfter w:w="40" w:type="dxa"/>
          <w:trHeight w:val="2043"/>
        </w:trPr>
        <w:tc>
          <w:tcPr>
            <w:tcW w:w="2003" w:type="dxa"/>
            <w:tcBorders>
              <w:top w:val="single" w:sz="8" w:space="0" w:color="60CAF3"/>
              <w:left w:val="single" w:sz="8" w:space="0" w:color="60CAF3"/>
              <w:bottom w:val="single" w:sz="8" w:space="0" w:color="60CAF3"/>
              <w:right w:val="single" w:sz="8" w:space="0" w:color="60CAF3"/>
            </w:tcBorders>
            <w:shd w:val="clear" w:color="auto" w:fill="CAEDFB"/>
          </w:tcPr>
          <w:p w14:paraId="51C5F01F" w14:textId="77777777" w:rsidR="00AF0CD7" w:rsidRDefault="00AC1DD0">
            <w:pPr>
              <w:spacing w:after="0" w:line="259" w:lineRule="auto"/>
              <w:ind w:left="108" w:firstLine="0"/>
              <w:jc w:val="center"/>
            </w:pPr>
            <w:r>
              <w:t>Highly Probable</w:t>
            </w:r>
          </w:p>
        </w:tc>
        <w:tc>
          <w:tcPr>
            <w:tcW w:w="825" w:type="dxa"/>
            <w:gridSpan w:val="2"/>
            <w:tcBorders>
              <w:top w:val="single" w:sz="8" w:space="0" w:color="60CAF3"/>
              <w:left w:val="single" w:sz="8" w:space="0" w:color="60CAF3"/>
              <w:bottom w:val="single" w:sz="8" w:space="0" w:color="60CAF3"/>
              <w:right w:val="nil"/>
            </w:tcBorders>
            <w:shd w:val="clear" w:color="auto" w:fill="CAEDFB"/>
          </w:tcPr>
          <w:p w14:paraId="3199AE81" w14:textId="77777777" w:rsidR="00AF0CD7" w:rsidRDefault="00AC1DD0">
            <w:pPr>
              <w:spacing w:after="18" w:line="259" w:lineRule="auto"/>
              <w:ind w:left="353" w:firstLine="0"/>
              <w:jc w:val="center"/>
            </w:pPr>
            <w:r>
              <w:t>●</w:t>
            </w:r>
          </w:p>
          <w:p w14:paraId="6FC84B26" w14:textId="77777777" w:rsidR="00AF0CD7" w:rsidRDefault="00AC1DD0">
            <w:pPr>
              <w:spacing w:after="309" w:line="259" w:lineRule="auto"/>
              <w:ind w:left="353" w:firstLine="0"/>
              <w:jc w:val="center"/>
            </w:pPr>
            <w:r>
              <w:t>●</w:t>
            </w:r>
          </w:p>
          <w:p w14:paraId="71F7EB29" w14:textId="77777777" w:rsidR="00AF0CD7" w:rsidRDefault="00AC1DD0">
            <w:pPr>
              <w:spacing w:after="0" w:line="259" w:lineRule="auto"/>
              <w:ind w:left="353" w:firstLine="0"/>
              <w:jc w:val="center"/>
            </w:pPr>
            <w:r>
              <w:t>●</w:t>
            </w:r>
          </w:p>
        </w:tc>
        <w:tc>
          <w:tcPr>
            <w:tcW w:w="5035" w:type="dxa"/>
            <w:gridSpan w:val="2"/>
            <w:tcBorders>
              <w:top w:val="single" w:sz="8" w:space="0" w:color="60CAF3"/>
              <w:left w:val="nil"/>
              <w:bottom w:val="single" w:sz="8" w:space="0" w:color="60CAF3"/>
              <w:right w:val="single" w:sz="8" w:space="0" w:color="60CAF3"/>
            </w:tcBorders>
            <w:shd w:val="clear" w:color="auto" w:fill="CAEDFB"/>
          </w:tcPr>
          <w:p w14:paraId="4F05758F" w14:textId="77777777" w:rsidR="00AF0CD7" w:rsidRDefault="00AC1DD0">
            <w:pPr>
              <w:spacing w:after="44" w:line="259" w:lineRule="auto"/>
              <w:ind w:left="0" w:firstLine="0"/>
            </w:pPr>
            <w:r>
              <w:t>The risk is almost certain to occur.</w:t>
            </w:r>
          </w:p>
          <w:p w14:paraId="1F7BDDEC" w14:textId="77777777" w:rsidR="00AF0CD7" w:rsidRDefault="00AC1DD0">
            <w:pPr>
              <w:spacing w:after="0" w:line="301" w:lineRule="auto"/>
              <w:ind w:left="0" w:firstLine="0"/>
            </w:pPr>
            <w:r>
              <w:t>Strong evidence or historical data suggests this risk is frequent in your setting.</w:t>
            </w:r>
          </w:p>
          <w:p w14:paraId="6DFD5A95" w14:textId="77777777" w:rsidR="00AF0CD7" w:rsidRDefault="00AC1DD0">
            <w:pPr>
              <w:spacing w:after="0" w:line="259" w:lineRule="auto"/>
              <w:ind w:left="0" w:firstLine="0"/>
            </w:pPr>
            <w:r>
              <w:t>This level indicates a high-priority risk that demands immediate and effective mitigation measures.</w:t>
            </w:r>
          </w:p>
        </w:tc>
        <w:tc>
          <w:tcPr>
            <w:tcW w:w="1020" w:type="dxa"/>
            <w:tcBorders>
              <w:top w:val="single" w:sz="8" w:space="0" w:color="60CAF3"/>
              <w:left w:val="single" w:sz="8" w:space="0" w:color="60CAF3"/>
              <w:bottom w:val="single" w:sz="8" w:space="0" w:color="60CAF3"/>
              <w:right w:val="single" w:sz="8" w:space="0" w:color="60CAF3"/>
            </w:tcBorders>
            <w:shd w:val="clear" w:color="auto" w:fill="CAEDFB"/>
          </w:tcPr>
          <w:p w14:paraId="2B88FAA5" w14:textId="77777777" w:rsidR="00AF0CD7" w:rsidRDefault="00AC1DD0">
            <w:pPr>
              <w:spacing w:after="0" w:line="259" w:lineRule="auto"/>
              <w:ind w:left="110" w:firstLine="0"/>
              <w:jc w:val="center"/>
            </w:pPr>
            <w:r>
              <w:t>5</w:t>
            </w:r>
          </w:p>
        </w:tc>
      </w:tr>
      <w:tr w:rsidR="00AF0CD7" w14:paraId="16F34FAA" w14:textId="77777777">
        <w:trPr>
          <w:trHeight w:val="555"/>
        </w:trPr>
        <w:tc>
          <w:tcPr>
            <w:tcW w:w="2023" w:type="dxa"/>
            <w:gridSpan w:val="2"/>
            <w:tcBorders>
              <w:top w:val="single" w:sz="8" w:space="0" w:color="0F9ED5"/>
              <w:left w:val="single" w:sz="8" w:space="0" w:color="0F9ED5"/>
              <w:bottom w:val="single" w:sz="8" w:space="0" w:color="0F9ED5"/>
              <w:right w:val="nil"/>
            </w:tcBorders>
            <w:shd w:val="clear" w:color="auto" w:fill="0F9ED5"/>
            <w:vAlign w:val="bottom"/>
          </w:tcPr>
          <w:p w14:paraId="5D9C9F8A" w14:textId="77777777" w:rsidR="00AF0CD7" w:rsidRDefault="00AC1DD0">
            <w:pPr>
              <w:spacing w:after="0" w:line="259" w:lineRule="auto"/>
              <w:ind w:left="3" w:firstLine="0"/>
              <w:jc w:val="center"/>
            </w:pPr>
            <w:r>
              <w:rPr>
                <w:b/>
              </w:rPr>
              <w:t>Impact</w:t>
            </w:r>
          </w:p>
        </w:tc>
        <w:tc>
          <w:tcPr>
            <w:tcW w:w="5840" w:type="dxa"/>
            <w:gridSpan w:val="3"/>
            <w:tcBorders>
              <w:top w:val="single" w:sz="8" w:space="0" w:color="0F9ED5"/>
              <w:left w:val="nil"/>
              <w:bottom w:val="single" w:sz="8" w:space="0" w:color="0F9ED5"/>
              <w:right w:val="nil"/>
            </w:tcBorders>
            <w:shd w:val="clear" w:color="auto" w:fill="0F9ED5"/>
            <w:vAlign w:val="bottom"/>
          </w:tcPr>
          <w:p w14:paraId="5CA14D85" w14:textId="77777777" w:rsidR="00AF0CD7" w:rsidRDefault="00AC1DD0">
            <w:pPr>
              <w:spacing w:after="0" w:line="259" w:lineRule="auto"/>
              <w:ind w:left="0" w:firstLine="0"/>
            </w:pPr>
            <w:r>
              <w:rPr>
                <w:b/>
              </w:rPr>
              <w:t>Description</w:t>
            </w:r>
          </w:p>
        </w:tc>
        <w:tc>
          <w:tcPr>
            <w:tcW w:w="1060" w:type="dxa"/>
            <w:gridSpan w:val="2"/>
            <w:tcBorders>
              <w:top w:val="single" w:sz="8" w:space="0" w:color="0F9ED5"/>
              <w:left w:val="nil"/>
              <w:bottom w:val="single" w:sz="8" w:space="0" w:color="0F9ED5"/>
              <w:right w:val="single" w:sz="8" w:space="0" w:color="0F9ED5"/>
            </w:tcBorders>
            <w:shd w:val="clear" w:color="auto" w:fill="0F9ED5"/>
            <w:vAlign w:val="bottom"/>
          </w:tcPr>
          <w:p w14:paraId="3327BFBC" w14:textId="77777777" w:rsidR="00AF0CD7" w:rsidRDefault="00AC1DD0">
            <w:pPr>
              <w:spacing w:after="0" w:line="259" w:lineRule="auto"/>
              <w:ind w:left="117" w:firstLine="0"/>
            </w:pPr>
            <w:r>
              <w:rPr>
                <w:b/>
              </w:rPr>
              <w:t>Score</w:t>
            </w:r>
          </w:p>
        </w:tc>
      </w:tr>
      <w:tr w:rsidR="00AF0CD7" w14:paraId="0EE32238" w14:textId="77777777">
        <w:trPr>
          <w:trHeight w:val="2043"/>
        </w:trPr>
        <w:tc>
          <w:tcPr>
            <w:tcW w:w="2023" w:type="dxa"/>
            <w:gridSpan w:val="2"/>
            <w:tcBorders>
              <w:top w:val="single" w:sz="8" w:space="0" w:color="0F9ED5"/>
              <w:left w:val="single" w:sz="8" w:space="0" w:color="60CAF3"/>
              <w:bottom w:val="single" w:sz="8" w:space="0" w:color="60CAF3"/>
              <w:right w:val="single" w:sz="8" w:space="0" w:color="60CAF3"/>
            </w:tcBorders>
            <w:shd w:val="clear" w:color="auto" w:fill="CAEDFB"/>
          </w:tcPr>
          <w:p w14:paraId="0F43E15C" w14:textId="77777777" w:rsidR="00AF0CD7" w:rsidRDefault="00AC1DD0">
            <w:pPr>
              <w:spacing w:after="0" w:line="259" w:lineRule="auto"/>
              <w:ind w:left="3" w:firstLine="0"/>
              <w:jc w:val="center"/>
            </w:pPr>
            <w:r>
              <w:t>Insignificant</w:t>
            </w:r>
          </w:p>
        </w:tc>
        <w:tc>
          <w:tcPr>
            <w:tcW w:w="5840" w:type="dxa"/>
            <w:gridSpan w:val="3"/>
            <w:tcBorders>
              <w:top w:val="single" w:sz="8" w:space="0" w:color="0F9ED5"/>
              <w:left w:val="single" w:sz="8" w:space="0" w:color="60CAF3"/>
              <w:bottom w:val="single" w:sz="8" w:space="0" w:color="60CAF3"/>
              <w:right w:val="single" w:sz="8" w:space="0" w:color="60CAF3"/>
            </w:tcBorders>
            <w:shd w:val="clear" w:color="auto" w:fill="CAEDFB"/>
          </w:tcPr>
          <w:p w14:paraId="3A294D88" w14:textId="77777777" w:rsidR="00AF0CD7" w:rsidRDefault="00AC1DD0">
            <w:pPr>
              <w:numPr>
                <w:ilvl w:val="0"/>
                <w:numId w:val="6"/>
              </w:numPr>
              <w:spacing w:after="3"/>
              <w:ind w:hanging="360"/>
            </w:pPr>
            <w:r>
              <w:t>The impact is negligible, with no notable consequences on operations, reputation, or finances.</w:t>
            </w:r>
          </w:p>
          <w:p w14:paraId="5D901C57" w14:textId="77777777" w:rsidR="00AF0CD7" w:rsidRDefault="00AC1DD0">
            <w:pPr>
              <w:numPr>
                <w:ilvl w:val="0"/>
                <w:numId w:val="6"/>
              </w:numPr>
              <w:spacing w:after="0" w:line="259" w:lineRule="auto"/>
              <w:ind w:hanging="360"/>
            </w:pPr>
            <w:r>
              <w:t>It would not cause any interruption to normal business activities or require significant effort to address.</w:t>
            </w:r>
          </w:p>
        </w:tc>
        <w:tc>
          <w:tcPr>
            <w:tcW w:w="1060" w:type="dxa"/>
            <w:gridSpan w:val="2"/>
            <w:tcBorders>
              <w:top w:val="single" w:sz="8" w:space="0" w:color="0F9ED5"/>
              <w:left w:val="single" w:sz="8" w:space="0" w:color="60CAF3"/>
              <w:bottom w:val="single" w:sz="8" w:space="0" w:color="60CAF3"/>
              <w:right w:val="single" w:sz="8" w:space="0" w:color="60CAF3"/>
            </w:tcBorders>
            <w:shd w:val="clear" w:color="auto" w:fill="CAEDFB"/>
          </w:tcPr>
          <w:p w14:paraId="7C9C2FCF" w14:textId="77777777" w:rsidR="00AF0CD7" w:rsidRDefault="00AC1DD0">
            <w:pPr>
              <w:spacing w:after="0" w:line="259" w:lineRule="auto"/>
              <w:ind w:left="0" w:firstLine="0"/>
              <w:jc w:val="center"/>
            </w:pPr>
            <w:r>
              <w:t>1</w:t>
            </w:r>
          </w:p>
        </w:tc>
      </w:tr>
      <w:tr w:rsidR="00AF0CD7" w14:paraId="421D1BD8" w14:textId="77777777">
        <w:trPr>
          <w:trHeight w:val="2060"/>
        </w:trPr>
        <w:tc>
          <w:tcPr>
            <w:tcW w:w="2023" w:type="dxa"/>
            <w:gridSpan w:val="2"/>
            <w:tcBorders>
              <w:top w:val="single" w:sz="8" w:space="0" w:color="60CAF3"/>
              <w:left w:val="single" w:sz="8" w:space="0" w:color="60CAF3"/>
              <w:bottom w:val="single" w:sz="8" w:space="0" w:color="60CAF3"/>
              <w:right w:val="single" w:sz="8" w:space="0" w:color="60CAF3"/>
            </w:tcBorders>
          </w:tcPr>
          <w:p w14:paraId="3AA4884C" w14:textId="77777777" w:rsidR="00AF0CD7" w:rsidRDefault="00AC1DD0">
            <w:pPr>
              <w:spacing w:after="0" w:line="259" w:lineRule="auto"/>
              <w:ind w:left="3" w:firstLine="0"/>
              <w:jc w:val="center"/>
            </w:pPr>
            <w:r>
              <w:t>Minor</w:t>
            </w:r>
          </w:p>
        </w:tc>
        <w:tc>
          <w:tcPr>
            <w:tcW w:w="5840" w:type="dxa"/>
            <w:gridSpan w:val="3"/>
            <w:tcBorders>
              <w:top w:val="single" w:sz="8" w:space="0" w:color="60CAF3"/>
              <w:left w:val="single" w:sz="8" w:space="0" w:color="60CAF3"/>
              <w:bottom w:val="single" w:sz="8" w:space="0" w:color="60CAF3"/>
              <w:right w:val="single" w:sz="8" w:space="0" w:color="60CAF3"/>
            </w:tcBorders>
          </w:tcPr>
          <w:p w14:paraId="550DB02A" w14:textId="77777777" w:rsidR="00AF0CD7" w:rsidRDefault="00AC1DD0">
            <w:pPr>
              <w:numPr>
                <w:ilvl w:val="0"/>
                <w:numId w:val="7"/>
              </w:numPr>
              <w:spacing w:after="0" w:line="301" w:lineRule="auto"/>
              <w:ind w:right="37" w:hanging="360"/>
            </w:pPr>
            <w:r>
              <w:t>The impact causes a minor inconvenience that can be easily managed or resolved through routine procedures.</w:t>
            </w:r>
          </w:p>
          <w:p w14:paraId="092C0BF6" w14:textId="77777777" w:rsidR="00AF0CD7" w:rsidRDefault="00AC1DD0">
            <w:pPr>
              <w:numPr>
                <w:ilvl w:val="0"/>
                <w:numId w:val="7"/>
              </w:numPr>
              <w:spacing w:after="0" w:line="259" w:lineRule="auto"/>
              <w:ind w:right="37" w:hanging="360"/>
            </w:pPr>
            <w:r>
              <w:t>It may result in a slight delay or minor costs, but it does not significantly affect business operations or objectives.</w:t>
            </w:r>
          </w:p>
        </w:tc>
        <w:tc>
          <w:tcPr>
            <w:tcW w:w="1060" w:type="dxa"/>
            <w:gridSpan w:val="2"/>
            <w:tcBorders>
              <w:top w:val="single" w:sz="8" w:space="0" w:color="60CAF3"/>
              <w:left w:val="single" w:sz="8" w:space="0" w:color="60CAF3"/>
              <w:bottom w:val="single" w:sz="8" w:space="0" w:color="60CAF3"/>
              <w:right w:val="single" w:sz="8" w:space="0" w:color="60CAF3"/>
            </w:tcBorders>
          </w:tcPr>
          <w:p w14:paraId="79D38187" w14:textId="77777777" w:rsidR="00AF0CD7" w:rsidRDefault="00AC1DD0">
            <w:pPr>
              <w:spacing w:after="0" w:line="259" w:lineRule="auto"/>
              <w:ind w:left="0" w:firstLine="0"/>
              <w:jc w:val="center"/>
            </w:pPr>
            <w:r>
              <w:t>2</w:t>
            </w:r>
          </w:p>
        </w:tc>
      </w:tr>
      <w:tr w:rsidR="00AF0CD7" w14:paraId="73FB811F" w14:textId="77777777">
        <w:trPr>
          <w:trHeight w:val="2875"/>
        </w:trPr>
        <w:tc>
          <w:tcPr>
            <w:tcW w:w="2023" w:type="dxa"/>
            <w:gridSpan w:val="2"/>
            <w:tcBorders>
              <w:top w:val="single" w:sz="8" w:space="0" w:color="60CAF3"/>
              <w:left w:val="single" w:sz="8" w:space="0" w:color="60CAF3"/>
              <w:bottom w:val="single" w:sz="8" w:space="0" w:color="60CAF3"/>
              <w:right w:val="single" w:sz="8" w:space="0" w:color="60CAF3"/>
            </w:tcBorders>
            <w:shd w:val="clear" w:color="auto" w:fill="CAEDFB"/>
          </w:tcPr>
          <w:p w14:paraId="71C1F46C" w14:textId="77777777" w:rsidR="00AF0CD7" w:rsidRDefault="00AC1DD0">
            <w:pPr>
              <w:spacing w:after="0" w:line="259" w:lineRule="auto"/>
              <w:ind w:left="3" w:firstLine="0"/>
              <w:jc w:val="center"/>
            </w:pPr>
            <w:r>
              <w:t>Moderate</w:t>
            </w:r>
          </w:p>
        </w:tc>
        <w:tc>
          <w:tcPr>
            <w:tcW w:w="5840" w:type="dxa"/>
            <w:gridSpan w:val="3"/>
            <w:tcBorders>
              <w:top w:val="single" w:sz="8" w:space="0" w:color="60CAF3"/>
              <w:left w:val="single" w:sz="8" w:space="0" w:color="60CAF3"/>
              <w:bottom w:val="single" w:sz="8" w:space="0" w:color="60CAF3"/>
              <w:right w:val="single" w:sz="8" w:space="0" w:color="60CAF3"/>
            </w:tcBorders>
            <w:shd w:val="clear" w:color="auto" w:fill="CAEDFB"/>
          </w:tcPr>
          <w:p w14:paraId="38CAD3F6" w14:textId="77777777" w:rsidR="00AF0CD7" w:rsidRDefault="00AC1DD0">
            <w:pPr>
              <w:numPr>
                <w:ilvl w:val="0"/>
                <w:numId w:val="8"/>
              </w:numPr>
              <w:spacing w:after="0" w:line="301" w:lineRule="auto"/>
              <w:ind w:hanging="360"/>
            </w:pPr>
            <w:r>
              <w:t>The impact is noticeable and may cause some disruption but can be managed or worked around without significant difficulty.</w:t>
            </w:r>
          </w:p>
          <w:p w14:paraId="5832609A" w14:textId="77777777" w:rsidR="00AF0CD7" w:rsidRDefault="00AC1DD0">
            <w:pPr>
              <w:numPr>
                <w:ilvl w:val="0"/>
                <w:numId w:val="8"/>
              </w:numPr>
              <w:spacing w:after="0" w:line="301" w:lineRule="auto"/>
              <w:ind w:hanging="360"/>
            </w:pPr>
            <w:r>
              <w:t>T</w:t>
            </w:r>
            <w:r>
              <w:t>his level might involve moderate financial costs, a temporary reduction in productivity, or some strain on resources.</w:t>
            </w:r>
          </w:p>
          <w:p w14:paraId="1FB0E4CA" w14:textId="77777777" w:rsidR="00AF0CD7" w:rsidRDefault="00AC1DD0">
            <w:pPr>
              <w:numPr>
                <w:ilvl w:val="0"/>
                <w:numId w:val="8"/>
              </w:numPr>
              <w:spacing w:after="0" w:line="259" w:lineRule="auto"/>
              <w:ind w:hanging="360"/>
            </w:pPr>
            <w:r>
              <w:t>It requires management attention but is within the organization's capacity to handle effectively.</w:t>
            </w:r>
          </w:p>
        </w:tc>
        <w:tc>
          <w:tcPr>
            <w:tcW w:w="1060" w:type="dxa"/>
            <w:gridSpan w:val="2"/>
            <w:tcBorders>
              <w:top w:val="single" w:sz="8" w:space="0" w:color="60CAF3"/>
              <w:left w:val="single" w:sz="8" w:space="0" w:color="60CAF3"/>
              <w:bottom w:val="single" w:sz="8" w:space="0" w:color="60CAF3"/>
              <w:right w:val="single" w:sz="8" w:space="0" w:color="60CAF3"/>
            </w:tcBorders>
            <w:shd w:val="clear" w:color="auto" w:fill="CAEDFB"/>
          </w:tcPr>
          <w:p w14:paraId="6045E1FD" w14:textId="77777777" w:rsidR="00AF0CD7" w:rsidRDefault="00AC1DD0">
            <w:pPr>
              <w:spacing w:after="0" w:line="259" w:lineRule="auto"/>
              <w:ind w:left="0" w:firstLine="0"/>
              <w:jc w:val="center"/>
            </w:pPr>
            <w:r>
              <w:t>3</w:t>
            </w:r>
          </w:p>
        </w:tc>
      </w:tr>
      <w:tr w:rsidR="00AF0CD7" w14:paraId="7AF8DDB9" w14:textId="77777777">
        <w:trPr>
          <w:trHeight w:val="2863"/>
        </w:trPr>
        <w:tc>
          <w:tcPr>
            <w:tcW w:w="2023" w:type="dxa"/>
            <w:gridSpan w:val="2"/>
            <w:tcBorders>
              <w:top w:val="single" w:sz="8" w:space="0" w:color="60CAF3"/>
              <w:left w:val="single" w:sz="8" w:space="0" w:color="60CAF3"/>
              <w:bottom w:val="single" w:sz="8" w:space="0" w:color="60CAF3"/>
              <w:right w:val="single" w:sz="8" w:space="0" w:color="60CAF3"/>
            </w:tcBorders>
          </w:tcPr>
          <w:p w14:paraId="129576C7" w14:textId="77777777" w:rsidR="00AF0CD7" w:rsidRDefault="00AC1DD0">
            <w:pPr>
              <w:spacing w:after="0" w:line="259" w:lineRule="auto"/>
              <w:ind w:left="103" w:firstLine="0"/>
              <w:jc w:val="center"/>
            </w:pPr>
            <w:r>
              <w:t>Major</w:t>
            </w:r>
          </w:p>
        </w:tc>
        <w:tc>
          <w:tcPr>
            <w:tcW w:w="820" w:type="dxa"/>
            <w:gridSpan w:val="2"/>
            <w:tcBorders>
              <w:top w:val="single" w:sz="8" w:space="0" w:color="60CAF3"/>
              <w:left w:val="single" w:sz="8" w:space="0" w:color="60CAF3"/>
              <w:bottom w:val="single" w:sz="8" w:space="0" w:color="60CAF3"/>
              <w:right w:val="nil"/>
            </w:tcBorders>
          </w:tcPr>
          <w:p w14:paraId="0AFA7528" w14:textId="77777777" w:rsidR="00AF0CD7" w:rsidRDefault="00AC1DD0">
            <w:pPr>
              <w:spacing w:after="309" w:line="259" w:lineRule="auto"/>
              <w:ind w:left="348" w:firstLine="0"/>
              <w:jc w:val="center"/>
            </w:pPr>
            <w:r>
              <w:t>●</w:t>
            </w:r>
          </w:p>
          <w:p w14:paraId="456D303C" w14:textId="77777777" w:rsidR="00AF0CD7" w:rsidRDefault="00AC1DD0">
            <w:pPr>
              <w:spacing w:after="600" w:line="259" w:lineRule="auto"/>
              <w:ind w:left="348" w:firstLine="0"/>
              <w:jc w:val="center"/>
            </w:pPr>
            <w:r>
              <w:t>●</w:t>
            </w:r>
          </w:p>
          <w:p w14:paraId="08E04A30" w14:textId="77777777" w:rsidR="00AF0CD7" w:rsidRDefault="00AC1DD0">
            <w:pPr>
              <w:spacing w:after="0" w:line="259" w:lineRule="auto"/>
              <w:ind w:left="348" w:firstLine="0"/>
              <w:jc w:val="center"/>
            </w:pPr>
            <w:r>
              <w:t>●</w:t>
            </w:r>
          </w:p>
        </w:tc>
        <w:tc>
          <w:tcPr>
            <w:tcW w:w="5020" w:type="dxa"/>
            <w:tcBorders>
              <w:top w:val="single" w:sz="8" w:space="0" w:color="60CAF3"/>
              <w:left w:val="nil"/>
              <w:bottom w:val="single" w:sz="8" w:space="0" w:color="60CAF3"/>
              <w:right w:val="single" w:sz="8" w:space="0" w:color="60CAF3"/>
            </w:tcBorders>
          </w:tcPr>
          <w:p w14:paraId="1F8AC57E" w14:textId="77777777" w:rsidR="00AF0CD7" w:rsidRDefault="00AC1DD0">
            <w:pPr>
              <w:spacing w:after="0" w:line="301" w:lineRule="auto"/>
              <w:ind w:left="0" w:firstLine="0"/>
            </w:pPr>
            <w:r>
              <w:t>The impact causes significant disruption to services or operations.</w:t>
            </w:r>
          </w:p>
          <w:p w14:paraId="29C73323" w14:textId="77777777" w:rsidR="00AF0CD7" w:rsidRDefault="00AC1DD0">
            <w:pPr>
              <w:spacing w:after="0" w:line="301" w:lineRule="auto"/>
              <w:ind w:left="0" w:firstLine="0"/>
            </w:pPr>
            <w:r>
              <w:t>It may result in substantial financial loss, severe damage to reputation, or considerable resource allocation to address.</w:t>
            </w:r>
          </w:p>
          <w:p w14:paraId="5A01A0AD" w14:textId="77777777" w:rsidR="00AF0CD7" w:rsidRDefault="00AC1DD0">
            <w:pPr>
              <w:spacing w:after="0" w:line="259" w:lineRule="auto"/>
              <w:ind w:left="0" w:firstLine="0"/>
            </w:pPr>
            <w:r>
              <w:t>Recovery from this level of impact requires significant effort and may affect the organization's strategic objectives or long-term pla</w:t>
            </w:r>
            <w:r>
              <w:t>ns.</w:t>
            </w:r>
          </w:p>
        </w:tc>
        <w:tc>
          <w:tcPr>
            <w:tcW w:w="1060" w:type="dxa"/>
            <w:gridSpan w:val="2"/>
            <w:tcBorders>
              <w:top w:val="single" w:sz="8" w:space="0" w:color="60CAF3"/>
              <w:left w:val="single" w:sz="8" w:space="0" w:color="60CAF3"/>
              <w:bottom w:val="single" w:sz="8" w:space="0" w:color="60CAF3"/>
              <w:right w:val="single" w:sz="8" w:space="0" w:color="60CAF3"/>
            </w:tcBorders>
          </w:tcPr>
          <w:p w14:paraId="0B7DFA52" w14:textId="77777777" w:rsidR="00AF0CD7" w:rsidRDefault="00AC1DD0">
            <w:pPr>
              <w:spacing w:after="0" w:line="259" w:lineRule="auto"/>
              <w:ind w:left="100" w:firstLine="0"/>
              <w:jc w:val="center"/>
            </w:pPr>
            <w:r>
              <w:t>4</w:t>
            </w:r>
          </w:p>
        </w:tc>
      </w:tr>
      <w:tr w:rsidR="00AF0CD7" w14:paraId="475CBD8E" w14:textId="77777777">
        <w:trPr>
          <w:trHeight w:val="3163"/>
        </w:trPr>
        <w:tc>
          <w:tcPr>
            <w:tcW w:w="2023" w:type="dxa"/>
            <w:gridSpan w:val="2"/>
            <w:tcBorders>
              <w:top w:val="single" w:sz="8" w:space="0" w:color="60CAF3"/>
              <w:left w:val="single" w:sz="8" w:space="0" w:color="60CAF3"/>
              <w:bottom w:val="single" w:sz="8" w:space="0" w:color="60CAF3"/>
              <w:right w:val="single" w:sz="8" w:space="0" w:color="60CAF3"/>
            </w:tcBorders>
            <w:shd w:val="clear" w:color="auto" w:fill="CAEDFB"/>
          </w:tcPr>
          <w:p w14:paraId="385EFC6A" w14:textId="77777777" w:rsidR="00AF0CD7" w:rsidRDefault="00AC1DD0">
            <w:pPr>
              <w:spacing w:after="0" w:line="259" w:lineRule="auto"/>
              <w:ind w:left="103" w:firstLine="0"/>
              <w:jc w:val="center"/>
            </w:pPr>
            <w:r>
              <w:t>Catastrophic</w:t>
            </w:r>
          </w:p>
        </w:tc>
        <w:tc>
          <w:tcPr>
            <w:tcW w:w="820" w:type="dxa"/>
            <w:gridSpan w:val="2"/>
            <w:tcBorders>
              <w:top w:val="single" w:sz="8" w:space="0" w:color="60CAF3"/>
              <w:left w:val="single" w:sz="8" w:space="0" w:color="60CAF3"/>
              <w:bottom w:val="single" w:sz="8" w:space="0" w:color="60CAF3"/>
              <w:right w:val="nil"/>
            </w:tcBorders>
            <w:shd w:val="clear" w:color="auto" w:fill="CAEDFB"/>
          </w:tcPr>
          <w:p w14:paraId="2F06523D" w14:textId="77777777" w:rsidR="00AF0CD7" w:rsidRDefault="00AC1DD0">
            <w:pPr>
              <w:spacing w:after="600" w:line="259" w:lineRule="auto"/>
              <w:ind w:left="348" w:firstLine="0"/>
              <w:jc w:val="center"/>
            </w:pPr>
            <w:r>
              <w:t>●</w:t>
            </w:r>
          </w:p>
          <w:p w14:paraId="208DBEEF" w14:textId="77777777" w:rsidR="00AF0CD7" w:rsidRDefault="00AC1DD0">
            <w:pPr>
              <w:spacing w:after="600" w:line="259" w:lineRule="auto"/>
              <w:ind w:left="348" w:firstLine="0"/>
              <w:jc w:val="center"/>
            </w:pPr>
            <w:r>
              <w:t>●</w:t>
            </w:r>
          </w:p>
          <w:p w14:paraId="78E2A951" w14:textId="77777777" w:rsidR="00AF0CD7" w:rsidRDefault="00AC1DD0">
            <w:pPr>
              <w:spacing w:after="0" w:line="259" w:lineRule="auto"/>
              <w:ind w:left="348" w:firstLine="0"/>
              <w:jc w:val="center"/>
            </w:pPr>
            <w:r>
              <w:t>●</w:t>
            </w:r>
          </w:p>
        </w:tc>
        <w:tc>
          <w:tcPr>
            <w:tcW w:w="5020" w:type="dxa"/>
            <w:tcBorders>
              <w:top w:val="single" w:sz="8" w:space="0" w:color="60CAF3"/>
              <w:left w:val="nil"/>
              <w:bottom w:val="single" w:sz="8" w:space="0" w:color="60CAF3"/>
              <w:right w:val="single" w:sz="8" w:space="0" w:color="60CAF3"/>
            </w:tcBorders>
            <w:shd w:val="clear" w:color="auto" w:fill="CAEDFB"/>
          </w:tcPr>
          <w:p w14:paraId="2A86881B" w14:textId="77777777" w:rsidR="00AF0CD7" w:rsidRDefault="00AC1DD0">
            <w:pPr>
              <w:spacing w:after="3"/>
              <w:ind w:left="0" w:firstLine="0"/>
            </w:pPr>
            <w:r>
              <w:t>The impact is so severe that it threatens the existence and continued operation of the organization.</w:t>
            </w:r>
          </w:p>
          <w:p w14:paraId="06203B12" w14:textId="77777777" w:rsidR="00AF0CD7" w:rsidRDefault="00AC1DD0">
            <w:pPr>
              <w:spacing w:after="0" w:line="301" w:lineRule="auto"/>
              <w:ind w:left="0" w:firstLine="0"/>
            </w:pPr>
            <w:r>
              <w:t>It could lead to long-term or permanent damage to the organization's reputation, financial stability, or market position.</w:t>
            </w:r>
          </w:p>
          <w:p w14:paraId="1D86CB0D" w14:textId="77777777" w:rsidR="00AF0CD7" w:rsidRDefault="00AC1DD0">
            <w:pPr>
              <w:spacing w:after="0" w:line="259" w:lineRule="auto"/>
              <w:ind w:left="0" w:firstLine="0"/>
            </w:pPr>
            <w:r>
              <w:t>This impact may involve legal ramifications, significant financial losses, and critical damage to organizational assets or stakeholder</w:t>
            </w:r>
            <w:r>
              <w:t xml:space="preserve"> relationships.</w:t>
            </w:r>
          </w:p>
        </w:tc>
        <w:tc>
          <w:tcPr>
            <w:tcW w:w="1060" w:type="dxa"/>
            <w:gridSpan w:val="2"/>
            <w:tcBorders>
              <w:top w:val="single" w:sz="8" w:space="0" w:color="60CAF3"/>
              <w:left w:val="single" w:sz="8" w:space="0" w:color="60CAF3"/>
              <w:bottom w:val="single" w:sz="8" w:space="0" w:color="60CAF3"/>
              <w:right w:val="single" w:sz="8" w:space="0" w:color="60CAF3"/>
            </w:tcBorders>
            <w:shd w:val="clear" w:color="auto" w:fill="CAEDFB"/>
          </w:tcPr>
          <w:p w14:paraId="57287D53" w14:textId="77777777" w:rsidR="00AF0CD7" w:rsidRDefault="00AC1DD0">
            <w:pPr>
              <w:spacing w:after="0" w:line="259" w:lineRule="auto"/>
              <w:ind w:left="100" w:firstLine="0"/>
              <w:jc w:val="center"/>
            </w:pPr>
            <w:r>
              <w:t>5</w:t>
            </w:r>
          </w:p>
        </w:tc>
      </w:tr>
    </w:tbl>
    <w:p w14:paraId="4BE0D9B6" w14:textId="77777777" w:rsidR="00AF0CD7" w:rsidRDefault="00AC1DD0">
      <w:pPr>
        <w:pStyle w:val="Heading1"/>
        <w:ind w:left="-5"/>
      </w:pPr>
      <w:r>
        <w:t xml:space="preserve">Risk </w:t>
      </w:r>
      <w:proofErr w:type="spellStart"/>
      <w:r>
        <w:t>Prioritisation</w:t>
      </w:r>
      <w:proofErr w:type="spellEnd"/>
    </w:p>
    <w:p w14:paraId="0C0CEEE4" w14:textId="420A2EF1" w:rsidR="00AF0CD7" w:rsidRDefault="00C451B3">
      <w:pPr>
        <w:spacing w:after="1039"/>
        <w:ind w:left="-5" w:right="11"/>
      </w:pPr>
      <w:r>
        <w:t>TechSolution.inc</w:t>
      </w:r>
      <w:r w:rsidR="00AC1DD0">
        <w:t xml:space="preserve"> then ranks the risks based on their likelihood and impact to help focus on the most significant ones. Using a combination of (Impact x Likelihood) gives each risk an overall rating. The top priorities are the high likelihood and high impact quadr</w:t>
      </w:r>
      <w:r w:rsidR="00AC1DD0">
        <w:t>ant risks.</w:t>
      </w:r>
    </w:p>
    <w:tbl>
      <w:tblPr>
        <w:tblStyle w:val="TableGrid"/>
        <w:tblW w:w="9003" w:type="dxa"/>
        <w:tblInd w:w="8" w:type="dxa"/>
        <w:tblCellMar>
          <w:top w:w="0" w:type="dxa"/>
          <w:left w:w="0" w:type="dxa"/>
          <w:bottom w:w="32" w:type="dxa"/>
          <w:right w:w="97" w:type="dxa"/>
        </w:tblCellMar>
        <w:tblLook w:val="04A0" w:firstRow="1" w:lastRow="0" w:firstColumn="1" w:lastColumn="0" w:noHBand="0" w:noVBand="1"/>
      </w:tblPr>
      <w:tblGrid>
        <w:gridCol w:w="1042"/>
        <w:gridCol w:w="1360"/>
        <w:gridCol w:w="580"/>
        <w:gridCol w:w="1180"/>
        <w:gridCol w:w="1220"/>
        <w:gridCol w:w="1200"/>
        <w:gridCol w:w="1218"/>
        <w:gridCol w:w="1203"/>
      </w:tblGrid>
      <w:tr w:rsidR="00AF0CD7" w14:paraId="34A195AB" w14:textId="77777777">
        <w:trPr>
          <w:trHeight w:val="801"/>
        </w:trPr>
        <w:tc>
          <w:tcPr>
            <w:tcW w:w="1043"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67355726" w14:textId="77777777" w:rsidR="00AF0CD7" w:rsidRDefault="00AC1DD0">
            <w:pPr>
              <w:spacing w:after="0" w:line="259" w:lineRule="auto"/>
              <w:ind w:left="0" w:firstLine="0"/>
              <w:jc w:val="both"/>
            </w:pPr>
            <w:r>
              <w:rPr>
                <w:b/>
              </w:rPr>
              <w:t>IMPACT</w:t>
            </w:r>
          </w:p>
        </w:tc>
        <w:tc>
          <w:tcPr>
            <w:tcW w:w="1360" w:type="dxa"/>
            <w:tcBorders>
              <w:top w:val="single" w:sz="8" w:space="0" w:color="000000"/>
              <w:left w:val="single" w:sz="8" w:space="0" w:color="000000"/>
              <w:bottom w:val="single" w:sz="8" w:space="0" w:color="000000"/>
              <w:right w:val="single" w:sz="8" w:space="0" w:color="000000"/>
            </w:tcBorders>
            <w:vAlign w:val="center"/>
          </w:tcPr>
          <w:p w14:paraId="045D4119" w14:textId="77777777" w:rsidR="00AF0CD7" w:rsidRDefault="00AC1DD0">
            <w:pPr>
              <w:spacing w:after="0" w:line="259" w:lineRule="auto"/>
              <w:ind w:left="12" w:firstLine="0"/>
              <w:jc w:val="center"/>
            </w:pPr>
            <w:r>
              <w:rPr>
                <w:sz w:val="18"/>
              </w:rPr>
              <w:t>Catastrophic</w:t>
            </w:r>
          </w:p>
        </w:tc>
        <w:tc>
          <w:tcPr>
            <w:tcW w:w="580" w:type="dxa"/>
            <w:tcBorders>
              <w:top w:val="single" w:sz="8" w:space="0" w:color="000000"/>
              <w:left w:val="single" w:sz="8" w:space="0" w:color="000000"/>
              <w:bottom w:val="single" w:sz="8" w:space="0" w:color="000000"/>
              <w:right w:val="single" w:sz="8" w:space="0" w:color="000000"/>
            </w:tcBorders>
            <w:vAlign w:val="center"/>
          </w:tcPr>
          <w:p w14:paraId="08970BF7" w14:textId="77777777" w:rsidR="00AF0CD7" w:rsidRDefault="00AC1DD0">
            <w:pPr>
              <w:spacing w:after="0" w:line="259" w:lineRule="auto"/>
              <w:ind w:left="125" w:firstLine="0"/>
            </w:pPr>
            <w:r>
              <w:rPr>
                <w:b/>
              </w:rPr>
              <w:t>5</w:t>
            </w:r>
          </w:p>
        </w:tc>
        <w:tc>
          <w:tcPr>
            <w:tcW w:w="1180"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25B2B8D5" w14:textId="77777777" w:rsidR="00AF0CD7" w:rsidRDefault="00AC1DD0">
            <w:pPr>
              <w:spacing w:after="0" w:line="259" w:lineRule="auto"/>
              <w:ind w:left="2" w:firstLine="0"/>
              <w:jc w:val="center"/>
            </w:pPr>
            <w:r>
              <w:t>5</w:t>
            </w:r>
          </w:p>
        </w:tc>
        <w:tc>
          <w:tcPr>
            <w:tcW w:w="122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54697C66" w14:textId="77777777" w:rsidR="00AF0CD7" w:rsidRDefault="00AC1DD0">
            <w:pPr>
              <w:spacing w:after="0" w:line="259" w:lineRule="auto"/>
              <w:ind w:left="2" w:firstLine="0"/>
              <w:jc w:val="center"/>
            </w:pPr>
            <w:r>
              <w:t>10</w:t>
            </w:r>
          </w:p>
        </w:tc>
        <w:tc>
          <w:tcPr>
            <w:tcW w:w="12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6DD637A8" w14:textId="77777777" w:rsidR="00AF0CD7" w:rsidRDefault="00AC1DD0">
            <w:pPr>
              <w:spacing w:after="0" w:line="259" w:lineRule="auto"/>
              <w:ind w:left="0" w:right="3" w:firstLine="0"/>
              <w:jc w:val="center"/>
            </w:pPr>
            <w:r>
              <w:t>15</w:t>
            </w:r>
          </w:p>
        </w:tc>
        <w:tc>
          <w:tcPr>
            <w:tcW w:w="1218"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4E2229BB" w14:textId="77777777" w:rsidR="00AF0CD7" w:rsidRDefault="00AC1DD0">
            <w:pPr>
              <w:spacing w:after="0" w:line="259" w:lineRule="auto"/>
              <w:ind w:left="0" w:right="5" w:firstLine="0"/>
              <w:jc w:val="center"/>
            </w:pPr>
            <w:r>
              <w:t>20</w:t>
            </w:r>
          </w:p>
        </w:tc>
        <w:tc>
          <w:tcPr>
            <w:tcW w:w="1203"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0FA7D4F6" w14:textId="77777777" w:rsidR="00AF0CD7" w:rsidRDefault="00AC1DD0">
            <w:pPr>
              <w:spacing w:after="0" w:line="259" w:lineRule="auto"/>
              <w:ind w:left="5" w:firstLine="0"/>
              <w:jc w:val="center"/>
            </w:pPr>
            <w:r>
              <w:t>25</w:t>
            </w:r>
          </w:p>
        </w:tc>
      </w:tr>
      <w:tr w:rsidR="00AF0CD7" w14:paraId="43844E48" w14:textId="77777777">
        <w:trPr>
          <w:trHeight w:val="819"/>
        </w:trPr>
        <w:tc>
          <w:tcPr>
            <w:tcW w:w="0" w:type="auto"/>
            <w:vMerge/>
            <w:tcBorders>
              <w:top w:val="nil"/>
              <w:left w:val="single" w:sz="8" w:space="0" w:color="000000"/>
              <w:bottom w:val="single" w:sz="8" w:space="0" w:color="000000"/>
              <w:right w:val="single" w:sz="8" w:space="0" w:color="000000"/>
            </w:tcBorders>
          </w:tcPr>
          <w:p w14:paraId="35F792B8" w14:textId="77777777" w:rsidR="00AF0CD7" w:rsidRDefault="00AF0CD7">
            <w:pPr>
              <w:spacing w:after="160" w:line="259" w:lineRule="auto"/>
              <w:ind w:left="0" w:firstLine="0"/>
            </w:pPr>
          </w:p>
        </w:tc>
        <w:tc>
          <w:tcPr>
            <w:tcW w:w="1360" w:type="dxa"/>
            <w:tcBorders>
              <w:top w:val="single" w:sz="8" w:space="0" w:color="000000"/>
              <w:left w:val="single" w:sz="8" w:space="0" w:color="000000"/>
              <w:bottom w:val="single" w:sz="8" w:space="0" w:color="000000"/>
              <w:right w:val="single" w:sz="8" w:space="0" w:color="000000"/>
            </w:tcBorders>
            <w:vAlign w:val="bottom"/>
          </w:tcPr>
          <w:p w14:paraId="75C46F43" w14:textId="77777777" w:rsidR="00AF0CD7" w:rsidRDefault="00AC1DD0">
            <w:pPr>
              <w:spacing w:after="0" w:line="259" w:lineRule="auto"/>
              <w:ind w:left="0" w:firstLine="0"/>
              <w:jc w:val="center"/>
            </w:pPr>
            <w:r>
              <w:rPr>
                <w:sz w:val="18"/>
              </w:rPr>
              <w:t>Major Disruption</w:t>
            </w:r>
          </w:p>
        </w:tc>
        <w:tc>
          <w:tcPr>
            <w:tcW w:w="580" w:type="dxa"/>
            <w:tcBorders>
              <w:top w:val="single" w:sz="8" w:space="0" w:color="000000"/>
              <w:left w:val="single" w:sz="8" w:space="0" w:color="000000"/>
              <w:bottom w:val="single" w:sz="8" w:space="0" w:color="000000"/>
              <w:right w:val="single" w:sz="8" w:space="0" w:color="000000"/>
            </w:tcBorders>
            <w:vAlign w:val="center"/>
          </w:tcPr>
          <w:p w14:paraId="0BED560E" w14:textId="77777777" w:rsidR="00AF0CD7" w:rsidRDefault="00AC1DD0">
            <w:pPr>
              <w:spacing w:after="0" w:line="259" w:lineRule="auto"/>
              <w:ind w:left="125" w:firstLine="0"/>
            </w:pPr>
            <w:r>
              <w:rPr>
                <w:b/>
              </w:rPr>
              <w:t>4</w:t>
            </w:r>
          </w:p>
        </w:tc>
        <w:tc>
          <w:tcPr>
            <w:tcW w:w="118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2B0AFC2D" w14:textId="77777777" w:rsidR="00AF0CD7" w:rsidRDefault="00AC1DD0">
            <w:pPr>
              <w:spacing w:after="0" w:line="259" w:lineRule="auto"/>
              <w:ind w:left="2" w:firstLine="0"/>
              <w:jc w:val="center"/>
            </w:pPr>
            <w:r>
              <w:t>4</w:t>
            </w:r>
          </w:p>
        </w:tc>
        <w:tc>
          <w:tcPr>
            <w:tcW w:w="1220"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5F7920D0" w14:textId="77777777" w:rsidR="00AF0CD7" w:rsidRDefault="00AC1DD0">
            <w:pPr>
              <w:spacing w:after="0" w:line="259" w:lineRule="auto"/>
              <w:ind w:left="2" w:firstLine="0"/>
              <w:jc w:val="center"/>
            </w:pPr>
            <w:r>
              <w:t>8</w:t>
            </w:r>
          </w:p>
        </w:tc>
        <w:tc>
          <w:tcPr>
            <w:tcW w:w="1200"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44ECBCEE" w14:textId="77777777" w:rsidR="00AF0CD7" w:rsidRDefault="00AC1DD0">
            <w:pPr>
              <w:spacing w:after="0" w:line="259" w:lineRule="auto"/>
              <w:ind w:left="0" w:right="3" w:firstLine="0"/>
              <w:jc w:val="center"/>
            </w:pPr>
            <w:r>
              <w:t>12</w:t>
            </w:r>
          </w:p>
        </w:tc>
        <w:tc>
          <w:tcPr>
            <w:tcW w:w="121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4918C97B" w14:textId="77777777" w:rsidR="00AF0CD7" w:rsidRDefault="00AC1DD0">
            <w:pPr>
              <w:spacing w:after="0" w:line="259" w:lineRule="auto"/>
              <w:ind w:left="0" w:right="5" w:firstLine="0"/>
              <w:jc w:val="center"/>
            </w:pPr>
            <w:r>
              <w:t>16</w:t>
            </w:r>
          </w:p>
        </w:tc>
        <w:tc>
          <w:tcPr>
            <w:tcW w:w="1203" w:type="dxa"/>
            <w:tcBorders>
              <w:top w:val="single" w:sz="8" w:space="0" w:color="000000"/>
              <w:left w:val="single" w:sz="8" w:space="0" w:color="000000"/>
              <w:bottom w:val="single" w:sz="8" w:space="0" w:color="000000"/>
              <w:right w:val="single" w:sz="8" w:space="0" w:color="000000"/>
            </w:tcBorders>
            <w:shd w:val="clear" w:color="auto" w:fill="FF0000"/>
            <w:vAlign w:val="center"/>
          </w:tcPr>
          <w:p w14:paraId="56F65769" w14:textId="77777777" w:rsidR="00AF0CD7" w:rsidRDefault="00AC1DD0">
            <w:pPr>
              <w:spacing w:after="0" w:line="259" w:lineRule="auto"/>
              <w:ind w:left="5" w:firstLine="0"/>
              <w:jc w:val="center"/>
            </w:pPr>
            <w:r>
              <w:t>20</w:t>
            </w:r>
          </w:p>
        </w:tc>
      </w:tr>
      <w:tr w:rsidR="00AF0CD7" w14:paraId="5B4C0D7A" w14:textId="77777777">
        <w:trPr>
          <w:trHeight w:val="803"/>
        </w:trPr>
        <w:tc>
          <w:tcPr>
            <w:tcW w:w="1043" w:type="dxa"/>
            <w:vMerge w:val="restart"/>
            <w:tcBorders>
              <w:top w:val="single" w:sz="8" w:space="0" w:color="000000"/>
              <w:left w:val="single" w:sz="8" w:space="0" w:color="000000"/>
              <w:bottom w:val="single" w:sz="8" w:space="0" w:color="000000"/>
              <w:right w:val="single" w:sz="8" w:space="0" w:color="000000"/>
            </w:tcBorders>
            <w:shd w:val="clear" w:color="auto" w:fill="D9D9D9"/>
          </w:tcPr>
          <w:p w14:paraId="45BBF2A7" w14:textId="77777777" w:rsidR="00AF0CD7" w:rsidRDefault="00AF0CD7">
            <w:pPr>
              <w:spacing w:after="160" w:line="259" w:lineRule="auto"/>
              <w:ind w:left="0" w:firstLine="0"/>
            </w:pPr>
          </w:p>
        </w:tc>
        <w:tc>
          <w:tcPr>
            <w:tcW w:w="1360" w:type="dxa"/>
            <w:tcBorders>
              <w:top w:val="single" w:sz="8" w:space="0" w:color="000000"/>
              <w:left w:val="single" w:sz="8" w:space="0" w:color="000000"/>
              <w:bottom w:val="single" w:sz="8" w:space="0" w:color="000000"/>
              <w:right w:val="single" w:sz="8" w:space="0" w:color="000000"/>
            </w:tcBorders>
            <w:vAlign w:val="bottom"/>
          </w:tcPr>
          <w:p w14:paraId="5658C9FB" w14:textId="77777777" w:rsidR="00AF0CD7" w:rsidRDefault="00AC1DD0">
            <w:pPr>
              <w:spacing w:after="0" w:line="259" w:lineRule="auto"/>
              <w:ind w:left="0" w:firstLine="0"/>
              <w:jc w:val="center"/>
            </w:pPr>
            <w:r>
              <w:rPr>
                <w:sz w:val="18"/>
              </w:rPr>
              <w:t>Moderate / Workaround</w:t>
            </w:r>
          </w:p>
        </w:tc>
        <w:tc>
          <w:tcPr>
            <w:tcW w:w="580" w:type="dxa"/>
            <w:tcBorders>
              <w:top w:val="single" w:sz="8" w:space="0" w:color="000000"/>
              <w:left w:val="single" w:sz="8" w:space="0" w:color="000000"/>
              <w:bottom w:val="single" w:sz="8" w:space="0" w:color="000000"/>
              <w:right w:val="single" w:sz="8" w:space="0" w:color="000000"/>
            </w:tcBorders>
            <w:vAlign w:val="center"/>
          </w:tcPr>
          <w:p w14:paraId="27498FCE" w14:textId="77777777" w:rsidR="00AF0CD7" w:rsidRDefault="00AC1DD0">
            <w:pPr>
              <w:spacing w:after="0" w:line="259" w:lineRule="auto"/>
              <w:ind w:left="229" w:firstLine="0"/>
            </w:pPr>
            <w:r>
              <w:rPr>
                <w:b/>
              </w:rPr>
              <w:t>3</w:t>
            </w:r>
          </w:p>
        </w:tc>
        <w:tc>
          <w:tcPr>
            <w:tcW w:w="118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4C1EA1B6" w14:textId="77777777" w:rsidR="00AF0CD7" w:rsidRDefault="00AC1DD0">
            <w:pPr>
              <w:spacing w:after="0" w:line="259" w:lineRule="auto"/>
              <w:ind w:left="92" w:firstLine="0"/>
              <w:jc w:val="center"/>
            </w:pPr>
            <w:r>
              <w:t>3</w:t>
            </w:r>
          </w:p>
        </w:tc>
        <w:tc>
          <w:tcPr>
            <w:tcW w:w="1220"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4E2E8EB8" w14:textId="77777777" w:rsidR="00AF0CD7" w:rsidRDefault="00AC1DD0">
            <w:pPr>
              <w:spacing w:after="0" w:line="259" w:lineRule="auto"/>
              <w:ind w:left="92" w:firstLine="0"/>
              <w:jc w:val="center"/>
            </w:pPr>
            <w:r>
              <w:t>6</w:t>
            </w:r>
          </w:p>
        </w:tc>
        <w:tc>
          <w:tcPr>
            <w:tcW w:w="1200"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6B260D3F" w14:textId="77777777" w:rsidR="00AF0CD7" w:rsidRDefault="00AC1DD0">
            <w:pPr>
              <w:spacing w:after="0" w:line="259" w:lineRule="auto"/>
              <w:ind w:left="87" w:firstLine="0"/>
              <w:jc w:val="center"/>
            </w:pPr>
            <w:r>
              <w:t>9</w:t>
            </w:r>
          </w:p>
        </w:tc>
        <w:tc>
          <w:tcPr>
            <w:tcW w:w="1218"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2DD71303" w14:textId="77777777" w:rsidR="00AF0CD7" w:rsidRDefault="00AC1DD0">
            <w:pPr>
              <w:spacing w:after="0" w:line="259" w:lineRule="auto"/>
              <w:ind w:left="85" w:firstLine="0"/>
              <w:jc w:val="center"/>
            </w:pPr>
            <w:r>
              <w:t>12</w:t>
            </w:r>
          </w:p>
        </w:tc>
        <w:tc>
          <w:tcPr>
            <w:tcW w:w="1203"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2F012DF0" w14:textId="77777777" w:rsidR="00AF0CD7" w:rsidRDefault="00AC1DD0">
            <w:pPr>
              <w:spacing w:after="0" w:line="259" w:lineRule="auto"/>
              <w:ind w:left="95" w:firstLine="0"/>
              <w:jc w:val="center"/>
            </w:pPr>
            <w:r>
              <w:t>15</w:t>
            </w:r>
          </w:p>
        </w:tc>
      </w:tr>
      <w:tr w:rsidR="00AF0CD7" w14:paraId="7FB0B0F5" w14:textId="77777777">
        <w:trPr>
          <w:trHeight w:val="818"/>
        </w:trPr>
        <w:tc>
          <w:tcPr>
            <w:tcW w:w="0" w:type="auto"/>
            <w:vMerge/>
            <w:tcBorders>
              <w:top w:val="nil"/>
              <w:left w:val="single" w:sz="8" w:space="0" w:color="000000"/>
              <w:bottom w:val="nil"/>
              <w:right w:val="single" w:sz="8" w:space="0" w:color="000000"/>
            </w:tcBorders>
          </w:tcPr>
          <w:p w14:paraId="0FADF17E" w14:textId="77777777" w:rsidR="00AF0CD7" w:rsidRDefault="00AF0CD7">
            <w:pPr>
              <w:spacing w:after="160" w:line="259" w:lineRule="auto"/>
              <w:ind w:left="0" w:firstLine="0"/>
            </w:pPr>
          </w:p>
        </w:tc>
        <w:tc>
          <w:tcPr>
            <w:tcW w:w="1360" w:type="dxa"/>
            <w:tcBorders>
              <w:top w:val="single" w:sz="8" w:space="0" w:color="000000"/>
              <w:left w:val="single" w:sz="8" w:space="0" w:color="000000"/>
              <w:bottom w:val="single" w:sz="8" w:space="0" w:color="000000"/>
              <w:right w:val="single" w:sz="8" w:space="0" w:color="000000"/>
            </w:tcBorders>
            <w:vAlign w:val="bottom"/>
          </w:tcPr>
          <w:p w14:paraId="1F161F08" w14:textId="77777777" w:rsidR="00AF0CD7" w:rsidRDefault="00AC1DD0">
            <w:pPr>
              <w:spacing w:after="0" w:line="259" w:lineRule="auto"/>
              <w:ind w:left="0" w:firstLine="0"/>
              <w:jc w:val="center"/>
            </w:pPr>
            <w:r>
              <w:rPr>
                <w:sz w:val="18"/>
              </w:rPr>
              <w:t>Minor / Inconvenience</w:t>
            </w:r>
          </w:p>
        </w:tc>
        <w:tc>
          <w:tcPr>
            <w:tcW w:w="580" w:type="dxa"/>
            <w:tcBorders>
              <w:top w:val="single" w:sz="8" w:space="0" w:color="000000"/>
              <w:left w:val="single" w:sz="8" w:space="0" w:color="000000"/>
              <w:bottom w:val="single" w:sz="8" w:space="0" w:color="000000"/>
              <w:right w:val="single" w:sz="8" w:space="0" w:color="000000"/>
            </w:tcBorders>
            <w:vAlign w:val="center"/>
          </w:tcPr>
          <w:p w14:paraId="2EB1287C" w14:textId="77777777" w:rsidR="00AF0CD7" w:rsidRDefault="00AC1DD0">
            <w:pPr>
              <w:spacing w:after="0" w:line="259" w:lineRule="auto"/>
              <w:ind w:left="229" w:firstLine="0"/>
            </w:pPr>
            <w:r>
              <w:rPr>
                <w:b/>
              </w:rPr>
              <w:t>2</w:t>
            </w:r>
          </w:p>
        </w:tc>
        <w:tc>
          <w:tcPr>
            <w:tcW w:w="118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5D6AE7D3" w14:textId="77777777" w:rsidR="00AF0CD7" w:rsidRDefault="00AC1DD0">
            <w:pPr>
              <w:spacing w:after="0" w:line="259" w:lineRule="auto"/>
              <w:ind w:left="92" w:firstLine="0"/>
              <w:jc w:val="center"/>
            </w:pPr>
            <w:r>
              <w:t>2</w:t>
            </w:r>
          </w:p>
        </w:tc>
        <w:tc>
          <w:tcPr>
            <w:tcW w:w="122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694C6E21" w14:textId="77777777" w:rsidR="00AF0CD7" w:rsidRDefault="00AC1DD0">
            <w:pPr>
              <w:spacing w:after="0" w:line="259" w:lineRule="auto"/>
              <w:ind w:left="92" w:firstLine="0"/>
              <w:jc w:val="center"/>
            </w:pPr>
            <w:r>
              <w:t>4</w:t>
            </w:r>
          </w:p>
        </w:tc>
        <w:tc>
          <w:tcPr>
            <w:tcW w:w="1200"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3429D815" w14:textId="77777777" w:rsidR="00AF0CD7" w:rsidRDefault="00AC1DD0">
            <w:pPr>
              <w:spacing w:after="0" w:line="259" w:lineRule="auto"/>
              <w:ind w:left="87" w:firstLine="0"/>
              <w:jc w:val="center"/>
            </w:pPr>
            <w:r>
              <w:t>6</w:t>
            </w:r>
          </w:p>
        </w:tc>
        <w:tc>
          <w:tcPr>
            <w:tcW w:w="1218"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44536D47" w14:textId="77777777" w:rsidR="00AF0CD7" w:rsidRDefault="00AC1DD0">
            <w:pPr>
              <w:spacing w:after="0" w:line="259" w:lineRule="auto"/>
              <w:ind w:left="85" w:firstLine="0"/>
              <w:jc w:val="center"/>
            </w:pPr>
            <w:r>
              <w:t>8</w:t>
            </w:r>
          </w:p>
        </w:tc>
        <w:tc>
          <w:tcPr>
            <w:tcW w:w="1203" w:type="dxa"/>
            <w:tcBorders>
              <w:top w:val="single" w:sz="8" w:space="0" w:color="000000"/>
              <w:left w:val="single" w:sz="8" w:space="0" w:color="000000"/>
              <w:bottom w:val="single" w:sz="8" w:space="0" w:color="000000"/>
              <w:right w:val="single" w:sz="8" w:space="0" w:color="000000"/>
            </w:tcBorders>
            <w:shd w:val="clear" w:color="auto" w:fill="FF9900"/>
            <w:vAlign w:val="center"/>
          </w:tcPr>
          <w:p w14:paraId="4F9419DA" w14:textId="77777777" w:rsidR="00AF0CD7" w:rsidRDefault="00AC1DD0">
            <w:pPr>
              <w:spacing w:after="0" w:line="259" w:lineRule="auto"/>
              <w:ind w:left="95" w:firstLine="0"/>
              <w:jc w:val="center"/>
            </w:pPr>
            <w:r>
              <w:t>10</w:t>
            </w:r>
          </w:p>
        </w:tc>
      </w:tr>
      <w:tr w:rsidR="00AF0CD7" w14:paraId="65B20C49" w14:textId="77777777">
        <w:trPr>
          <w:trHeight w:val="803"/>
        </w:trPr>
        <w:tc>
          <w:tcPr>
            <w:tcW w:w="0" w:type="auto"/>
            <w:vMerge/>
            <w:tcBorders>
              <w:top w:val="nil"/>
              <w:left w:val="single" w:sz="8" w:space="0" w:color="000000"/>
              <w:bottom w:val="single" w:sz="8" w:space="0" w:color="000000"/>
              <w:right w:val="single" w:sz="8" w:space="0" w:color="000000"/>
            </w:tcBorders>
          </w:tcPr>
          <w:p w14:paraId="3881B55E" w14:textId="77777777" w:rsidR="00AF0CD7" w:rsidRDefault="00AF0CD7">
            <w:pPr>
              <w:spacing w:after="160" w:line="259" w:lineRule="auto"/>
              <w:ind w:left="0" w:firstLine="0"/>
            </w:pPr>
          </w:p>
        </w:tc>
        <w:tc>
          <w:tcPr>
            <w:tcW w:w="1360" w:type="dxa"/>
            <w:tcBorders>
              <w:top w:val="single" w:sz="8" w:space="0" w:color="000000"/>
              <w:left w:val="single" w:sz="8" w:space="0" w:color="000000"/>
              <w:bottom w:val="single" w:sz="8" w:space="0" w:color="000000"/>
              <w:right w:val="single" w:sz="8" w:space="0" w:color="000000"/>
            </w:tcBorders>
            <w:vAlign w:val="center"/>
          </w:tcPr>
          <w:p w14:paraId="6317B57B" w14:textId="77777777" w:rsidR="00AF0CD7" w:rsidRDefault="00AC1DD0">
            <w:pPr>
              <w:spacing w:after="0" w:line="259" w:lineRule="auto"/>
              <w:ind w:left="102" w:firstLine="0"/>
              <w:jc w:val="center"/>
            </w:pPr>
            <w:r>
              <w:rPr>
                <w:sz w:val="18"/>
              </w:rPr>
              <w:t>Insignificant</w:t>
            </w:r>
          </w:p>
        </w:tc>
        <w:tc>
          <w:tcPr>
            <w:tcW w:w="580" w:type="dxa"/>
            <w:tcBorders>
              <w:top w:val="single" w:sz="8" w:space="0" w:color="000000"/>
              <w:left w:val="single" w:sz="8" w:space="0" w:color="000000"/>
              <w:bottom w:val="single" w:sz="8" w:space="0" w:color="000000"/>
              <w:right w:val="single" w:sz="8" w:space="0" w:color="000000"/>
            </w:tcBorders>
            <w:vAlign w:val="center"/>
          </w:tcPr>
          <w:p w14:paraId="1F9A23D3" w14:textId="77777777" w:rsidR="00AF0CD7" w:rsidRDefault="00AC1DD0">
            <w:pPr>
              <w:spacing w:after="0" w:line="259" w:lineRule="auto"/>
              <w:ind w:left="229" w:firstLine="0"/>
            </w:pPr>
            <w:r>
              <w:rPr>
                <w:b/>
              </w:rPr>
              <w:t>1</w:t>
            </w:r>
          </w:p>
        </w:tc>
        <w:tc>
          <w:tcPr>
            <w:tcW w:w="118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775D1DF5" w14:textId="77777777" w:rsidR="00AF0CD7" w:rsidRDefault="00AC1DD0">
            <w:pPr>
              <w:spacing w:after="0" w:line="259" w:lineRule="auto"/>
              <w:ind w:left="92" w:firstLine="0"/>
              <w:jc w:val="center"/>
            </w:pPr>
            <w:r>
              <w:t>1</w:t>
            </w:r>
          </w:p>
        </w:tc>
        <w:tc>
          <w:tcPr>
            <w:tcW w:w="122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4A5324B5" w14:textId="77777777" w:rsidR="00AF0CD7" w:rsidRDefault="00AC1DD0">
            <w:pPr>
              <w:spacing w:after="0" w:line="259" w:lineRule="auto"/>
              <w:ind w:left="92" w:firstLine="0"/>
              <w:jc w:val="center"/>
            </w:pPr>
            <w:r>
              <w:t>2</w:t>
            </w:r>
          </w:p>
        </w:tc>
        <w:tc>
          <w:tcPr>
            <w:tcW w:w="1200"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72B41263" w14:textId="77777777" w:rsidR="00AF0CD7" w:rsidRDefault="00AC1DD0">
            <w:pPr>
              <w:spacing w:after="0" w:line="259" w:lineRule="auto"/>
              <w:ind w:left="87" w:firstLine="0"/>
              <w:jc w:val="center"/>
            </w:pPr>
            <w:r>
              <w:t>3</w:t>
            </w:r>
          </w:p>
        </w:tc>
        <w:tc>
          <w:tcPr>
            <w:tcW w:w="1218" w:type="dxa"/>
            <w:tcBorders>
              <w:top w:val="single" w:sz="8" w:space="0" w:color="000000"/>
              <w:left w:val="single" w:sz="8" w:space="0" w:color="000000"/>
              <w:bottom w:val="single" w:sz="8" w:space="0" w:color="000000"/>
              <w:right w:val="single" w:sz="8" w:space="0" w:color="000000"/>
            </w:tcBorders>
            <w:shd w:val="clear" w:color="auto" w:fill="00FF00"/>
            <w:vAlign w:val="center"/>
          </w:tcPr>
          <w:p w14:paraId="0132499E" w14:textId="77777777" w:rsidR="00AF0CD7" w:rsidRDefault="00AC1DD0">
            <w:pPr>
              <w:spacing w:after="0" w:line="259" w:lineRule="auto"/>
              <w:ind w:left="85" w:firstLine="0"/>
              <w:jc w:val="center"/>
            </w:pPr>
            <w:r>
              <w:t>4</w:t>
            </w:r>
          </w:p>
        </w:tc>
        <w:tc>
          <w:tcPr>
            <w:tcW w:w="1203" w:type="dxa"/>
            <w:tcBorders>
              <w:top w:val="single" w:sz="8" w:space="0" w:color="000000"/>
              <w:left w:val="single" w:sz="8" w:space="0" w:color="000000"/>
              <w:bottom w:val="single" w:sz="8" w:space="0" w:color="000000"/>
              <w:right w:val="single" w:sz="8" w:space="0" w:color="000000"/>
            </w:tcBorders>
            <w:shd w:val="clear" w:color="auto" w:fill="FFFF00"/>
            <w:vAlign w:val="center"/>
          </w:tcPr>
          <w:p w14:paraId="013EEA60" w14:textId="77777777" w:rsidR="00AF0CD7" w:rsidRDefault="00AC1DD0">
            <w:pPr>
              <w:spacing w:after="0" w:line="259" w:lineRule="auto"/>
              <w:ind w:left="95" w:firstLine="0"/>
              <w:jc w:val="center"/>
            </w:pPr>
            <w:r>
              <w:t>5</w:t>
            </w:r>
          </w:p>
        </w:tc>
      </w:tr>
      <w:tr w:rsidR="00AF0CD7" w14:paraId="4EB04CBA" w14:textId="77777777">
        <w:trPr>
          <w:trHeight w:val="540"/>
        </w:trPr>
        <w:tc>
          <w:tcPr>
            <w:tcW w:w="2403" w:type="dxa"/>
            <w:gridSpan w:val="2"/>
            <w:tcBorders>
              <w:top w:val="single" w:sz="8" w:space="0" w:color="000000"/>
              <w:left w:val="nil"/>
              <w:bottom w:val="nil"/>
              <w:right w:val="nil"/>
            </w:tcBorders>
            <w:shd w:val="clear" w:color="auto" w:fill="FFFFFF"/>
          </w:tcPr>
          <w:p w14:paraId="7A8E46AF" w14:textId="77777777" w:rsidR="00AF0CD7" w:rsidRDefault="00AF0CD7">
            <w:pPr>
              <w:spacing w:after="160" w:line="259" w:lineRule="auto"/>
              <w:ind w:left="0" w:firstLine="0"/>
            </w:pPr>
          </w:p>
        </w:tc>
        <w:tc>
          <w:tcPr>
            <w:tcW w:w="580" w:type="dxa"/>
            <w:tcBorders>
              <w:top w:val="single" w:sz="8" w:space="0" w:color="000000"/>
              <w:left w:val="nil"/>
              <w:bottom w:val="nil"/>
              <w:right w:val="single" w:sz="8" w:space="0" w:color="000000"/>
            </w:tcBorders>
            <w:shd w:val="clear" w:color="auto" w:fill="FFFFFF"/>
          </w:tcPr>
          <w:p w14:paraId="3F3AAA53" w14:textId="77777777" w:rsidR="00AF0CD7" w:rsidRDefault="00AF0CD7">
            <w:pPr>
              <w:spacing w:after="160" w:line="259" w:lineRule="auto"/>
              <w:ind w:left="0" w:firstLine="0"/>
            </w:pPr>
          </w:p>
        </w:tc>
        <w:tc>
          <w:tcPr>
            <w:tcW w:w="1180" w:type="dxa"/>
            <w:tcBorders>
              <w:top w:val="single" w:sz="8" w:space="0" w:color="000000"/>
              <w:left w:val="single" w:sz="8" w:space="0" w:color="000000"/>
              <w:bottom w:val="single" w:sz="8" w:space="0" w:color="000000"/>
              <w:right w:val="single" w:sz="8" w:space="0" w:color="000000"/>
            </w:tcBorders>
            <w:vAlign w:val="bottom"/>
          </w:tcPr>
          <w:p w14:paraId="48A50AA4" w14:textId="77777777" w:rsidR="00AF0CD7" w:rsidRDefault="00AC1DD0">
            <w:pPr>
              <w:spacing w:after="0" w:line="259" w:lineRule="auto"/>
              <w:ind w:left="92" w:firstLine="0"/>
              <w:jc w:val="center"/>
            </w:pPr>
            <w:r>
              <w:rPr>
                <w:b/>
              </w:rPr>
              <w:t>1</w:t>
            </w:r>
          </w:p>
        </w:tc>
        <w:tc>
          <w:tcPr>
            <w:tcW w:w="1220" w:type="dxa"/>
            <w:tcBorders>
              <w:top w:val="single" w:sz="8" w:space="0" w:color="000000"/>
              <w:left w:val="single" w:sz="8" w:space="0" w:color="000000"/>
              <w:bottom w:val="single" w:sz="8" w:space="0" w:color="000000"/>
              <w:right w:val="single" w:sz="8" w:space="0" w:color="000000"/>
            </w:tcBorders>
            <w:vAlign w:val="bottom"/>
          </w:tcPr>
          <w:p w14:paraId="7E962345" w14:textId="77777777" w:rsidR="00AF0CD7" w:rsidRDefault="00AC1DD0">
            <w:pPr>
              <w:spacing w:after="0" w:line="259" w:lineRule="auto"/>
              <w:ind w:left="92" w:firstLine="0"/>
              <w:jc w:val="center"/>
            </w:pPr>
            <w:r>
              <w:rPr>
                <w:b/>
              </w:rPr>
              <w:t>2</w:t>
            </w:r>
          </w:p>
        </w:tc>
        <w:tc>
          <w:tcPr>
            <w:tcW w:w="1200" w:type="dxa"/>
            <w:tcBorders>
              <w:top w:val="single" w:sz="8" w:space="0" w:color="000000"/>
              <w:left w:val="single" w:sz="8" w:space="0" w:color="000000"/>
              <w:bottom w:val="single" w:sz="8" w:space="0" w:color="000000"/>
              <w:right w:val="single" w:sz="8" w:space="0" w:color="000000"/>
            </w:tcBorders>
            <w:vAlign w:val="bottom"/>
          </w:tcPr>
          <w:p w14:paraId="60D40B45" w14:textId="77777777" w:rsidR="00AF0CD7" w:rsidRDefault="00AC1DD0">
            <w:pPr>
              <w:spacing w:after="0" w:line="259" w:lineRule="auto"/>
              <w:ind w:left="87" w:firstLine="0"/>
              <w:jc w:val="center"/>
            </w:pPr>
            <w:r>
              <w:rPr>
                <w:b/>
              </w:rPr>
              <w:t>3</w:t>
            </w:r>
          </w:p>
        </w:tc>
        <w:tc>
          <w:tcPr>
            <w:tcW w:w="1218" w:type="dxa"/>
            <w:tcBorders>
              <w:top w:val="single" w:sz="8" w:space="0" w:color="000000"/>
              <w:left w:val="single" w:sz="8" w:space="0" w:color="000000"/>
              <w:bottom w:val="single" w:sz="8" w:space="0" w:color="000000"/>
              <w:right w:val="single" w:sz="8" w:space="0" w:color="000000"/>
            </w:tcBorders>
            <w:vAlign w:val="bottom"/>
          </w:tcPr>
          <w:p w14:paraId="41C143FD" w14:textId="77777777" w:rsidR="00AF0CD7" w:rsidRDefault="00AC1DD0">
            <w:pPr>
              <w:spacing w:after="0" w:line="259" w:lineRule="auto"/>
              <w:ind w:left="85" w:firstLine="0"/>
              <w:jc w:val="center"/>
            </w:pPr>
            <w:r>
              <w:rPr>
                <w:b/>
              </w:rPr>
              <w:t>4</w:t>
            </w:r>
          </w:p>
        </w:tc>
        <w:tc>
          <w:tcPr>
            <w:tcW w:w="1203" w:type="dxa"/>
            <w:tcBorders>
              <w:top w:val="single" w:sz="8" w:space="0" w:color="000000"/>
              <w:left w:val="single" w:sz="8" w:space="0" w:color="000000"/>
              <w:bottom w:val="single" w:sz="8" w:space="0" w:color="000000"/>
              <w:right w:val="single" w:sz="8" w:space="0" w:color="000000"/>
            </w:tcBorders>
            <w:shd w:val="clear" w:color="auto" w:fill="FFFFFF"/>
            <w:vAlign w:val="bottom"/>
          </w:tcPr>
          <w:p w14:paraId="2E5A064C" w14:textId="77777777" w:rsidR="00AF0CD7" w:rsidRDefault="00AC1DD0">
            <w:pPr>
              <w:spacing w:after="0" w:line="259" w:lineRule="auto"/>
              <w:ind w:left="95" w:firstLine="0"/>
              <w:jc w:val="center"/>
            </w:pPr>
            <w:r>
              <w:rPr>
                <w:b/>
              </w:rPr>
              <w:t>5</w:t>
            </w:r>
          </w:p>
        </w:tc>
      </w:tr>
      <w:tr w:rsidR="00AF0CD7" w14:paraId="08DA56A4" w14:textId="77777777">
        <w:trPr>
          <w:trHeight w:val="740"/>
        </w:trPr>
        <w:tc>
          <w:tcPr>
            <w:tcW w:w="2403" w:type="dxa"/>
            <w:gridSpan w:val="2"/>
            <w:vMerge w:val="restart"/>
            <w:tcBorders>
              <w:top w:val="nil"/>
              <w:left w:val="nil"/>
              <w:bottom w:val="nil"/>
              <w:right w:val="nil"/>
            </w:tcBorders>
          </w:tcPr>
          <w:p w14:paraId="5C7C6179" w14:textId="77777777" w:rsidR="00AF0CD7" w:rsidRDefault="00AF0CD7">
            <w:pPr>
              <w:spacing w:after="160" w:line="259" w:lineRule="auto"/>
              <w:ind w:left="0" w:firstLine="0"/>
            </w:pPr>
          </w:p>
        </w:tc>
        <w:tc>
          <w:tcPr>
            <w:tcW w:w="580" w:type="dxa"/>
            <w:vMerge w:val="restart"/>
            <w:tcBorders>
              <w:top w:val="nil"/>
              <w:left w:val="nil"/>
              <w:bottom w:val="nil"/>
              <w:right w:val="single" w:sz="8" w:space="0" w:color="000000"/>
            </w:tcBorders>
          </w:tcPr>
          <w:p w14:paraId="2AB439FF" w14:textId="77777777" w:rsidR="00AF0CD7" w:rsidRDefault="00AF0CD7">
            <w:pPr>
              <w:spacing w:after="160" w:line="259" w:lineRule="auto"/>
              <w:ind w:left="0" w:firstLine="0"/>
            </w:pPr>
          </w:p>
        </w:tc>
        <w:tc>
          <w:tcPr>
            <w:tcW w:w="1180" w:type="dxa"/>
            <w:tcBorders>
              <w:top w:val="single" w:sz="8" w:space="0" w:color="000000"/>
              <w:left w:val="single" w:sz="8" w:space="0" w:color="000000"/>
              <w:bottom w:val="single" w:sz="8" w:space="0" w:color="000000"/>
              <w:right w:val="single" w:sz="8" w:space="0" w:color="000000"/>
            </w:tcBorders>
            <w:vAlign w:val="center"/>
          </w:tcPr>
          <w:p w14:paraId="5F21B9B6" w14:textId="77777777" w:rsidR="00AF0CD7" w:rsidRDefault="00AC1DD0">
            <w:pPr>
              <w:spacing w:after="0" w:line="259" w:lineRule="auto"/>
              <w:ind w:left="92" w:firstLine="0"/>
              <w:jc w:val="center"/>
            </w:pPr>
            <w:r>
              <w:rPr>
                <w:sz w:val="18"/>
              </w:rPr>
              <w:t>Remote</w:t>
            </w:r>
          </w:p>
        </w:tc>
        <w:tc>
          <w:tcPr>
            <w:tcW w:w="1220" w:type="dxa"/>
            <w:tcBorders>
              <w:top w:val="single" w:sz="8" w:space="0" w:color="000000"/>
              <w:left w:val="single" w:sz="8" w:space="0" w:color="000000"/>
              <w:bottom w:val="single" w:sz="8" w:space="0" w:color="000000"/>
              <w:right w:val="single" w:sz="8" w:space="0" w:color="000000"/>
            </w:tcBorders>
            <w:vAlign w:val="center"/>
          </w:tcPr>
          <w:p w14:paraId="2BDE5F4C" w14:textId="77777777" w:rsidR="00AF0CD7" w:rsidRDefault="00AC1DD0">
            <w:pPr>
              <w:spacing w:after="0" w:line="259" w:lineRule="auto"/>
              <w:ind w:left="92" w:firstLine="0"/>
              <w:jc w:val="center"/>
            </w:pPr>
            <w:r>
              <w:rPr>
                <w:sz w:val="18"/>
              </w:rPr>
              <w:t>Unlikely</w:t>
            </w:r>
          </w:p>
        </w:tc>
        <w:tc>
          <w:tcPr>
            <w:tcW w:w="1200" w:type="dxa"/>
            <w:tcBorders>
              <w:top w:val="single" w:sz="8" w:space="0" w:color="000000"/>
              <w:left w:val="single" w:sz="8" w:space="0" w:color="000000"/>
              <w:bottom w:val="single" w:sz="8" w:space="0" w:color="000000"/>
              <w:right w:val="single" w:sz="8" w:space="0" w:color="000000"/>
            </w:tcBorders>
            <w:vAlign w:val="center"/>
          </w:tcPr>
          <w:p w14:paraId="0CFABAD5" w14:textId="77777777" w:rsidR="00AF0CD7" w:rsidRDefault="00AC1DD0">
            <w:pPr>
              <w:spacing w:after="0" w:line="259" w:lineRule="auto"/>
              <w:ind w:left="87" w:firstLine="0"/>
              <w:jc w:val="center"/>
            </w:pPr>
            <w:r>
              <w:rPr>
                <w:sz w:val="18"/>
              </w:rPr>
              <w:t>Possible</w:t>
            </w:r>
          </w:p>
        </w:tc>
        <w:tc>
          <w:tcPr>
            <w:tcW w:w="1218" w:type="dxa"/>
            <w:tcBorders>
              <w:top w:val="single" w:sz="8" w:space="0" w:color="000000"/>
              <w:left w:val="single" w:sz="8" w:space="0" w:color="000000"/>
              <w:bottom w:val="single" w:sz="8" w:space="0" w:color="000000"/>
              <w:right w:val="single" w:sz="8" w:space="0" w:color="000000"/>
            </w:tcBorders>
            <w:vAlign w:val="center"/>
          </w:tcPr>
          <w:p w14:paraId="09DE3727" w14:textId="77777777" w:rsidR="00AF0CD7" w:rsidRDefault="00AC1DD0">
            <w:pPr>
              <w:spacing w:after="0" w:line="259" w:lineRule="auto"/>
              <w:ind w:left="85" w:firstLine="0"/>
              <w:jc w:val="center"/>
            </w:pPr>
            <w:r>
              <w:rPr>
                <w:sz w:val="18"/>
              </w:rPr>
              <w:t>Probable</w:t>
            </w:r>
          </w:p>
        </w:tc>
        <w:tc>
          <w:tcPr>
            <w:tcW w:w="1203" w:type="dxa"/>
            <w:tcBorders>
              <w:top w:val="single" w:sz="8" w:space="0" w:color="000000"/>
              <w:left w:val="single" w:sz="8" w:space="0" w:color="000000"/>
              <w:bottom w:val="single" w:sz="8" w:space="0" w:color="000000"/>
              <w:right w:val="single" w:sz="8" w:space="0" w:color="000000"/>
            </w:tcBorders>
            <w:vAlign w:val="bottom"/>
          </w:tcPr>
          <w:p w14:paraId="2CF6885E" w14:textId="77777777" w:rsidR="00AF0CD7" w:rsidRDefault="00AC1DD0">
            <w:pPr>
              <w:spacing w:after="0" w:line="259" w:lineRule="auto"/>
              <w:ind w:left="0" w:firstLine="0"/>
              <w:jc w:val="center"/>
            </w:pPr>
            <w:r>
              <w:rPr>
                <w:sz w:val="18"/>
              </w:rPr>
              <w:t>Highly Probable</w:t>
            </w:r>
          </w:p>
        </w:tc>
      </w:tr>
      <w:tr w:rsidR="00AF0CD7" w14:paraId="31664F8C" w14:textId="77777777">
        <w:trPr>
          <w:trHeight w:val="543"/>
        </w:trPr>
        <w:tc>
          <w:tcPr>
            <w:tcW w:w="0" w:type="auto"/>
            <w:gridSpan w:val="2"/>
            <w:vMerge/>
            <w:tcBorders>
              <w:top w:val="nil"/>
              <w:left w:val="nil"/>
              <w:bottom w:val="nil"/>
              <w:right w:val="nil"/>
            </w:tcBorders>
          </w:tcPr>
          <w:p w14:paraId="3B3A98E9" w14:textId="77777777" w:rsidR="00AF0CD7" w:rsidRDefault="00AF0CD7">
            <w:pPr>
              <w:spacing w:after="160" w:line="259" w:lineRule="auto"/>
              <w:ind w:left="0" w:firstLine="0"/>
            </w:pPr>
          </w:p>
        </w:tc>
        <w:tc>
          <w:tcPr>
            <w:tcW w:w="0" w:type="auto"/>
            <w:vMerge/>
            <w:tcBorders>
              <w:top w:val="nil"/>
              <w:left w:val="nil"/>
              <w:bottom w:val="nil"/>
              <w:right w:val="single" w:sz="8" w:space="0" w:color="000000"/>
            </w:tcBorders>
          </w:tcPr>
          <w:p w14:paraId="5208F97C" w14:textId="77777777" w:rsidR="00AF0CD7" w:rsidRDefault="00AF0CD7">
            <w:pPr>
              <w:spacing w:after="160" w:line="259" w:lineRule="auto"/>
              <w:ind w:left="0" w:firstLine="0"/>
            </w:pPr>
          </w:p>
        </w:tc>
        <w:tc>
          <w:tcPr>
            <w:tcW w:w="1180" w:type="dxa"/>
            <w:tcBorders>
              <w:top w:val="single" w:sz="8" w:space="0" w:color="000000"/>
              <w:left w:val="single" w:sz="8" w:space="0" w:color="000000"/>
              <w:bottom w:val="single" w:sz="8" w:space="0" w:color="000000"/>
              <w:right w:val="nil"/>
            </w:tcBorders>
            <w:shd w:val="clear" w:color="auto" w:fill="D9D9D9"/>
          </w:tcPr>
          <w:p w14:paraId="3D57F7E4" w14:textId="77777777" w:rsidR="00AF0CD7" w:rsidRDefault="00AF0CD7">
            <w:pPr>
              <w:spacing w:after="160" w:line="259" w:lineRule="auto"/>
              <w:ind w:left="0" w:firstLine="0"/>
            </w:pPr>
          </w:p>
        </w:tc>
        <w:tc>
          <w:tcPr>
            <w:tcW w:w="1220" w:type="dxa"/>
            <w:tcBorders>
              <w:top w:val="single" w:sz="8" w:space="0" w:color="000000"/>
              <w:left w:val="nil"/>
              <w:bottom w:val="single" w:sz="8" w:space="0" w:color="000000"/>
              <w:right w:val="nil"/>
            </w:tcBorders>
            <w:shd w:val="clear" w:color="auto" w:fill="D9D9D9"/>
          </w:tcPr>
          <w:p w14:paraId="72CDCA9B" w14:textId="77777777" w:rsidR="00AF0CD7" w:rsidRDefault="00AF0CD7">
            <w:pPr>
              <w:spacing w:after="160" w:line="259" w:lineRule="auto"/>
              <w:ind w:left="0" w:firstLine="0"/>
            </w:pPr>
          </w:p>
        </w:tc>
        <w:tc>
          <w:tcPr>
            <w:tcW w:w="2418" w:type="dxa"/>
            <w:gridSpan w:val="2"/>
            <w:tcBorders>
              <w:top w:val="single" w:sz="8" w:space="0" w:color="000000"/>
              <w:left w:val="nil"/>
              <w:bottom w:val="single" w:sz="8" w:space="0" w:color="000000"/>
              <w:right w:val="nil"/>
            </w:tcBorders>
            <w:shd w:val="clear" w:color="auto" w:fill="D9D9D9"/>
            <w:vAlign w:val="bottom"/>
          </w:tcPr>
          <w:p w14:paraId="5BE281E9" w14:textId="77777777" w:rsidR="00AF0CD7" w:rsidRDefault="00AC1DD0">
            <w:pPr>
              <w:spacing w:after="0" w:line="259" w:lineRule="auto"/>
              <w:ind w:left="-68" w:firstLine="0"/>
            </w:pPr>
            <w:r>
              <w:rPr>
                <w:b/>
              </w:rPr>
              <w:t>LIKELIHOOD</w:t>
            </w:r>
          </w:p>
        </w:tc>
        <w:tc>
          <w:tcPr>
            <w:tcW w:w="1203" w:type="dxa"/>
            <w:tcBorders>
              <w:top w:val="single" w:sz="8" w:space="0" w:color="000000"/>
              <w:left w:val="nil"/>
              <w:bottom w:val="single" w:sz="8" w:space="0" w:color="000000"/>
              <w:right w:val="single" w:sz="8" w:space="0" w:color="000000"/>
            </w:tcBorders>
            <w:shd w:val="clear" w:color="auto" w:fill="D9D9D9"/>
          </w:tcPr>
          <w:p w14:paraId="1B9EAD2D" w14:textId="77777777" w:rsidR="00AF0CD7" w:rsidRDefault="00AF0CD7">
            <w:pPr>
              <w:spacing w:after="160" w:line="259" w:lineRule="auto"/>
              <w:ind w:left="0" w:firstLine="0"/>
            </w:pPr>
          </w:p>
        </w:tc>
      </w:tr>
    </w:tbl>
    <w:p w14:paraId="3D066A2D" w14:textId="77777777" w:rsidR="00AF0CD7" w:rsidRDefault="00AC1DD0">
      <w:pPr>
        <w:numPr>
          <w:ilvl w:val="0"/>
          <w:numId w:val="4"/>
        </w:numPr>
        <w:spacing w:after="14"/>
        <w:ind w:right="11" w:hanging="421"/>
      </w:pPr>
      <w:r>
        <w:t>Red: Extreme risks that threaten the continued operation of the organization.</w:t>
      </w:r>
    </w:p>
    <w:p w14:paraId="3A2422A7" w14:textId="77777777" w:rsidR="00AF0CD7" w:rsidRDefault="00AC1DD0">
      <w:pPr>
        <w:numPr>
          <w:ilvl w:val="0"/>
          <w:numId w:val="4"/>
        </w:numPr>
        <w:spacing w:after="14"/>
        <w:ind w:right="11" w:hanging="421"/>
      </w:pPr>
      <w:r>
        <w:t>Amber: Moderate risks that threaten service operations.</w:t>
      </w:r>
    </w:p>
    <w:p w14:paraId="17524680" w14:textId="77777777" w:rsidR="00AF0CD7" w:rsidRDefault="00AC1DD0">
      <w:pPr>
        <w:numPr>
          <w:ilvl w:val="0"/>
          <w:numId w:val="4"/>
        </w:numPr>
        <w:spacing w:after="14"/>
        <w:ind w:right="11" w:hanging="421"/>
      </w:pPr>
      <w:r>
        <w:t>Yellow: Lower risks that would cause inconvenience but could be worked around.</w:t>
      </w:r>
    </w:p>
    <w:p w14:paraId="4A674A35" w14:textId="77777777" w:rsidR="00AF0CD7" w:rsidRDefault="00AC1DD0">
      <w:pPr>
        <w:numPr>
          <w:ilvl w:val="0"/>
          <w:numId w:val="4"/>
        </w:numPr>
        <w:spacing w:after="1261"/>
        <w:ind w:right="11" w:hanging="421"/>
      </w:pPr>
      <w:r>
        <w:t>Green: Insignificant risks that should be resolved but would cause no notable operational issues.</w:t>
      </w:r>
    </w:p>
    <w:p w14:paraId="7796A572" w14:textId="77777777" w:rsidR="00AF0CD7" w:rsidRDefault="00AC1DD0">
      <w:pPr>
        <w:pStyle w:val="Heading1"/>
        <w:ind w:left="-5"/>
      </w:pPr>
      <w:r>
        <w:t>Risk Mitigation</w:t>
      </w:r>
    </w:p>
    <w:p w14:paraId="69561094" w14:textId="77777777" w:rsidR="00AF0CD7" w:rsidRDefault="00AC1DD0">
      <w:pPr>
        <w:ind w:left="-5" w:right="11"/>
      </w:pPr>
      <w:r>
        <w:t>The Information Security team will then develop strategies to manage the prioritized risks. There are four main approaches to risk mitigation:</w:t>
      </w:r>
    </w:p>
    <w:p w14:paraId="25C6FBDF" w14:textId="77777777" w:rsidR="00AF0CD7" w:rsidRDefault="00AC1DD0">
      <w:pPr>
        <w:numPr>
          <w:ilvl w:val="0"/>
          <w:numId w:val="5"/>
        </w:numPr>
        <w:spacing w:after="8"/>
        <w:ind w:right="11" w:hanging="360"/>
      </w:pPr>
      <w:r>
        <w:rPr>
          <w:b/>
        </w:rPr>
        <w:t>Accept</w:t>
      </w:r>
      <w:r>
        <w:t>: If a risk has a low likelihood and impact, it might be acceptable to acknowledge and monitor it.</w:t>
      </w:r>
    </w:p>
    <w:p w14:paraId="5DB96863" w14:textId="77777777" w:rsidR="00AF0CD7" w:rsidRDefault="00AC1DD0">
      <w:pPr>
        <w:numPr>
          <w:ilvl w:val="0"/>
          <w:numId w:val="5"/>
        </w:numPr>
        <w:spacing w:after="14"/>
        <w:ind w:right="11" w:hanging="360"/>
      </w:pPr>
      <w:r>
        <w:rPr>
          <w:b/>
        </w:rPr>
        <w:t>Avoid</w:t>
      </w:r>
      <w:r>
        <w:t>: If possible, change your plans to avoid the risk altogether.</w:t>
      </w:r>
    </w:p>
    <w:p w14:paraId="2CE677A8" w14:textId="77777777" w:rsidR="00AF0CD7" w:rsidRDefault="00AC1DD0">
      <w:pPr>
        <w:numPr>
          <w:ilvl w:val="0"/>
          <w:numId w:val="5"/>
        </w:numPr>
        <w:spacing w:after="14"/>
        <w:ind w:right="11" w:hanging="360"/>
      </w:pPr>
      <w:r>
        <w:rPr>
          <w:b/>
        </w:rPr>
        <w:t>Transfer</w:t>
      </w:r>
      <w:r>
        <w:t>: Shift the risk to another party (e.g., through insurance or outsourcing)</w:t>
      </w:r>
      <w:r>
        <w:t>.</w:t>
      </w:r>
    </w:p>
    <w:p w14:paraId="20892BC5" w14:textId="77777777" w:rsidR="00AF0CD7" w:rsidRDefault="00AC1DD0">
      <w:pPr>
        <w:numPr>
          <w:ilvl w:val="0"/>
          <w:numId w:val="5"/>
        </w:numPr>
        <w:ind w:right="11" w:hanging="360"/>
      </w:pPr>
      <w:r>
        <w:rPr>
          <w:b/>
        </w:rPr>
        <w:t>Mitigate</w:t>
      </w:r>
      <w:r>
        <w:t>: Implement actions to reduce the likelihood and/or impact of the risk (e.g., additional training, backup plans, diversifying suppliers).</w:t>
      </w:r>
    </w:p>
    <w:p w14:paraId="4960DFD6" w14:textId="77777777" w:rsidR="00AF0CD7" w:rsidRDefault="00AC1DD0">
      <w:pPr>
        <w:ind w:left="-5" w:right="11"/>
      </w:pPr>
      <w:r>
        <w:t>Risk mitigation plans are then created and monitored, and ownership is assigned for resolving risks to a sat</w:t>
      </w:r>
      <w:r>
        <w:t>isfactory level with which the [Company Name] is comfortable.</w:t>
      </w:r>
    </w:p>
    <w:p w14:paraId="2477E238" w14:textId="77777777" w:rsidR="00AF0CD7" w:rsidRDefault="00AC1DD0">
      <w:pPr>
        <w:ind w:left="-5" w:right="11"/>
      </w:pPr>
      <w:r>
        <w:t>The risk log must clearly document the selected risk treatment options (accept, avoid, transfer, mitigate).</w:t>
      </w:r>
    </w:p>
    <w:p w14:paraId="262E5124" w14:textId="77777777" w:rsidR="00AF0CD7" w:rsidRDefault="00AC1DD0">
      <w:pPr>
        <w:ind w:left="-5" w:right="11"/>
      </w:pPr>
      <w:r>
        <w:t xml:space="preserve">Each decision should be justified based on the risk assessment and the organization's </w:t>
      </w:r>
      <w:r>
        <w:t>risk appetite.</w:t>
      </w:r>
    </w:p>
    <w:p w14:paraId="59EBA0E7" w14:textId="77777777" w:rsidR="00AF0CD7" w:rsidRDefault="00AC1DD0">
      <w:pPr>
        <w:pStyle w:val="Heading2"/>
        <w:spacing w:after="542"/>
        <w:ind w:left="-5" w:hanging="10"/>
      </w:pPr>
      <w:r>
        <w:rPr>
          <w:sz w:val="22"/>
          <w:u w:val="single" w:color="000000"/>
        </w:rPr>
        <w:t>Documentation</w:t>
      </w:r>
    </w:p>
    <w:tbl>
      <w:tblPr>
        <w:tblStyle w:val="TableGrid"/>
        <w:tblW w:w="8863" w:type="dxa"/>
        <w:tblInd w:w="8" w:type="dxa"/>
        <w:tblCellMar>
          <w:top w:w="0" w:type="dxa"/>
          <w:left w:w="95" w:type="dxa"/>
          <w:bottom w:w="33" w:type="dxa"/>
          <w:right w:w="115" w:type="dxa"/>
        </w:tblCellMar>
        <w:tblLook w:val="04A0" w:firstRow="1" w:lastRow="0" w:firstColumn="1" w:lastColumn="0" w:noHBand="0" w:noVBand="1"/>
      </w:tblPr>
      <w:tblGrid>
        <w:gridCol w:w="1863"/>
        <w:gridCol w:w="7000"/>
      </w:tblGrid>
      <w:tr w:rsidR="00AF0CD7" w14:paraId="07F62163" w14:textId="77777777">
        <w:trPr>
          <w:trHeight w:val="825"/>
        </w:trPr>
        <w:tc>
          <w:tcPr>
            <w:tcW w:w="1863" w:type="dxa"/>
            <w:tcBorders>
              <w:top w:val="single" w:sz="8" w:space="0" w:color="0F9ED5"/>
              <w:left w:val="nil"/>
              <w:bottom w:val="single" w:sz="8" w:space="0" w:color="0F9ED5"/>
              <w:right w:val="nil"/>
            </w:tcBorders>
            <w:shd w:val="clear" w:color="auto" w:fill="0F9ED5"/>
            <w:vAlign w:val="center"/>
          </w:tcPr>
          <w:p w14:paraId="3F889B0E" w14:textId="77777777" w:rsidR="00AF0CD7" w:rsidRDefault="00AC1DD0">
            <w:pPr>
              <w:spacing w:after="0" w:line="259" w:lineRule="auto"/>
              <w:ind w:left="3" w:firstLine="0"/>
            </w:pPr>
            <w:r>
              <w:rPr>
                <w:b/>
                <w:color w:val="FFFFFF"/>
              </w:rPr>
              <w:t>Accept</w:t>
            </w:r>
          </w:p>
        </w:tc>
        <w:tc>
          <w:tcPr>
            <w:tcW w:w="7000" w:type="dxa"/>
            <w:tcBorders>
              <w:top w:val="single" w:sz="8" w:space="0" w:color="0F9ED5"/>
              <w:left w:val="nil"/>
              <w:bottom w:val="single" w:sz="8" w:space="0" w:color="0F9ED5"/>
              <w:right w:val="single" w:sz="8" w:space="0" w:color="0F9ED5"/>
            </w:tcBorders>
            <w:shd w:val="clear" w:color="auto" w:fill="0F9ED5"/>
            <w:vAlign w:val="bottom"/>
          </w:tcPr>
          <w:p w14:paraId="76B13974" w14:textId="77777777" w:rsidR="00AF0CD7" w:rsidRDefault="00AC1DD0">
            <w:pPr>
              <w:spacing w:after="0" w:line="259" w:lineRule="auto"/>
              <w:ind w:left="0" w:firstLine="0"/>
            </w:pPr>
            <w:r>
              <w:rPr>
                <w:b/>
                <w:color w:val="FFFFFF"/>
              </w:rPr>
              <w:t>Provide justification for accepting the risk, including a cost-benefit analysis if applicable.</w:t>
            </w:r>
          </w:p>
        </w:tc>
      </w:tr>
      <w:tr w:rsidR="00AF0CD7" w14:paraId="45F8D561" w14:textId="77777777">
        <w:trPr>
          <w:trHeight w:val="555"/>
        </w:trPr>
        <w:tc>
          <w:tcPr>
            <w:tcW w:w="1863" w:type="dxa"/>
            <w:tcBorders>
              <w:top w:val="single" w:sz="8" w:space="0" w:color="0F9ED5"/>
              <w:left w:val="single" w:sz="8" w:space="0" w:color="60CAF3"/>
              <w:bottom w:val="single" w:sz="8" w:space="0" w:color="60CAF3"/>
              <w:right w:val="single" w:sz="8" w:space="0" w:color="60CAF3"/>
            </w:tcBorders>
            <w:shd w:val="clear" w:color="auto" w:fill="CAEDFB"/>
            <w:vAlign w:val="bottom"/>
          </w:tcPr>
          <w:p w14:paraId="086B8B64" w14:textId="77777777" w:rsidR="00AF0CD7" w:rsidRDefault="00AC1DD0">
            <w:pPr>
              <w:spacing w:after="0" w:line="259" w:lineRule="auto"/>
              <w:ind w:left="3" w:firstLine="0"/>
            </w:pPr>
            <w:r>
              <w:rPr>
                <w:b/>
              </w:rPr>
              <w:t>Avoid</w:t>
            </w:r>
          </w:p>
        </w:tc>
        <w:tc>
          <w:tcPr>
            <w:tcW w:w="7000" w:type="dxa"/>
            <w:tcBorders>
              <w:top w:val="single" w:sz="8" w:space="0" w:color="0F9ED5"/>
              <w:left w:val="single" w:sz="8" w:space="0" w:color="60CAF3"/>
              <w:bottom w:val="single" w:sz="8" w:space="0" w:color="60CAF3"/>
              <w:right w:val="single" w:sz="8" w:space="0" w:color="60CAF3"/>
            </w:tcBorders>
            <w:shd w:val="clear" w:color="auto" w:fill="CAEDFB"/>
            <w:vAlign w:val="bottom"/>
          </w:tcPr>
          <w:p w14:paraId="20CF2630" w14:textId="77777777" w:rsidR="00AF0CD7" w:rsidRDefault="00AC1DD0">
            <w:pPr>
              <w:spacing w:after="0" w:line="259" w:lineRule="auto"/>
              <w:ind w:left="0" w:firstLine="0"/>
            </w:pPr>
            <w:r>
              <w:t>Describe the changes made to plans or processes to avoid the risk.</w:t>
            </w:r>
          </w:p>
        </w:tc>
      </w:tr>
      <w:tr w:rsidR="00AF0CD7" w14:paraId="5BCDA784" w14:textId="77777777">
        <w:trPr>
          <w:trHeight w:val="840"/>
        </w:trPr>
        <w:tc>
          <w:tcPr>
            <w:tcW w:w="1863" w:type="dxa"/>
            <w:tcBorders>
              <w:top w:val="single" w:sz="8" w:space="0" w:color="60CAF3"/>
              <w:left w:val="single" w:sz="8" w:space="0" w:color="60CAF3"/>
              <w:bottom w:val="single" w:sz="8" w:space="0" w:color="60CAF3"/>
              <w:right w:val="single" w:sz="8" w:space="0" w:color="60CAF3"/>
            </w:tcBorders>
            <w:vAlign w:val="center"/>
          </w:tcPr>
          <w:p w14:paraId="761ED130" w14:textId="77777777" w:rsidR="00AF0CD7" w:rsidRDefault="00AC1DD0">
            <w:pPr>
              <w:spacing w:after="0" w:line="259" w:lineRule="auto"/>
              <w:ind w:left="3" w:firstLine="0"/>
            </w:pPr>
            <w:r>
              <w:rPr>
                <w:b/>
              </w:rPr>
              <w:t>Transfer</w:t>
            </w:r>
          </w:p>
        </w:tc>
        <w:tc>
          <w:tcPr>
            <w:tcW w:w="7000" w:type="dxa"/>
            <w:tcBorders>
              <w:top w:val="single" w:sz="8" w:space="0" w:color="60CAF3"/>
              <w:left w:val="single" w:sz="8" w:space="0" w:color="60CAF3"/>
              <w:bottom w:val="single" w:sz="8" w:space="0" w:color="60CAF3"/>
              <w:right w:val="single" w:sz="8" w:space="0" w:color="60CAF3"/>
            </w:tcBorders>
            <w:vAlign w:val="bottom"/>
          </w:tcPr>
          <w:p w14:paraId="174C0E4F" w14:textId="77777777" w:rsidR="00AF0CD7" w:rsidRDefault="00AC1DD0">
            <w:pPr>
              <w:spacing w:after="0" w:line="259" w:lineRule="auto"/>
              <w:ind w:left="0" w:firstLine="0"/>
            </w:pPr>
            <w:r>
              <w:t>Detail the mechanisms for transferring the risk, such as insurance or outsourcing, and the associated agreements.</w:t>
            </w:r>
          </w:p>
        </w:tc>
      </w:tr>
      <w:tr w:rsidR="00AF0CD7" w14:paraId="2AA2386D" w14:textId="77777777">
        <w:trPr>
          <w:trHeight w:val="825"/>
        </w:trPr>
        <w:tc>
          <w:tcPr>
            <w:tcW w:w="1863" w:type="dxa"/>
            <w:tcBorders>
              <w:top w:val="single" w:sz="8" w:space="0" w:color="60CAF3"/>
              <w:left w:val="single" w:sz="8" w:space="0" w:color="60CAF3"/>
              <w:bottom w:val="single" w:sz="8" w:space="0" w:color="60CAF3"/>
              <w:right w:val="single" w:sz="8" w:space="0" w:color="60CAF3"/>
            </w:tcBorders>
            <w:shd w:val="clear" w:color="auto" w:fill="CAEDFB"/>
            <w:vAlign w:val="center"/>
          </w:tcPr>
          <w:p w14:paraId="7BA06358" w14:textId="77777777" w:rsidR="00AF0CD7" w:rsidRDefault="00AC1DD0">
            <w:pPr>
              <w:spacing w:after="0" w:line="259" w:lineRule="auto"/>
              <w:ind w:left="3" w:firstLine="0"/>
            </w:pPr>
            <w:r>
              <w:rPr>
                <w:b/>
              </w:rPr>
              <w:t>Mitigate</w:t>
            </w:r>
          </w:p>
        </w:tc>
        <w:tc>
          <w:tcPr>
            <w:tcW w:w="7000" w:type="dxa"/>
            <w:tcBorders>
              <w:top w:val="single" w:sz="8" w:space="0" w:color="60CAF3"/>
              <w:left w:val="single" w:sz="8" w:space="0" w:color="60CAF3"/>
              <w:bottom w:val="single" w:sz="8" w:space="0" w:color="60CAF3"/>
              <w:right w:val="single" w:sz="8" w:space="0" w:color="60CAF3"/>
            </w:tcBorders>
            <w:shd w:val="clear" w:color="auto" w:fill="CAEDFB"/>
            <w:vAlign w:val="bottom"/>
          </w:tcPr>
          <w:p w14:paraId="5310127D" w14:textId="77777777" w:rsidR="00AF0CD7" w:rsidRDefault="00AC1DD0">
            <w:pPr>
              <w:spacing w:after="0" w:line="259" w:lineRule="auto"/>
              <w:ind w:left="0" w:firstLine="0"/>
            </w:pPr>
            <w:r>
              <w:t>Outline the specific actions taken to reduce the risk, including technical, administrative, and physical controls.</w:t>
            </w:r>
          </w:p>
        </w:tc>
      </w:tr>
    </w:tbl>
    <w:p w14:paraId="2C5B8078" w14:textId="77777777" w:rsidR="00AF0CD7" w:rsidRDefault="00AC1DD0">
      <w:pPr>
        <w:spacing w:after="1022"/>
        <w:ind w:left="-5" w:right="11"/>
      </w:pPr>
      <w:r>
        <w:t>Risk treatment decisions should be recorded in the risk log, approved by the respective risk owner, and reviewed by the Information Security</w:t>
      </w:r>
      <w:r>
        <w:t xml:space="preserve"> Officer (ISO).</w:t>
      </w:r>
    </w:p>
    <w:p w14:paraId="4D5C5163" w14:textId="77777777" w:rsidR="00AF0CD7" w:rsidRDefault="00AC1DD0">
      <w:pPr>
        <w:pStyle w:val="Heading2"/>
      </w:pPr>
      <w:r>
        <w:t>Risk Acceptance Criteria</w:t>
      </w:r>
    </w:p>
    <w:p w14:paraId="69AB1BFA" w14:textId="77777777" w:rsidR="00AF0CD7" w:rsidRDefault="00AC1DD0">
      <w:pPr>
        <w:ind w:left="-5" w:right="11"/>
      </w:pPr>
      <w:r>
        <w:t>Risk acceptance criteria are defined as the level of risk that the organization is willing to accept without further mitigation.</w:t>
      </w:r>
    </w:p>
    <w:p w14:paraId="645D3DEE" w14:textId="77777777" w:rsidR="00AF0CD7" w:rsidRDefault="00AC1DD0">
      <w:pPr>
        <w:ind w:left="-5" w:right="11"/>
      </w:pPr>
      <w:r>
        <w:t xml:space="preserve">The criteria are approved by top management based on the organization's risk appetite </w:t>
      </w:r>
      <w:r>
        <w:t>and strategic objectives.</w:t>
      </w:r>
    </w:p>
    <w:p w14:paraId="681DB3D1" w14:textId="77777777" w:rsidR="00AF0CD7" w:rsidRDefault="00AC1DD0">
      <w:pPr>
        <w:pStyle w:val="Heading3"/>
        <w:ind w:left="-5"/>
      </w:pPr>
      <w:r>
        <w:t>Criteria</w:t>
      </w:r>
    </w:p>
    <w:tbl>
      <w:tblPr>
        <w:tblStyle w:val="TableGrid"/>
        <w:tblW w:w="8863" w:type="dxa"/>
        <w:tblInd w:w="8" w:type="dxa"/>
        <w:tblCellMar>
          <w:top w:w="294" w:type="dxa"/>
          <w:left w:w="0" w:type="dxa"/>
          <w:bottom w:w="33" w:type="dxa"/>
          <w:right w:w="115" w:type="dxa"/>
        </w:tblCellMar>
        <w:tblLook w:val="04A0" w:firstRow="1" w:lastRow="0" w:firstColumn="1" w:lastColumn="0" w:noHBand="0" w:noVBand="1"/>
      </w:tblPr>
      <w:tblGrid>
        <w:gridCol w:w="3443"/>
        <w:gridCol w:w="5420"/>
      </w:tblGrid>
      <w:tr w:rsidR="00AF0CD7" w14:paraId="1F8C07BF" w14:textId="77777777">
        <w:trPr>
          <w:trHeight w:val="825"/>
        </w:trPr>
        <w:tc>
          <w:tcPr>
            <w:tcW w:w="3443" w:type="dxa"/>
            <w:tcBorders>
              <w:top w:val="single" w:sz="8" w:space="0" w:color="0F9ED5"/>
              <w:left w:val="nil"/>
              <w:bottom w:val="single" w:sz="8" w:space="0" w:color="0F9ED5"/>
              <w:right w:val="nil"/>
            </w:tcBorders>
            <w:shd w:val="clear" w:color="auto" w:fill="0F9ED5"/>
            <w:vAlign w:val="center"/>
          </w:tcPr>
          <w:p w14:paraId="56884964" w14:textId="77777777" w:rsidR="00AF0CD7" w:rsidRDefault="00AC1DD0">
            <w:pPr>
              <w:spacing w:after="0" w:line="259" w:lineRule="auto"/>
              <w:ind w:left="98" w:firstLine="0"/>
            </w:pPr>
            <w:r>
              <w:rPr>
                <w:b/>
                <w:color w:val="FFFFFF"/>
              </w:rPr>
              <w:t>Low Risks (Score 1-4</w:t>
            </w:r>
            <w:proofErr w:type="gramStart"/>
            <w:r>
              <w:rPr>
                <w:b/>
                <w:color w:val="FFFFFF"/>
              </w:rPr>
              <w:t>):*</w:t>
            </w:r>
            <w:proofErr w:type="gramEnd"/>
            <w:r>
              <w:rPr>
                <w:b/>
                <w:color w:val="FFFFFF"/>
              </w:rPr>
              <w:t>*</w:t>
            </w:r>
          </w:p>
        </w:tc>
        <w:tc>
          <w:tcPr>
            <w:tcW w:w="5420" w:type="dxa"/>
            <w:tcBorders>
              <w:top w:val="single" w:sz="8" w:space="0" w:color="0F9ED5"/>
              <w:left w:val="nil"/>
              <w:bottom w:val="single" w:sz="8" w:space="0" w:color="0F9ED5"/>
              <w:right w:val="single" w:sz="8" w:space="0" w:color="0F9ED5"/>
            </w:tcBorders>
            <w:shd w:val="clear" w:color="auto" w:fill="0F9ED5"/>
            <w:vAlign w:val="bottom"/>
          </w:tcPr>
          <w:p w14:paraId="457473D2" w14:textId="77777777" w:rsidR="00AF0CD7" w:rsidRDefault="00AC1DD0">
            <w:pPr>
              <w:spacing w:after="0" w:line="259" w:lineRule="auto"/>
              <w:ind w:left="0" w:firstLine="0"/>
            </w:pPr>
            <w:r>
              <w:rPr>
                <w:b/>
                <w:color w:val="FFFFFF"/>
              </w:rPr>
              <w:t>Acceptable without further treatment, but should be monitored.</w:t>
            </w:r>
          </w:p>
        </w:tc>
      </w:tr>
      <w:tr w:rsidR="00AF0CD7" w14:paraId="2C95D234" w14:textId="77777777">
        <w:trPr>
          <w:trHeight w:val="840"/>
        </w:trPr>
        <w:tc>
          <w:tcPr>
            <w:tcW w:w="3443" w:type="dxa"/>
            <w:tcBorders>
              <w:top w:val="single" w:sz="8" w:space="0" w:color="0F9ED5"/>
              <w:left w:val="single" w:sz="8" w:space="0" w:color="60CAF3"/>
              <w:bottom w:val="single" w:sz="8" w:space="0" w:color="60CAF3"/>
              <w:right w:val="nil"/>
            </w:tcBorders>
            <w:shd w:val="clear" w:color="auto" w:fill="CAEDFB"/>
            <w:vAlign w:val="center"/>
          </w:tcPr>
          <w:p w14:paraId="5A11F6AA" w14:textId="77777777" w:rsidR="00AF0CD7" w:rsidRDefault="00AC1DD0">
            <w:pPr>
              <w:spacing w:after="0" w:line="259" w:lineRule="auto"/>
              <w:ind w:left="98" w:firstLine="0"/>
            </w:pPr>
            <w:r>
              <w:rPr>
                <w:b/>
              </w:rPr>
              <w:t>Medium Risks (Score 5-10</w:t>
            </w:r>
          </w:p>
        </w:tc>
        <w:tc>
          <w:tcPr>
            <w:tcW w:w="5420" w:type="dxa"/>
            <w:tcBorders>
              <w:top w:val="single" w:sz="8" w:space="0" w:color="0F9ED5"/>
              <w:left w:val="nil"/>
              <w:bottom w:val="single" w:sz="8" w:space="0" w:color="60CAF3"/>
              <w:right w:val="single" w:sz="8" w:space="0" w:color="60CAF3"/>
            </w:tcBorders>
            <w:shd w:val="clear" w:color="auto" w:fill="CAEDFB"/>
            <w:vAlign w:val="bottom"/>
          </w:tcPr>
          <w:p w14:paraId="7E30AE26" w14:textId="77777777" w:rsidR="00AF0CD7" w:rsidRDefault="00AC1DD0">
            <w:pPr>
              <w:spacing w:after="0" w:line="259" w:lineRule="auto"/>
              <w:ind w:left="0" w:right="13" w:firstLine="0"/>
            </w:pPr>
            <w:r>
              <w:t>It may be accepted if the cost of mitigation exceeds the benefits. Requires management approval.</w:t>
            </w:r>
          </w:p>
        </w:tc>
      </w:tr>
      <w:tr w:rsidR="00AF0CD7" w14:paraId="644328A2" w14:textId="77777777">
        <w:trPr>
          <w:trHeight w:val="1137"/>
        </w:trPr>
        <w:tc>
          <w:tcPr>
            <w:tcW w:w="3443" w:type="dxa"/>
            <w:tcBorders>
              <w:top w:val="single" w:sz="8" w:space="0" w:color="60CAF3"/>
              <w:left w:val="single" w:sz="8" w:space="0" w:color="60CAF3"/>
              <w:bottom w:val="single" w:sz="8" w:space="0" w:color="60CAF3"/>
              <w:right w:val="nil"/>
            </w:tcBorders>
          </w:tcPr>
          <w:p w14:paraId="0AADEC09" w14:textId="77777777" w:rsidR="00AF0CD7" w:rsidRDefault="00AC1DD0">
            <w:pPr>
              <w:spacing w:after="0" w:line="259" w:lineRule="auto"/>
              <w:ind w:left="98" w:firstLine="0"/>
            </w:pPr>
            <w:r>
              <w:rPr>
                <w:b/>
              </w:rPr>
              <w:t>High Risks (Score 11-15</w:t>
            </w:r>
            <w:proofErr w:type="gramStart"/>
            <w:r>
              <w:rPr>
                <w:b/>
              </w:rPr>
              <w:t>):*</w:t>
            </w:r>
            <w:proofErr w:type="gramEnd"/>
            <w:r>
              <w:rPr>
                <w:b/>
              </w:rPr>
              <w:t>*</w:t>
            </w:r>
          </w:p>
        </w:tc>
        <w:tc>
          <w:tcPr>
            <w:tcW w:w="5420" w:type="dxa"/>
            <w:tcBorders>
              <w:top w:val="single" w:sz="8" w:space="0" w:color="60CAF3"/>
              <w:left w:val="nil"/>
              <w:bottom w:val="single" w:sz="8" w:space="0" w:color="60CAF3"/>
              <w:right w:val="single" w:sz="8" w:space="0" w:color="60CAF3"/>
            </w:tcBorders>
            <w:vAlign w:val="bottom"/>
          </w:tcPr>
          <w:p w14:paraId="4D44D243" w14:textId="77777777" w:rsidR="00AF0CD7" w:rsidRDefault="00AC1DD0">
            <w:pPr>
              <w:spacing w:after="0" w:line="259" w:lineRule="auto"/>
              <w:ind w:left="0" w:firstLine="0"/>
            </w:pPr>
            <w:r>
              <w:t>Require mitigation measures to reduce risk to an acceptable level. Cannot be accepted without a comprehensive risk treatment plan.</w:t>
            </w:r>
          </w:p>
        </w:tc>
      </w:tr>
      <w:tr w:rsidR="00AF0CD7" w14:paraId="0B6BE393" w14:textId="77777777">
        <w:trPr>
          <w:trHeight w:val="826"/>
        </w:trPr>
        <w:tc>
          <w:tcPr>
            <w:tcW w:w="3443" w:type="dxa"/>
            <w:tcBorders>
              <w:top w:val="single" w:sz="8" w:space="0" w:color="60CAF3"/>
              <w:left w:val="single" w:sz="8" w:space="0" w:color="60CAF3"/>
              <w:bottom w:val="single" w:sz="8" w:space="0" w:color="60CAF3"/>
              <w:right w:val="nil"/>
            </w:tcBorders>
            <w:shd w:val="clear" w:color="auto" w:fill="CAEDFB"/>
            <w:vAlign w:val="center"/>
          </w:tcPr>
          <w:p w14:paraId="7F7AB5F3" w14:textId="77777777" w:rsidR="00AF0CD7" w:rsidRDefault="00AC1DD0">
            <w:pPr>
              <w:spacing w:after="0" w:line="259" w:lineRule="auto"/>
              <w:ind w:left="98" w:firstLine="0"/>
            </w:pPr>
            <w:r>
              <w:rPr>
                <w:b/>
              </w:rPr>
              <w:t>Critical Risks (Score 16-25)</w:t>
            </w:r>
          </w:p>
        </w:tc>
        <w:tc>
          <w:tcPr>
            <w:tcW w:w="5420" w:type="dxa"/>
            <w:tcBorders>
              <w:top w:val="single" w:sz="8" w:space="0" w:color="60CAF3"/>
              <w:left w:val="nil"/>
              <w:bottom w:val="single" w:sz="8" w:space="0" w:color="60CAF3"/>
              <w:right w:val="single" w:sz="8" w:space="0" w:color="60CAF3"/>
            </w:tcBorders>
            <w:shd w:val="clear" w:color="auto" w:fill="CAEDFB"/>
            <w:vAlign w:val="bottom"/>
          </w:tcPr>
          <w:p w14:paraId="21A32916" w14:textId="77777777" w:rsidR="00AF0CD7" w:rsidRDefault="00AC1DD0">
            <w:pPr>
              <w:spacing w:after="0" w:line="259" w:lineRule="auto"/>
              <w:ind w:left="0" w:firstLine="0"/>
            </w:pPr>
            <w:r>
              <w:t>Unacceptable. Immediate action is required to mitigate or transfer the risk.</w:t>
            </w:r>
          </w:p>
        </w:tc>
      </w:tr>
    </w:tbl>
    <w:p w14:paraId="450622D1" w14:textId="77777777" w:rsidR="00AF0CD7" w:rsidRDefault="00AC1DD0">
      <w:pPr>
        <w:spacing w:after="1797"/>
        <w:ind w:left="-5" w:right="11"/>
      </w:pPr>
      <w:r>
        <w:t>These criteria are reviewed and approved by the Information Security Group (ISG) and are revisited annually or whenever significant changes occur</w:t>
      </w:r>
    </w:p>
    <w:p w14:paraId="17729068" w14:textId="77777777" w:rsidR="00AF0CD7" w:rsidRDefault="00AC1DD0">
      <w:pPr>
        <w:pStyle w:val="Heading1"/>
        <w:ind w:left="-5"/>
      </w:pPr>
      <w:r>
        <w:t>Risk Monitoring</w:t>
      </w:r>
    </w:p>
    <w:p w14:paraId="211AAF83" w14:textId="77777777" w:rsidR="00AF0CD7" w:rsidRDefault="00AC1DD0">
      <w:pPr>
        <w:ind w:left="-5" w:right="11"/>
      </w:pPr>
      <w:r>
        <w:t>Risks are continuously monitored and reviewed, with updates to the risk assessment captured as</w:t>
      </w:r>
      <w:r>
        <w:t xml:space="preserve"> the situation evolves and the mitigation plans are adjusted accordingly.</w:t>
      </w:r>
    </w:p>
    <w:p w14:paraId="17CC043E" w14:textId="77777777" w:rsidR="00AF0CD7" w:rsidRDefault="00AC1DD0">
      <w:pPr>
        <w:spacing w:after="1266"/>
        <w:ind w:left="-5" w:right="11"/>
      </w:pPr>
      <w:r>
        <w:t>Regular risk reviews help ensure that you stay proactive in managing risks and that your approach remains effective.</w:t>
      </w:r>
    </w:p>
    <w:p w14:paraId="08CB753A" w14:textId="77777777" w:rsidR="00AF0CD7" w:rsidRDefault="00AC1DD0">
      <w:pPr>
        <w:pStyle w:val="Heading1"/>
        <w:ind w:left="-5"/>
      </w:pPr>
      <w:r>
        <w:t>Treatment Plans</w:t>
      </w:r>
    </w:p>
    <w:p w14:paraId="005CD61D" w14:textId="77777777" w:rsidR="00AF0CD7" w:rsidRDefault="00AC1DD0">
      <w:pPr>
        <w:ind w:left="-5" w:right="11"/>
      </w:pPr>
      <w:r>
        <w:t>In our approach to managing and mitigating inform</w:t>
      </w:r>
      <w:r>
        <w:t>ation security risks, we employ a threshold-based strategy to ensure that each risk is addressed with the appropriate level of detail and attention.</w:t>
      </w:r>
    </w:p>
    <w:p w14:paraId="048ED82D" w14:textId="77777777" w:rsidR="00AF0CD7" w:rsidRDefault="00AC1DD0">
      <w:pPr>
        <w:ind w:left="-5" w:right="11"/>
      </w:pPr>
      <w:r>
        <w:t>As per our combined likelihood and impact assessment, quantified risks with a score greater than ten warran</w:t>
      </w:r>
      <w:r>
        <w:t>t the development of a comprehensive risk treatment plan. These plans will provide in-depth strategies and actions tailored to each high-scoring risk's specific nature and complexity, ensuring robust and effective mitigation.</w:t>
      </w:r>
    </w:p>
    <w:p w14:paraId="7707EE51" w14:textId="77777777" w:rsidR="00AF0CD7" w:rsidRDefault="00AC1DD0">
      <w:pPr>
        <w:ind w:left="-5" w:right="11"/>
      </w:pPr>
      <w:r>
        <w:t xml:space="preserve">The mitigation strategies and </w:t>
      </w:r>
      <w:r>
        <w:t>control measures will be documented directly within our risk log for risks that score nine or lower. This approach allows us to maintain a concise and manageable risk log.</w:t>
      </w:r>
    </w:p>
    <w:p w14:paraId="064E9BF1" w14:textId="77777777" w:rsidR="00AF0CD7" w:rsidRDefault="00AC1DD0">
      <w:pPr>
        <w:ind w:left="-5" w:right="11"/>
      </w:pPr>
      <w:r>
        <w:t>while dedicating more detailed planning and resources to risks that pose a more sign</w:t>
      </w:r>
      <w:r>
        <w:t xml:space="preserve">ificant threat to our </w:t>
      </w:r>
      <w:proofErr w:type="spellStart"/>
      <w:r>
        <w:t>organisation's</w:t>
      </w:r>
      <w:proofErr w:type="spellEnd"/>
      <w:r>
        <w:t xml:space="preserve"> information security posture.</w:t>
      </w:r>
    </w:p>
    <w:p w14:paraId="10C11949" w14:textId="77777777" w:rsidR="00AF0CD7" w:rsidRDefault="00AC1DD0">
      <w:pPr>
        <w:ind w:left="-5" w:right="11"/>
      </w:pPr>
      <w:r>
        <w:t xml:space="preserve">This methodology aligns with our commitment to a proactive and </w:t>
      </w:r>
      <w:proofErr w:type="spellStart"/>
      <w:r>
        <w:t>prioritised</w:t>
      </w:r>
      <w:proofErr w:type="spellEnd"/>
      <w:r>
        <w:t xml:space="preserve"> risk management process, ensuring that thorough and specific treatment plans address the most significant risks.</w:t>
      </w:r>
    </w:p>
    <w:p w14:paraId="5AF3C9DA" w14:textId="77777777" w:rsidR="00AF0CD7" w:rsidRDefault="00AC1DD0">
      <w:pPr>
        <w:ind w:left="-5" w:right="11"/>
      </w:pPr>
      <w:r>
        <w:t>T</w:t>
      </w:r>
      <w:r>
        <w:t>he Treatment Plan should be attached to the Risk Record in the Risk Log.</w:t>
      </w:r>
    </w:p>
    <w:p w14:paraId="5593A336" w14:textId="77777777" w:rsidR="00AF0CD7" w:rsidRDefault="00AC1DD0">
      <w:pPr>
        <w:pStyle w:val="Heading1"/>
        <w:ind w:left="-5"/>
      </w:pPr>
      <w:r>
        <w:t>Escalation</w:t>
      </w:r>
    </w:p>
    <w:p w14:paraId="1BE9217E" w14:textId="77777777" w:rsidR="00AF0CD7" w:rsidRDefault="00AC1DD0">
      <w:pPr>
        <w:spacing w:after="8"/>
        <w:ind w:left="-5" w:right="11"/>
      </w:pPr>
      <w:r>
        <w:t>Any risk deemed a 'major' category should be escalated via the management structure to the Corporate Risk Register.</w:t>
      </w:r>
    </w:p>
    <w:sectPr w:rsidR="00AF0CD7">
      <w:headerReference w:type="even" r:id="rId9"/>
      <w:headerReference w:type="default" r:id="rId10"/>
      <w:headerReference w:type="first" r:id="rId11"/>
      <w:pgSz w:w="12240" w:h="15840"/>
      <w:pgMar w:top="1448" w:right="1440" w:bottom="1524"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68217" w14:textId="77777777" w:rsidR="00AC1DD0" w:rsidRDefault="00AC1DD0">
      <w:pPr>
        <w:spacing w:after="0" w:line="240" w:lineRule="auto"/>
      </w:pPr>
      <w:r>
        <w:separator/>
      </w:r>
    </w:p>
  </w:endnote>
  <w:endnote w:type="continuationSeparator" w:id="0">
    <w:p w14:paraId="41F1FBD3" w14:textId="77777777" w:rsidR="00AC1DD0" w:rsidRDefault="00AC1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3703F" w14:textId="77777777" w:rsidR="00AC1DD0" w:rsidRDefault="00AC1DD0">
      <w:pPr>
        <w:spacing w:after="0" w:line="240" w:lineRule="auto"/>
      </w:pPr>
      <w:r>
        <w:separator/>
      </w:r>
    </w:p>
  </w:footnote>
  <w:footnote w:type="continuationSeparator" w:id="0">
    <w:p w14:paraId="2B6E960E" w14:textId="77777777" w:rsidR="00AC1DD0" w:rsidRDefault="00AC1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642E4" w14:textId="77777777" w:rsidR="00AF0CD7" w:rsidRDefault="00AC1DD0">
    <w:pPr>
      <w:spacing w:after="0" w:line="259" w:lineRule="auto"/>
      <w:ind w:left="0" w:firstLine="0"/>
    </w:pPr>
    <w:r>
      <w:t>Security Risk Assessment &amp; Treatment Methodology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C31F" w14:textId="77777777" w:rsidR="00AF0CD7" w:rsidRDefault="00AC1DD0">
    <w:pPr>
      <w:spacing w:after="0" w:line="259" w:lineRule="auto"/>
      <w:ind w:left="0" w:firstLine="0"/>
    </w:pPr>
    <w:r>
      <w:t>Security Risk Assessment &amp; Treatment Methodology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BD903" w14:textId="77777777" w:rsidR="00AF0CD7" w:rsidRDefault="00AC1DD0">
    <w:pPr>
      <w:spacing w:after="0" w:line="259" w:lineRule="auto"/>
      <w:ind w:left="0" w:firstLine="0"/>
    </w:pPr>
    <w:r>
      <w:t>Security Risk Assessmen</w:t>
    </w:r>
    <w:r>
      <w:t>t &amp; Treatment Methodology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A35"/>
    <w:multiLevelType w:val="hybridMultilevel"/>
    <w:tmpl w:val="1B780946"/>
    <w:lvl w:ilvl="0" w:tplc="3AC4B8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9A046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0860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DE1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A66CA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C41A0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6E598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66CBF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A6DCE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9A13424"/>
    <w:multiLevelType w:val="hybridMultilevel"/>
    <w:tmpl w:val="1C566618"/>
    <w:lvl w:ilvl="0" w:tplc="30663128">
      <w:start w:val="1"/>
      <w:numFmt w:val="bullet"/>
      <w:lvlText w:val="●"/>
      <w:lvlJc w:val="left"/>
      <w:pPr>
        <w:ind w:left="1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3A1896">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4DA3B8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A6623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946C78">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44FF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4887E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9098AA">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EE08F9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993849"/>
    <w:multiLevelType w:val="hybridMultilevel"/>
    <w:tmpl w:val="3014E4C6"/>
    <w:lvl w:ilvl="0" w:tplc="022A4C68">
      <w:start w:val="1"/>
      <w:numFmt w:val="bullet"/>
      <w:lvlText w:val="●"/>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62CB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ECBCB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3009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74A3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206D5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5039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D430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AF63C9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FD0371E"/>
    <w:multiLevelType w:val="hybridMultilevel"/>
    <w:tmpl w:val="6C3CAF22"/>
    <w:lvl w:ilvl="0" w:tplc="25A82A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8AEED0">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98C482">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63EF1B4">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646D50">
      <w:start w:val="1"/>
      <w:numFmt w:val="bullet"/>
      <w:lvlText w:val="o"/>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787D44">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CB01494">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E25B90">
      <w:start w:val="1"/>
      <w:numFmt w:val="bullet"/>
      <w:lvlText w:val="o"/>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30FB20">
      <w:start w:val="1"/>
      <w:numFmt w:val="bullet"/>
      <w:lvlText w:val="▪"/>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CA44DE1"/>
    <w:multiLevelType w:val="hybridMultilevel"/>
    <w:tmpl w:val="066CD188"/>
    <w:lvl w:ilvl="0" w:tplc="DE0ACA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10C744">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62C44">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861CCA">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688A0">
      <w:start w:val="1"/>
      <w:numFmt w:val="bullet"/>
      <w:lvlText w:val="o"/>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4AF466">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DC4DEA">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E4B92C">
      <w:start w:val="1"/>
      <w:numFmt w:val="bullet"/>
      <w:lvlText w:val="o"/>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FE7046">
      <w:start w:val="1"/>
      <w:numFmt w:val="bullet"/>
      <w:lvlText w:val="▪"/>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A72B26"/>
    <w:multiLevelType w:val="hybridMultilevel"/>
    <w:tmpl w:val="1AAA582C"/>
    <w:lvl w:ilvl="0" w:tplc="EB6076E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3E4FA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7A871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FE0D5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E0EE0C">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1288E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067FE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9CF52E">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D267C4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0BF48E6"/>
    <w:multiLevelType w:val="hybridMultilevel"/>
    <w:tmpl w:val="DB34F608"/>
    <w:lvl w:ilvl="0" w:tplc="195E77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CC3860">
      <w:start w:val="1"/>
      <w:numFmt w:val="bullet"/>
      <w:lvlText w:val="o"/>
      <w:lvlJc w:val="left"/>
      <w:pPr>
        <w:ind w:left="1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62D048">
      <w:start w:val="1"/>
      <w:numFmt w:val="bullet"/>
      <w:lvlText w:val="▪"/>
      <w:lvlJc w:val="left"/>
      <w:pPr>
        <w:ind w:left="2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B86F78">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DCEF5A">
      <w:start w:val="1"/>
      <w:numFmt w:val="bullet"/>
      <w:lvlText w:val="o"/>
      <w:lvlJc w:val="left"/>
      <w:pPr>
        <w:ind w:left="37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D2139E">
      <w:start w:val="1"/>
      <w:numFmt w:val="bullet"/>
      <w:lvlText w:val="▪"/>
      <w:lvlJc w:val="left"/>
      <w:pPr>
        <w:ind w:left="44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CC59B6">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0194C">
      <w:start w:val="1"/>
      <w:numFmt w:val="bullet"/>
      <w:lvlText w:val="o"/>
      <w:lvlJc w:val="left"/>
      <w:pPr>
        <w:ind w:left="58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98A266">
      <w:start w:val="1"/>
      <w:numFmt w:val="bullet"/>
      <w:lvlText w:val="▪"/>
      <w:lvlJc w:val="left"/>
      <w:pPr>
        <w:ind w:left="6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CD72984"/>
    <w:multiLevelType w:val="hybridMultilevel"/>
    <w:tmpl w:val="AB56B14E"/>
    <w:lvl w:ilvl="0" w:tplc="756C19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06E5F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F291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7F82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A09E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F8A186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101C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7049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22FAD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5"/>
  </w:num>
  <w:num w:numId="4">
    <w:abstractNumId w:val="2"/>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CD7"/>
    <w:rsid w:val="00AC1DD0"/>
    <w:rsid w:val="00AF0CD7"/>
    <w:rsid w:val="00C451B3"/>
    <w:rsid w:val="00DA0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8D31"/>
  <w15:docId w15:val="{04C3AD74-C6D1-47AE-952F-E91C38EFE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6" w:line="292"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86"/>
      <w:ind w:left="10" w:hanging="10"/>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185"/>
      <w:outlineLvl w:val="1"/>
    </w:pPr>
    <w:rPr>
      <w:rFonts w:ascii="Arial" w:eastAsia="Arial" w:hAnsi="Arial" w:cs="Arial"/>
      <w:b/>
      <w:color w:val="000000"/>
      <w:sz w:val="34"/>
    </w:rPr>
  </w:style>
  <w:style w:type="paragraph" w:styleId="Heading3">
    <w:name w:val="heading 3"/>
    <w:next w:val="Normal"/>
    <w:link w:val="Heading3Char"/>
    <w:uiPriority w:val="9"/>
    <w:unhideWhenUsed/>
    <w:qFormat/>
    <w:pPr>
      <w:keepNext/>
      <w:keepLines/>
      <w:spacing w:after="542"/>
      <w:ind w:left="10" w:hanging="10"/>
      <w:outlineLvl w:val="2"/>
    </w:pPr>
    <w:rPr>
      <w:rFonts w:ascii="Arial" w:eastAsia="Arial" w:hAnsi="Arial" w:cs="Arial"/>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character" w:customStyle="1" w:styleId="Heading3Char">
    <w:name w:val="Heading 3 Char"/>
    <w:link w:val="Heading3"/>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1747</Words>
  <Characters>9963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Risk Strategy</vt:lpstr>
    </vt:vector>
  </TitlesOfParts>
  <Company/>
  <LinksUpToDate>false</LinksUpToDate>
  <CharactersWithSpaces>11687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Strategy</dc:title>
  <dc:subject/>
  <dc:creator>Olamide</dc:creator>
  <cp:keywords/>
  <cp:lastModifiedBy>Olamide</cp:lastModifiedBy>
  <cp:revision>2</cp:revision>
  <dcterms:created xsi:type="dcterms:W3CDTF">2024-10-13T13:42:00Z</dcterms:created>
  <dcterms:modified xsi:type="dcterms:W3CDTF">2024-10-13T13:42:00Z</dcterms:modified>
</cp:coreProperties>
</file>