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20C7B12D" w:rsidR="009D435B" w:rsidRDefault="00AF151E" w:rsidP="00B211B5">
      <w:pPr>
        <w:jc w:val="right"/>
      </w:pPr>
      <w:r>
        <w:rPr>
          <w:noProof/>
        </w:rPr>
        <w:drawing>
          <wp:inline distT="0" distB="0" distL="0" distR="0" wp14:anchorId="27E4C38C" wp14:editId="2B1136A8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11137F3A" w:rsidR="009D435B" w:rsidRDefault="002E0B03" w:rsidP="00A862B8">
      <w:pPr>
        <w:pStyle w:val="Title"/>
      </w:pPr>
      <w:r w:rsidRPr="00A862B8">
        <w:t>INFORMATION</w:t>
      </w:r>
      <w:r>
        <w:t xml:space="preserve"> SECURITY </w:t>
      </w:r>
      <w:r w:rsidR="00620D8A">
        <w:t>policy</w:t>
      </w:r>
    </w:p>
    <w:p w14:paraId="7DB3760B" w14:textId="77777777" w:rsidR="009D435B" w:rsidRDefault="009D435B" w:rsidP="000A6CF4">
      <w:pPr>
        <w:jc w:val="both"/>
      </w:pPr>
    </w:p>
    <w:p w14:paraId="40335BFD" w14:textId="44CE2E58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Pr="008C5390">
        <w:rPr>
          <w:b/>
          <w:bCs/>
          <w:sz w:val="24"/>
          <w:szCs w:val="24"/>
        </w:rPr>
        <w:t>Public</w:t>
      </w:r>
    </w:p>
    <w:p w14:paraId="68C48E77" w14:textId="35C67E1A" w:rsidR="009D435B" w:rsidRDefault="00550941" w:rsidP="000A6CF4">
      <w:pPr>
        <w:jc w:val="both"/>
      </w:pPr>
      <w:r>
        <w:t xml:space="preserve">This document may be shared with </w:t>
      </w:r>
      <w:r w:rsidR="00C31094">
        <w:t>interested parties outside of [Company Name]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995854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2D65AB5" w14:textId="77777777" w:rsidR="003A000D" w:rsidRDefault="003A000D" w:rsidP="000A6CF4">
      <w:pPr>
        <w:jc w:val="both"/>
      </w:pPr>
    </w:p>
    <w:sdt>
      <w:sdt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550097" w:rsidRDefault="009D435B" w:rsidP="000A6CF4">
          <w:pPr>
            <w:jc w:val="both"/>
            <w:rPr>
              <w:rStyle w:val="Heading1Char"/>
            </w:rPr>
          </w:pPr>
          <w:r w:rsidRPr="7145C954">
            <w:rPr>
              <w:rStyle w:val="Heading1Char"/>
            </w:rPr>
            <w:t>Contents</w:t>
          </w:r>
        </w:p>
        <w:p w14:paraId="5491A031" w14:textId="6DD727A6" w:rsidR="000D1D0A" w:rsidRDefault="3E6A34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9D435B">
            <w:instrText>TOC \o "1-3" \h \z \u</w:instrText>
          </w:r>
          <w:r>
            <w:fldChar w:fldCharType="separate"/>
          </w:r>
          <w:hyperlink w:anchor="_Toc171008201" w:history="1">
            <w:r w:rsidR="000D1D0A" w:rsidRPr="009B3C1C">
              <w:rPr>
                <w:rStyle w:val="Hyperlink"/>
                <w:noProof/>
              </w:rPr>
              <w:t>Purpose of This Document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_Toc171008201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2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71BB63FF" w14:textId="44E13726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2" w:history="1">
            <w:r w:rsidR="000D1D0A" w:rsidRPr="009B3C1C">
              <w:rPr>
                <w:rStyle w:val="Hyperlink"/>
                <w:noProof/>
              </w:rPr>
              <w:t>Scope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_Toc171008202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2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3CF81291" w14:textId="16E1A35F" w:rsidR="000D1D0A" w:rsidRDefault="00326F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3" w:history="1">
            <w:r w:rsidR="000D1D0A" w:rsidRPr="009B3C1C">
              <w:rPr>
                <w:rStyle w:val="Hyperlink"/>
                <w:noProof/>
              </w:rPr>
              <w:t>Applicability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_Toc171008203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2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13ED11EE" w14:textId="1FE6A7B3" w:rsidR="000D1D0A" w:rsidRDefault="00326F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4" w:history="1">
            <w:r w:rsidR="000D1D0A" w:rsidRPr="009B3C1C">
              <w:rPr>
                <w:rStyle w:val="Hyperlink"/>
                <w:noProof/>
              </w:rPr>
              <w:t>Context of Information Security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_Toc171008204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2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08D5955B" w14:textId="499DBBAB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5" w:history="1">
            <w:r w:rsidR="000D1D0A" w:rsidRPr="009B3C1C">
              <w:rPr>
                <w:rStyle w:val="Hyperlink"/>
                <w:noProof/>
              </w:rPr>
              <w:t>Roles &amp; Responsibilities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_Toc171008205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2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04CF78E3" w14:textId="70A71274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6" w:history="1">
            <w:r w:rsidR="000D1D0A" w:rsidRPr="009B3C1C">
              <w:rPr>
                <w:rStyle w:val="Hyperlink"/>
                <w:noProof/>
              </w:rPr>
              <w:t>Related ISMS Policies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_Toc171008206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3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265D521E" w14:textId="2FC80D7F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7" w:history="1">
            <w:r w:rsidR="000D1D0A" w:rsidRPr="009B3C1C">
              <w:rPr>
                <w:rStyle w:val="Hyperlink"/>
                <w:noProof/>
              </w:rPr>
              <w:t>Information Security Objectives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_Toc171008207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4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6523FE78" w14:textId="15ADCA7A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8" w:history="1">
            <w:r w:rsidR="000D1D0A" w:rsidRPr="009B3C1C">
              <w:rPr>
                <w:rStyle w:val="Hyperlink"/>
                <w:noProof/>
              </w:rPr>
              <w:t>Training and Awareness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_Toc171008208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4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30E63CED" w14:textId="175B5742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09" w:history="1">
            <w:r w:rsidR="000D1D0A" w:rsidRPr="009B3C1C">
              <w:rPr>
                <w:rStyle w:val="Hyperlink"/>
                <w:noProof/>
              </w:rPr>
              <w:t>Physical Security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_Toc171008209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4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0BBC2931" w14:textId="7FA61028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0" w:history="1">
            <w:r w:rsidR="000D1D0A" w:rsidRPr="009B3C1C">
              <w:rPr>
                <w:rStyle w:val="Hyperlink"/>
                <w:noProof/>
              </w:rPr>
              <w:t>Oral Communications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_Toc171008210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4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4C84EF27" w14:textId="065A6F99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1" w:history="1">
            <w:r w:rsidR="000D1D0A" w:rsidRPr="009B3C1C">
              <w:rPr>
                <w:rStyle w:val="Hyperlink"/>
                <w:noProof/>
              </w:rPr>
              <w:t>Third-Party Security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_Toc171008211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4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22D78768" w14:textId="5081F026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2" w:history="1">
            <w:r w:rsidR="000D1D0A" w:rsidRPr="009B3C1C">
              <w:rPr>
                <w:rStyle w:val="Hyperlink"/>
                <w:noProof/>
              </w:rPr>
              <w:t>Employment Screening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_Toc171008212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41726B43" w14:textId="68403D83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3" w:history="1">
            <w:r w:rsidR="000D1D0A" w:rsidRPr="009B3C1C">
              <w:rPr>
                <w:rStyle w:val="Hyperlink"/>
                <w:noProof/>
              </w:rPr>
              <w:t>Restricting Unauthorised Access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_Toc171008213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5D89B1F2" w14:textId="17594B73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4" w:history="1">
            <w:r w:rsidR="000D1D0A" w:rsidRPr="009B3C1C">
              <w:rPr>
                <w:rStyle w:val="Hyperlink"/>
                <w:noProof/>
              </w:rPr>
              <w:t>Appropriate Use of Security Credentials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_Toc171008214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067C6B22" w14:textId="1CCBA6B6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5" w:history="1">
            <w:r w:rsidR="000D1D0A" w:rsidRPr="009B3C1C">
              <w:rPr>
                <w:rStyle w:val="Hyperlink"/>
                <w:noProof/>
              </w:rPr>
              <w:t>Cryptographic Controls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_Toc171008215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6E269F23" w14:textId="380C78A4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6" w:history="1">
            <w:r w:rsidR="000D1D0A" w:rsidRPr="009B3C1C">
              <w:rPr>
                <w:rStyle w:val="Hyperlink"/>
                <w:noProof/>
              </w:rPr>
              <w:t>Information Classifications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_Toc171008216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5AB3ECDC" w14:textId="4237A336" w:rsidR="000D1D0A" w:rsidRDefault="00326F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7" w:history="1">
            <w:r w:rsidR="000D1D0A" w:rsidRPr="009B3C1C">
              <w:rPr>
                <w:rStyle w:val="Hyperlink"/>
                <w:noProof/>
              </w:rPr>
              <w:t>"Confidential"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_Toc171008217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5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4392AA89" w14:textId="397D9996" w:rsidR="000D1D0A" w:rsidRDefault="00326F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8" w:history="1">
            <w:r w:rsidR="000D1D0A" w:rsidRPr="009B3C1C">
              <w:rPr>
                <w:rStyle w:val="Hyperlink"/>
                <w:noProof/>
              </w:rPr>
              <w:t>Handling Guidance for Confidential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_Toc171008218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6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6CA511D9" w14:textId="36B7990E" w:rsidR="000D1D0A" w:rsidRDefault="00326F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19" w:history="1">
            <w:r w:rsidR="000D1D0A" w:rsidRPr="009B3C1C">
              <w:rPr>
                <w:rStyle w:val="Hyperlink"/>
                <w:noProof/>
              </w:rPr>
              <w:t>"Internal"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_Toc171008219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6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13AAA7FF" w14:textId="51755775" w:rsidR="000D1D0A" w:rsidRDefault="00326F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0" w:history="1">
            <w:r w:rsidR="000D1D0A" w:rsidRPr="009B3C1C">
              <w:rPr>
                <w:rStyle w:val="Hyperlink"/>
                <w:noProof/>
              </w:rPr>
              <w:t>Handling Guidance for Internal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_Toc171008220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6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14FBA659" w14:textId="788199D3" w:rsidR="000D1D0A" w:rsidRDefault="00326F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1" w:history="1">
            <w:r w:rsidR="000D1D0A" w:rsidRPr="009B3C1C">
              <w:rPr>
                <w:rStyle w:val="Hyperlink"/>
                <w:noProof/>
              </w:rPr>
              <w:t>"Public"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_Toc171008221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7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15296D77" w14:textId="0CAFA8C2" w:rsidR="000D1D0A" w:rsidRDefault="00326F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2" w:history="1">
            <w:r w:rsidR="000D1D0A" w:rsidRPr="009B3C1C">
              <w:rPr>
                <w:rStyle w:val="Hyperlink"/>
                <w:noProof/>
              </w:rPr>
              <w:t>Handling Guidance for Public Information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_Toc171008222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7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71592C7E" w14:textId="28DF8334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3" w:history="1">
            <w:r w:rsidR="000D1D0A" w:rsidRPr="009B3C1C">
              <w:rPr>
                <w:rStyle w:val="Hyperlink"/>
                <w:noProof/>
              </w:rPr>
              <w:t>Breaches of Security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_Toc171008223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7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050CDBCF" w14:textId="5791C4FF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4" w:history="1">
            <w:r w:rsidR="000D1D0A" w:rsidRPr="009B3C1C">
              <w:rPr>
                <w:rStyle w:val="Hyperlink"/>
                <w:noProof/>
              </w:rPr>
              <w:t>Associated Policies and Documents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_Toc171008224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7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59593564" w14:textId="2D88DE9B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5" w:history="1">
            <w:r w:rsidR="000D1D0A" w:rsidRPr="009B3C1C">
              <w:rPr>
                <w:rStyle w:val="Hyperlink"/>
                <w:noProof/>
              </w:rPr>
              <w:t>Monitoring and Filtering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_Toc171008225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8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4E622913" w14:textId="3BF02A1D" w:rsidR="000D1D0A" w:rsidRDefault="00326F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226" w:history="1">
            <w:r w:rsidR="000D1D0A" w:rsidRPr="009B3C1C">
              <w:rPr>
                <w:rStyle w:val="Hyperlink"/>
                <w:noProof/>
              </w:rPr>
              <w:t>Risk Assessment &amp; Treatment Methodology</w:t>
            </w:r>
            <w:r w:rsidR="000D1D0A">
              <w:rPr>
                <w:noProof/>
                <w:webHidden/>
              </w:rPr>
              <w:tab/>
            </w:r>
            <w:r w:rsidR="000D1D0A">
              <w:rPr>
                <w:noProof/>
                <w:webHidden/>
              </w:rPr>
              <w:fldChar w:fldCharType="begin"/>
            </w:r>
            <w:r w:rsidR="000D1D0A">
              <w:rPr>
                <w:noProof/>
                <w:webHidden/>
              </w:rPr>
              <w:instrText xml:space="preserve"> PAGEREF _Toc171008226 \h </w:instrText>
            </w:r>
            <w:r w:rsidR="000D1D0A">
              <w:rPr>
                <w:noProof/>
                <w:webHidden/>
              </w:rPr>
            </w:r>
            <w:r w:rsidR="000D1D0A">
              <w:rPr>
                <w:noProof/>
                <w:webHidden/>
              </w:rPr>
              <w:fldChar w:fldCharType="separate"/>
            </w:r>
            <w:r w:rsidR="002014AB">
              <w:rPr>
                <w:noProof/>
                <w:webHidden/>
              </w:rPr>
              <w:t>8</w:t>
            </w:r>
            <w:r w:rsidR="000D1D0A">
              <w:rPr>
                <w:noProof/>
                <w:webHidden/>
              </w:rPr>
              <w:fldChar w:fldCharType="end"/>
            </w:r>
          </w:hyperlink>
        </w:p>
        <w:p w14:paraId="6708D287" w14:textId="26CE9F63" w:rsidR="3E6A34F4" w:rsidRDefault="3E6A34F4" w:rsidP="3E6A34F4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085BAA4" w14:textId="28215F68" w:rsidR="002955E1" w:rsidRDefault="002955E1" w:rsidP="002955E1">
      <w:pPr>
        <w:jc w:val="both"/>
      </w:pPr>
    </w:p>
    <w:p w14:paraId="17C092B9" w14:textId="63D5C306" w:rsidR="00441954" w:rsidRDefault="00441954" w:rsidP="00B44FDD">
      <w:pPr>
        <w:pStyle w:val="Heading1"/>
      </w:pPr>
      <w:bookmarkStart w:id="0" w:name="_Toc130218917"/>
      <w:bookmarkStart w:id="1" w:name="_Toc171008201"/>
      <w:r>
        <w:t>Purpose of This Document</w:t>
      </w:r>
      <w:bookmarkEnd w:id="0"/>
      <w:bookmarkEnd w:id="1"/>
    </w:p>
    <w:p w14:paraId="5FD26C7A" w14:textId="5C611A8E" w:rsidR="00AF6D83" w:rsidRDefault="00AF6D83" w:rsidP="00D67C19">
      <w:bookmarkStart w:id="2" w:name="_Toc130218918"/>
      <w:r w:rsidRPr="00AF6D83">
        <w:t xml:space="preserve">This policy outlines </w:t>
      </w:r>
      <w:r w:rsidR="00A303CA">
        <w:t>TechSolution.inc</w:t>
      </w:r>
      <w:r w:rsidR="00A303CA" w:rsidRPr="00D50910">
        <w:t xml:space="preserve"> </w:t>
      </w:r>
      <w:r w:rsidR="00213A0F">
        <w:t>'</w:t>
      </w:r>
      <w:r w:rsidR="006D0B97">
        <w:t xml:space="preserve">s overarching approach to </w:t>
      </w:r>
      <w:r w:rsidR="00F44620">
        <w:t>information security management</w:t>
      </w:r>
      <w:r w:rsidRPr="00AF6D83">
        <w:t xml:space="preserve"> and </w:t>
      </w:r>
      <w:r w:rsidR="006D0B97">
        <w:t>signposts</w:t>
      </w:r>
      <w:r w:rsidRPr="00AF6D83">
        <w:t xml:space="preserve"> to specific sub-policies within </w:t>
      </w:r>
      <w:r w:rsidR="006D0B97">
        <w:t>the framework</w:t>
      </w:r>
      <w:r w:rsidRPr="00AF6D83">
        <w:t>.</w:t>
      </w:r>
    </w:p>
    <w:p w14:paraId="3F911115" w14:textId="3820DD31" w:rsidR="00887788" w:rsidRDefault="009D435B" w:rsidP="00DF60A5">
      <w:pPr>
        <w:pStyle w:val="Heading1"/>
        <w:jc w:val="both"/>
      </w:pPr>
      <w:bookmarkStart w:id="3" w:name="_Toc171008202"/>
      <w:r>
        <w:t>Scope</w:t>
      </w:r>
      <w:bookmarkEnd w:id="2"/>
      <w:bookmarkEnd w:id="3"/>
    </w:p>
    <w:p w14:paraId="2B5396E2" w14:textId="0B99C379" w:rsidR="00EF4109" w:rsidRPr="00EF4109" w:rsidRDefault="00EF4109" w:rsidP="00EF4109">
      <w:pPr>
        <w:pStyle w:val="Heading2"/>
      </w:pPr>
      <w:bookmarkStart w:id="4" w:name="_Toc171008203"/>
      <w:r>
        <w:t>Applicability</w:t>
      </w:r>
      <w:bookmarkEnd w:id="4"/>
    </w:p>
    <w:p w14:paraId="3B4BF311" w14:textId="77777777" w:rsidR="00F31114" w:rsidRDefault="009D435B" w:rsidP="000A6CF4">
      <w:pPr>
        <w:jc w:val="both"/>
      </w:pPr>
      <w:r>
        <w:t xml:space="preserve">The Information Security Policy applies to </w:t>
      </w:r>
    </w:p>
    <w:p w14:paraId="22D35F26" w14:textId="5A3DFA3A" w:rsidR="00AF6D83" w:rsidRPr="00AF6D83" w:rsidRDefault="00AF6D83" w:rsidP="00AF6D83">
      <w:pPr>
        <w:pStyle w:val="ListParagraph"/>
        <w:numPr>
          <w:ilvl w:val="0"/>
          <w:numId w:val="31"/>
        </w:numPr>
      </w:pPr>
      <w:bookmarkStart w:id="5" w:name="_Toc130218919"/>
      <w:r w:rsidRPr="00AF6D83">
        <w:t xml:space="preserve">All </w:t>
      </w:r>
      <w:r w:rsidR="00B211B5">
        <w:t xml:space="preserve">organisational and customer </w:t>
      </w:r>
      <w:r w:rsidRPr="00AF6D83">
        <w:t>information, regardless of format.</w:t>
      </w:r>
    </w:p>
    <w:p w14:paraId="2FAF8009" w14:textId="615AB89B" w:rsidR="00AF6D83" w:rsidRDefault="00AF6D83" w:rsidP="00AF6D83">
      <w:pPr>
        <w:pStyle w:val="ListParagraph"/>
        <w:numPr>
          <w:ilvl w:val="0"/>
          <w:numId w:val="31"/>
        </w:numPr>
      </w:pPr>
      <w:r w:rsidRPr="00AF6D83">
        <w:t xml:space="preserve">All individuals associated with </w:t>
      </w:r>
      <w:r w:rsidR="00A303CA">
        <w:t>TechSolution.inc</w:t>
      </w:r>
      <w:r w:rsidRPr="00AF6D83">
        <w:t>, including temporary workers and external contractors.</w:t>
      </w:r>
    </w:p>
    <w:p w14:paraId="5EE8F6E4" w14:textId="77777777" w:rsidR="007F6D09" w:rsidRDefault="007F6D09" w:rsidP="00EF4109">
      <w:pPr>
        <w:pStyle w:val="Heading2"/>
      </w:pPr>
    </w:p>
    <w:p w14:paraId="03D6B085" w14:textId="24FB7CA1" w:rsidR="00EF4109" w:rsidRDefault="00EF4109" w:rsidP="00EF4109">
      <w:pPr>
        <w:pStyle w:val="Heading2"/>
      </w:pPr>
      <w:bookmarkStart w:id="6" w:name="_Toc171008204"/>
      <w:r>
        <w:t>Context of Information Security</w:t>
      </w:r>
      <w:bookmarkEnd w:id="6"/>
    </w:p>
    <w:p w14:paraId="788EEAA8" w14:textId="2839EEE8" w:rsidR="00EF4109" w:rsidRPr="0008605D" w:rsidRDefault="00EF4109" w:rsidP="00EF4109">
      <w:r w:rsidRPr="0008605D">
        <w:rPr>
          <w:rFonts w:cs="Segoe UI"/>
          <w:color w:val="374151"/>
        </w:rPr>
        <w:t xml:space="preserve">The scope and context of information security, including the internal and external factors affecting </w:t>
      </w:r>
      <w:r w:rsidR="00A303CA">
        <w:rPr>
          <w:rFonts w:cs="Segoe UI"/>
          <w:color w:val="374151"/>
        </w:rPr>
        <w:t>TechSolution.inc</w:t>
      </w:r>
      <w:r w:rsidRPr="0008605D">
        <w:rPr>
          <w:rFonts w:cs="Segoe UI"/>
          <w:color w:val="374151"/>
        </w:rPr>
        <w:t xml:space="preserve">, is documented in the </w:t>
      </w:r>
      <w:r w:rsidR="00213A0F" w:rsidRPr="0008605D">
        <w:rPr>
          <w:rFonts w:cs="Segoe UI"/>
          <w:color w:val="374151"/>
        </w:rPr>
        <w:t>'</w:t>
      </w:r>
      <w:r w:rsidRPr="0008605D">
        <w:rPr>
          <w:rFonts w:cs="Segoe UI"/>
          <w:color w:val="374151"/>
        </w:rPr>
        <w:t xml:space="preserve">Information Security Management System (ISMS) Scope </w:t>
      </w:r>
      <w:r w:rsidR="00AF3298" w:rsidRPr="0008605D">
        <w:rPr>
          <w:rFonts w:cs="Segoe UI"/>
          <w:color w:val="374151"/>
        </w:rPr>
        <w:t>Document</w:t>
      </w:r>
      <w:r w:rsidR="00213A0F" w:rsidRPr="0008605D">
        <w:rPr>
          <w:rFonts w:cs="Segoe UI"/>
          <w:color w:val="374151"/>
        </w:rPr>
        <w:t>'</w:t>
      </w:r>
      <w:r w:rsidRPr="0008605D">
        <w:rPr>
          <w:rFonts w:cs="Segoe UI"/>
          <w:color w:val="374151"/>
        </w:rPr>
        <w:t xml:space="preserve">, which can be accessed </w:t>
      </w:r>
      <w:proofErr w:type="spellStart"/>
      <w:r w:rsidR="00AF3298" w:rsidRPr="0008605D">
        <w:rPr>
          <w:rFonts w:cs="Segoe UI"/>
          <w:color w:val="374151"/>
        </w:rPr>
        <w:t>here:</w:t>
      </w:r>
      <w:hyperlink r:id="rId9" w:history="1">
        <w:r w:rsidR="00A303CA" w:rsidRPr="00A303CA">
          <w:rPr>
            <w:rStyle w:val="Hyperlink"/>
            <w:rFonts w:cs="Segoe UI"/>
          </w:rPr>
          <w:t>'Information</w:t>
        </w:r>
        <w:proofErr w:type="spellEnd"/>
        <w:r w:rsidR="00A303CA" w:rsidRPr="00A303CA">
          <w:rPr>
            <w:rStyle w:val="Hyperlink"/>
            <w:rFonts w:cs="Segoe UI"/>
          </w:rPr>
          <w:t xml:space="preserve"> Security Management System (ISMS) Scope Document</w:t>
        </w:r>
      </w:hyperlink>
      <w:r w:rsidR="00AF3298" w:rsidRPr="0008605D">
        <w:rPr>
          <w:rFonts w:cs="Segoe UI"/>
          <w:color w:val="374151"/>
        </w:rPr>
        <w:t xml:space="preserve"> </w:t>
      </w:r>
      <w:r w:rsidRPr="0008605D">
        <w:rPr>
          <w:rFonts w:cs="Segoe UI"/>
          <w:color w:val="374151"/>
        </w:rPr>
        <w:t>."</w:t>
      </w:r>
    </w:p>
    <w:p w14:paraId="413CBD6A" w14:textId="30A11BAD" w:rsidR="009D435B" w:rsidRDefault="57950673" w:rsidP="00AF6D83">
      <w:pPr>
        <w:pStyle w:val="Heading1"/>
        <w:jc w:val="both"/>
      </w:pPr>
      <w:bookmarkStart w:id="7" w:name="_Toc171008205"/>
      <w:r>
        <w:t xml:space="preserve">Roles &amp; </w:t>
      </w:r>
      <w:r w:rsidR="1B791174">
        <w:t>Responsibilities</w:t>
      </w:r>
      <w:bookmarkEnd w:id="5"/>
      <w:bookmarkEnd w:id="7"/>
    </w:p>
    <w:p w14:paraId="1E9CF6D1" w14:textId="496957AF" w:rsidR="00431545" w:rsidRDefault="00431545" w:rsidP="3928FE27">
      <w:pPr>
        <w:jc w:val="both"/>
        <w:rPr>
          <w:color w:val="000000" w:themeColor="text1"/>
        </w:rPr>
      </w:pPr>
    </w:p>
    <w:p w14:paraId="4253CBB6" w14:textId="6D18E6CC" w:rsidR="00431545" w:rsidRDefault="001C1A36" w:rsidP="3928FE2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Information Security Group (ISG)</w:t>
      </w:r>
      <w:r w:rsidR="00AF6D83">
        <w:rPr>
          <w:b/>
          <w:bCs/>
          <w:color w:val="000000" w:themeColor="text1"/>
        </w:rPr>
        <w:t>:</w:t>
      </w:r>
    </w:p>
    <w:p w14:paraId="3B1C2D74" w14:textId="19A0B09F" w:rsidR="00431545" w:rsidRDefault="00CB2B8B" w:rsidP="3928FE27">
      <w:pPr>
        <w:pStyle w:val="ListParagraph"/>
        <w:numPr>
          <w:ilvl w:val="0"/>
          <w:numId w:val="4"/>
        </w:numPr>
        <w:rPr>
          <w:b/>
          <w:bCs/>
        </w:rPr>
      </w:pPr>
      <w:r>
        <w:t>Approve</w:t>
      </w:r>
      <w:r w:rsidR="00AF6D83">
        <w:t xml:space="preserve"> and oversee</w:t>
      </w:r>
      <w:r w:rsidR="42E43562">
        <w:t xml:space="preserve"> the security policy</w:t>
      </w:r>
      <w:r w:rsidR="00853B98">
        <w:t>.</w:t>
      </w:r>
    </w:p>
    <w:p w14:paraId="5752DF89" w14:textId="3D70E4F8" w:rsidR="42E43562" w:rsidRDefault="00AF6D83" w:rsidP="3928FE27">
      <w:pPr>
        <w:pStyle w:val="ListParagraph"/>
        <w:numPr>
          <w:ilvl w:val="0"/>
          <w:numId w:val="4"/>
        </w:numPr>
      </w:pPr>
      <w:r>
        <w:t>Manage</w:t>
      </w:r>
      <w:r w:rsidR="42E43562">
        <w:t xml:space="preserve"> the Information Security Management System (ISMS)</w:t>
      </w:r>
      <w:r>
        <w:t xml:space="preserve"> framework</w:t>
      </w:r>
      <w:r w:rsidR="00853B98">
        <w:t>.</w:t>
      </w:r>
    </w:p>
    <w:p w14:paraId="5008121D" w14:textId="23798F5B" w:rsidR="00853B98" w:rsidRPr="00853B98" w:rsidRDefault="00AF6D83" w:rsidP="2C4A15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Guide and support security efforts within </w:t>
      </w:r>
      <w:r w:rsidR="00B211B5">
        <w:t>[</w:t>
      </w:r>
      <w:r w:rsidR="00A05C08">
        <w:t>Company Name</w:t>
      </w:r>
      <w:r w:rsidR="00B211B5">
        <w:t>]</w:t>
      </w:r>
      <w:r>
        <w:t>.</w:t>
      </w:r>
    </w:p>
    <w:p w14:paraId="68928EF2" w14:textId="47178A13" w:rsidR="6C2353EC" w:rsidRPr="00853B98" w:rsidRDefault="6C2353EC" w:rsidP="00853B98">
      <w:pPr>
        <w:rPr>
          <w:b/>
          <w:bCs/>
        </w:rPr>
      </w:pPr>
      <w:r w:rsidRPr="00853B98">
        <w:rPr>
          <w:b/>
          <w:bCs/>
        </w:rPr>
        <w:t>Information Security Manager</w:t>
      </w:r>
      <w:r w:rsidR="00AF6D83">
        <w:rPr>
          <w:b/>
          <w:bCs/>
        </w:rPr>
        <w:t>:</w:t>
      </w:r>
    </w:p>
    <w:p w14:paraId="31EF3DE9" w14:textId="76A0CA32" w:rsidR="6C2353EC" w:rsidRDefault="00AF6D83" w:rsidP="3928FE27">
      <w:pPr>
        <w:pStyle w:val="ListParagraph"/>
        <w:numPr>
          <w:ilvl w:val="0"/>
          <w:numId w:val="3"/>
        </w:numPr>
      </w:pPr>
      <w:r>
        <w:t>Manage</w:t>
      </w:r>
      <w:r w:rsidR="6C2353EC">
        <w:t xml:space="preserve"> the ISMS.</w:t>
      </w:r>
    </w:p>
    <w:p w14:paraId="12858973" w14:textId="0EC24C6E" w:rsidR="6C2353EC" w:rsidRDefault="00AF6D83" w:rsidP="3928FE27">
      <w:pPr>
        <w:pStyle w:val="ListParagraph"/>
        <w:numPr>
          <w:ilvl w:val="0"/>
          <w:numId w:val="3"/>
        </w:numPr>
      </w:pPr>
      <w:r>
        <w:t>Handle security risk assessments</w:t>
      </w:r>
    </w:p>
    <w:p w14:paraId="71659157" w14:textId="7DB2711F" w:rsidR="6C2353EC" w:rsidRDefault="00AF6D83" w:rsidP="3928FE27">
      <w:pPr>
        <w:pStyle w:val="ListParagraph"/>
        <w:numPr>
          <w:ilvl w:val="0"/>
          <w:numId w:val="3"/>
        </w:numPr>
      </w:pPr>
      <w:r>
        <w:t>Ensure adherence to the ISMS</w:t>
      </w:r>
    </w:p>
    <w:p w14:paraId="2988C810" w14:textId="4C71DC26" w:rsidR="6C2353EC" w:rsidRDefault="6C2353EC" w:rsidP="2C4A1566">
      <w:pPr>
        <w:rPr>
          <w:b/>
          <w:bCs/>
        </w:rPr>
      </w:pPr>
      <w:r w:rsidRPr="2C4A1566">
        <w:rPr>
          <w:b/>
          <w:bCs/>
        </w:rPr>
        <w:t>System / Information Owners</w:t>
      </w:r>
      <w:r w:rsidR="00AF6D83">
        <w:rPr>
          <w:b/>
          <w:bCs/>
        </w:rPr>
        <w:t>:</w:t>
      </w:r>
    </w:p>
    <w:p w14:paraId="6B7439EB" w14:textId="77777777" w:rsidR="00AF6D83" w:rsidRPr="00AF6D83" w:rsidRDefault="00AF6D83" w:rsidP="00AF6D83">
      <w:pPr>
        <w:pStyle w:val="ListParagraph"/>
        <w:numPr>
          <w:ilvl w:val="0"/>
          <w:numId w:val="32"/>
        </w:numPr>
      </w:pPr>
      <w:r w:rsidRPr="00AF6D83">
        <w:t>Manage security risks within their remit.</w:t>
      </w:r>
    </w:p>
    <w:p w14:paraId="64DEE8E6" w14:textId="77777777" w:rsidR="00AF6D83" w:rsidRPr="00AF6D83" w:rsidRDefault="00AF6D83" w:rsidP="00AF6D83">
      <w:pPr>
        <w:pStyle w:val="ListParagraph"/>
        <w:numPr>
          <w:ilvl w:val="0"/>
          <w:numId w:val="32"/>
        </w:numPr>
      </w:pPr>
      <w:r w:rsidRPr="00AF6D83">
        <w:t>Support the Information Security Manager.</w:t>
      </w:r>
    </w:p>
    <w:p w14:paraId="4C87913C" w14:textId="5699BB8F" w:rsidR="00AF6D83" w:rsidRDefault="00AF6D83" w:rsidP="00AF6D83">
      <w:pPr>
        <w:pStyle w:val="ListParagraph"/>
        <w:numPr>
          <w:ilvl w:val="0"/>
          <w:numId w:val="32"/>
        </w:numPr>
      </w:pPr>
      <w:r w:rsidRPr="00AF6D83">
        <w:t>Ensure compliance with data procedures and policies.</w:t>
      </w:r>
    </w:p>
    <w:p w14:paraId="6CFCF844" w14:textId="60418400" w:rsidR="009D435B" w:rsidRPr="00F951E5" w:rsidRDefault="009D435B" w:rsidP="00F951E5">
      <w:pPr>
        <w:rPr>
          <w:b/>
          <w:bCs/>
        </w:rPr>
      </w:pPr>
      <w:r w:rsidRPr="3928FE27">
        <w:rPr>
          <w:b/>
          <w:bCs/>
        </w:rPr>
        <w:t>Line Managers</w:t>
      </w:r>
      <w:r w:rsidR="00AF6D83">
        <w:rPr>
          <w:b/>
          <w:bCs/>
        </w:rPr>
        <w:t>:</w:t>
      </w:r>
    </w:p>
    <w:p w14:paraId="038A8E72" w14:textId="0764D4AD" w:rsidR="009D435B" w:rsidRDefault="00AF6D83" w:rsidP="005E7E2E">
      <w:pPr>
        <w:pStyle w:val="ListParagraph"/>
        <w:numPr>
          <w:ilvl w:val="0"/>
          <w:numId w:val="9"/>
        </w:numPr>
        <w:jc w:val="both"/>
      </w:pPr>
      <w:r>
        <w:t>Grant access based on role needs</w:t>
      </w:r>
    </w:p>
    <w:p w14:paraId="1E703740" w14:textId="55CA72EA" w:rsidR="00AF6D83" w:rsidRDefault="00AF6D83" w:rsidP="005E7E2E">
      <w:pPr>
        <w:pStyle w:val="ListParagraph"/>
        <w:numPr>
          <w:ilvl w:val="0"/>
          <w:numId w:val="9"/>
        </w:numPr>
        <w:jc w:val="both"/>
      </w:pPr>
      <w:r>
        <w:t>Ensure policy compliance within their teams</w:t>
      </w:r>
    </w:p>
    <w:p w14:paraId="7AF2BD88" w14:textId="3CD8D3E1" w:rsidR="00AF6D83" w:rsidRDefault="00AF6D83" w:rsidP="005E7E2E">
      <w:pPr>
        <w:pStyle w:val="ListParagraph"/>
        <w:numPr>
          <w:ilvl w:val="0"/>
          <w:numId w:val="9"/>
        </w:numPr>
        <w:jc w:val="both"/>
      </w:pPr>
      <w:r>
        <w:t xml:space="preserve">Manage access and return of </w:t>
      </w:r>
      <w:r w:rsidR="00B211B5">
        <w:t>[</w:t>
      </w:r>
      <w:r w:rsidR="00A05C08">
        <w:t>Company Name</w:t>
      </w:r>
      <w:r w:rsidR="00B211B5">
        <w:t>]</w:t>
      </w:r>
      <w:r>
        <w:t xml:space="preserve"> devices and systems</w:t>
      </w:r>
    </w:p>
    <w:p w14:paraId="758753F3" w14:textId="098D777E" w:rsidR="009D435B" w:rsidRPr="00F951E5" w:rsidRDefault="007E73EB" w:rsidP="00F951E5">
      <w:pPr>
        <w:rPr>
          <w:b/>
          <w:bCs/>
        </w:rPr>
      </w:pPr>
      <w:r>
        <w:rPr>
          <w:b/>
          <w:bCs/>
        </w:rPr>
        <w:t xml:space="preserve">All </w:t>
      </w:r>
      <w:r w:rsidR="009D435B" w:rsidRPr="00F951E5">
        <w:rPr>
          <w:b/>
          <w:bCs/>
        </w:rPr>
        <w:t>Staff:</w:t>
      </w:r>
    </w:p>
    <w:p w14:paraId="6D794F65" w14:textId="77777777" w:rsidR="00AF6D83" w:rsidRPr="00AF6D83" w:rsidRDefault="00AF6D83" w:rsidP="00AF6D83">
      <w:pPr>
        <w:pStyle w:val="ListParagraph"/>
        <w:numPr>
          <w:ilvl w:val="0"/>
          <w:numId w:val="33"/>
        </w:numPr>
      </w:pPr>
      <w:bookmarkStart w:id="8" w:name="_Toc130218920"/>
      <w:r w:rsidRPr="00AF6D83">
        <w:t>Comply with the policy and related procedures.</w:t>
      </w:r>
    </w:p>
    <w:p w14:paraId="61E7CCAD" w14:textId="77777777" w:rsidR="00AF6D83" w:rsidRPr="00AF6D83" w:rsidRDefault="00AF6D83" w:rsidP="00AF6D83">
      <w:pPr>
        <w:pStyle w:val="ListParagraph"/>
        <w:numPr>
          <w:ilvl w:val="0"/>
          <w:numId w:val="33"/>
        </w:numPr>
      </w:pPr>
      <w:r w:rsidRPr="00AF6D83">
        <w:t>Report policy breaches.</w:t>
      </w:r>
    </w:p>
    <w:p w14:paraId="27CF473B" w14:textId="77777777" w:rsidR="00AF6D83" w:rsidRDefault="00AF6D83" w:rsidP="00AF6D83">
      <w:pPr>
        <w:pStyle w:val="ListParagraph"/>
        <w:numPr>
          <w:ilvl w:val="0"/>
          <w:numId w:val="33"/>
        </w:numPr>
      </w:pPr>
      <w:r w:rsidRPr="00AF6D83">
        <w:t>Seek exceptions via the IT Helpdesk.</w:t>
      </w:r>
    </w:p>
    <w:p w14:paraId="4050560A" w14:textId="77777777" w:rsidR="00ED132C" w:rsidRDefault="00ED132C" w:rsidP="00ED132C"/>
    <w:p w14:paraId="27BFBC87" w14:textId="7FDCC9E3" w:rsidR="00ED132C" w:rsidRDefault="00ED132C" w:rsidP="00ED132C">
      <w:commentRangeStart w:id="9"/>
      <w:r>
        <w:t xml:space="preserve">For more information on roles &amp; responsibilities, please see the </w:t>
      </w:r>
      <w:r w:rsidR="008E4F28">
        <w:t>ISMS Roles and Responsibilities Document.</w:t>
      </w:r>
      <w:commentRangeEnd w:id="9"/>
      <w:r w:rsidR="008E4F28">
        <w:rPr>
          <w:rStyle w:val="CommentReference"/>
        </w:rPr>
        <w:commentReference w:id="9"/>
      </w:r>
    </w:p>
    <w:p w14:paraId="42B0D682" w14:textId="77777777" w:rsidR="00D41680" w:rsidRDefault="00D41680" w:rsidP="00D41680">
      <w:pPr>
        <w:pStyle w:val="Heading1"/>
      </w:pPr>
      <w:bookmarkStart w:id="10" w:name="_Toc171008206"/>
      <w:r>
        <w:t>Related ISMS Policies</w:t>
      </w:r>
      <w:bookmarkEnd w:id="10"/>
    </w:p>
    <w:p w14:paraId="450A093F" w14:textId="5FD0EC24" w:rsidR="000D1D0A" w:rsidRDefault="00D41680" w:rsidP="00D41680">
      <w:pPr>
        <w:pStyle w:val="NormalWeb"/>
        <w:rPr>
          <w:rFonts w:asciiTheme="minorHAnsi" w:hAnsiTheme="minorHAnsi"/>
        </w:rPr>
      </w:pPr>
      <w:r w:rsidRPr="00D41680">
        <w:rPr>
          <w:rFonts w:asciiTheme="minorHAnsi" w:hAnsiTheme="minorHAnsi"/>
        </w:rPr>
        <w:t xml:space="preserve">To ensure comprehensive information security management, </w:t>
      </w:r>
      <w:r w:rsidR="00A303CA">
        <w:rPr>
          <w:rFonts w:asciiTheme="minorHAnsi" w:hAnsiTheme="minorHAnsi"/>
        </w:rPr>
        <w:t xml:space="preserve">TechSolution.inc </w:t>
      </w:r>
      <w:r w:rsidRPr="00D41680">
        <w:rPr>
          <w:rFonts w:asciiTheme="minorHAnsi" w:hAnsiTheme="minorHAnsi"/>
        </w:rPr>
        <w:t xml:space="preserve">has established several detailed policies that support and complement this Information Security Policy. </w:t>
      </w:r>
    </w:p>
    <w:p w14:paraId="1459748A" w14:textId="1F014079" w:rsidR="000D1D0A" w:rsidRDefault="00D41680" w:rsidP="00D41680">
      <w:pPr>
        <w:pStyle w:val="NormalWeb"/>
        <w:rPr>
          <w:rFonts w:asciiTheme="minorHAnsi" w:hAnsiTheme="minorHAnsi"/>
        </w:rPr>
      </w:pPr>
      <w:r w:rsidRPr="00D41680">
        <w:rPr>
          <w:rFonts w:asciiTheme="minorHAnsi" w:hAnsiTheme="minorHAnsi"/>
        </w:rPr>
        <w:t>Employees, contractors, and other stakeholders are required to familiari</w:t>
      </w:r>
      <w:r w:rsidR="000D1D0A">
        <w:rPr>
          <w:rFonts w:asciiTheme="minorHAnsi" w:hAnsiTheme="minorHAnsi"/>
        </w:rPr>
        <w:t>s</w:t>
      </w:r>
      <w:r w:rsidRPr="00D41680">
        <w:rPr>
          <w:rFonts w:asciiTheme="minorHAnsi" w:hAnsiTheme="minorHAnsi"/>
        </w:rPr>
        <w:t xml:space="preserve">e themselves with these policies and adhere to </w:t>
      </w:r>
      <w:r w:rsidR="000D1D0A">
        <w:rPr>
          <w:rFonts w:asciiTheme="minorHAnsi" w:hAnsiTheme="minorHAnsi"/>
        </w:rPr>
        <w:t>their guidelines</w:t>
      </w:r>
      <w:r w:rsidRPr="00D41680">
        <w:rPr>
          <w:rFonts w:asciiTheme="minorHAnsi" w:hAnsiTheme="minorHAnsi"/>
        </w:rPr>
        <w:t xml:space="preserve">. </w:t>
      </w:r>
    </w:p>
    <w:p w14:paraId="15220056" w14:textId="2D118649" w:rsidR="00D41680" w:rsidRPr="00D41680" w:rsidRDefault="00D41680" w:rsidP="00D41680">
      <w:pPr>
        <w:pStyle w:val="NormalWeb"/>
        <w:rPr>
          <w:rFonts w:asciiTheme="minorHAnsi" w:hAnsiTheme="minorHAnsi"/>
        </w:rPr>
      </w:pPr>
      <w:r w:rsidRPr="00D41680">
        <w:rPr>
          <w:rFonts w:asciiTheme="minorHAnsi" w:hAnsiTheme="minorHAnsi"/>
        </w:rPr>
        <w:t>The related policies include: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D1D0A" w:rsidRPr="000D1D0A" w14:paraId="63C7D23C" w14:textId="77777777" w:rsidTr="000D1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87BAC39" w14:textId="77777777" w:rsidR="000D1D0A" w:rsidRPr="000D1D0A" w:rsidRDefault="000D1D0A" w:rsidP="000D1D0A">
            <w:pPr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Policy Name</w:t>
            </w:r>
          </w:p>
        </w:tc>
        <w:tc>
          <w:tcPr>
            <w:tcW w:w="5902" w:type="dxa"/>
            <w:hideMark/>
          </w:tcPr>
          <w:p w14:paraId="0B8AB82A" w14:textId="77777777" w:rsidR="000D1D0A" w:rsidRPr="000D1D0A" w:rsidRDefault="000D1D0A" w:rsidP="000D1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Description</w:t>
            </w:r>
          </w:p>
        </w:tc>
      </w:tr>
      <w:tr w:rsidR="000D1D0A" w:rsidRPr="000D1D0A" w14:paraId="4FA19735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5ADC80B" w14:textId="65E19B93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Acceptable Use Policy</w:t>
            </w:r>
          </w:p>
        </w:tc>
        <w:tc>
          <w:tcPr>
            <w:tcW w:w="5902" w:type="dxa"/>
            <w:hideMark/>
          </w:tcPr>
          <w:p w14:paraId="36E022BE" w14:textId="4BB6839B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Defines acceptable and unacceptable use of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organisation's</w:t>
            </w: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information systems and resources.</w:t>
            </w:r>
          </w:p>
        </w:tc>
      </w:tr>
      <w:tr w:rsidR="000D1D0A" w:rsidRPr="000D1D0A" w14:paraId="5062B951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532B156" w14:textId="1B1A5243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Access Control Policy</w:t>
            </w:r>
          </w:p>
        </w:tc>
        <w:tc>
          <w:tcPr>
            <w:tcW w:w="5902" w:type="dxa"/>
            <w:hideMark/>
          </w:tcPr>
          <w:p w14:paraId="04C9E4FF" w14:textId="7777777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Specifies the requirements for controlling access to information and information systems.</w:t>
            </w:r>
          </w:p>
        </w:tc>
      </w:tr>
      <w:tr w:rsidR="000D1D0A" w:rsidRPr="000D1D0A" w14:paraId="47748D44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66C387B" w14:textId="5BD2917B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BYOD Policy</w:t>
            </w:r>
          </w:p>
        </w:tc>
        <w:tc>
          <w:tcPr>
            <w:tcW w:w="5902" w:type="dxa"/>
            <w:hideMark/>
          </w:tcPr>
          <w:p w14:paraId="30BFC1A4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Establishes rules and guidelines for using personal devices to access company data and systems.</w:t>
            </w:r>
          </w:p>
        </w:tc>
      </w:tr>
      <w:tr w:rsidR="000D1D0A" w:rsidRPr="000D1D0A" w14:paraId="5F1C6F65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D5C37A1" w14:textId="3823FDEA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Data Protection Policy</w:t>
            </w:r>
          </w:p>
        </w:tc>
        <w:tc>
          <w:tcPr>
            <w:tcW w:w="5902" w:type="dxa"/>
            <w:hideMark/>
          </w:tcPr>
          <w:p w14:paraId="35CEF1BB" w14:textId="7777777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Details measures and practices to protect personal data in compliance with relevant regulations.</w:t>
            </w:r>
          </w:p>
        </w:tc>
      </w:tr>
      <w:tr w:rsidR="000D1D0A" w:rsidRPr="000D1D0A" w14:paraId="49570290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0EA5513" w14:textId="57D0D8DE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Data Retention Policy</w:t>
            </w:r>
          </w:p>
        </w:tc>
        <w:tc>
          <w:tcPr>
            <w:tcW w:w="5902" w:type="dxa"/>
            <w:hideMark/>
          </w:tcPr>
          <w:p w14:paraId="18CE9C83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Sets out the principles for retaining and disposing of data in a secure and compliant manner.</w:t>
            </w:r>
          </w:p>
        </w:tc>
      </w:tr>
      <w:tr w:rsidR="000D1D0A" w:rsidRPr="000D1D0A" w14:paraId="2CAECCFD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A0A3843" w14:textId="021C94D8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Mobile Device Policy</w:t>
            </w:r>
          </w:p>
        </w:tc>
        <w:tc>
          <w:tcPr>
            <w:tcW w:w="5902" w:type="dxa"/>
            <w:hideMark/>
          </w:tcPr>
          <w:p w14:paraId="651D3608" w14:textId="73C6E58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Provides guidelines for the secure use of mobile devices within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organisation</w:t>
            </w: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0D1D0A" w:rsidRPr="000D1D0A" w14:paraId="3DA3F5FF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8FAD7F5" w14:textId="1D86CDEE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Password Policy</w:t>
            </w:r>
          </w:p>
        </w:tc>
        <w:tc>
          <w:tcPr>
            <w:tcW w:w="5902" w:type="dxa"/>
            <w:hideMark/>
          </w:tcPr>
          <w:p w14:paraId="5A3BA7DF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Defines the requirements for creating, managing, and protecting passwords.</w:t>
            </w:r>
          </w:p>
        </w:tc>
      </w:tr>
      <w:tr w:rsidR="000D1D0A" w:rsidRPr="000D1D0A" w14:paraId="14E2EB7D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6210543" w14:textId="5796E46D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Patching Policy</w:t>
            </w:r>
          </w:p>
        </w:tc>
        <w:tc>
          <w:tcPr>
            <w:tcW w:w="5902" w:type="dxa"/>
            <w:hideMark/>
          </w:tcPr>
          <w:p w14:paraId="4BD3BC12" w14:textId="7777777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Describes the process for managing software patches and updates to maintain security.</w:t>
            </w:r>
          </w:p>
        </w:tc>
      </w:tr>
      <w:tr w:rsidR="000D1D0A" w:rsidRPr="000D1D0A" w14:paraId="249E2134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070D1EE" w14:textId="52C60695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Secure Development Policy</w:t>
            </w:r>
          </w:p>
        </w:tc>
        <w:tc>
          <w:tcPr>
            <w:tcW w:w="5902" w:type="dxa"/>
            <w:hideMark/>
          </w:tcPr>
          <w:p w14:paraId="63328827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Outlines best practices for developing and maintaining secure software applications.</w:t>
            </w:r>
          </w:p>
        </w:tc>
      </w:tr>
      <w:tr w:rsidR="000D1D0A" w:rsidRPr="000D1D0A" w14:paraId="55D9611B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16C83FB" w14:textId="11F76BEE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Supplier Security Policy</w:t>
            </w:r>
          </w:p>
        </w:tc>
        <w:tc>
          <w:tcPr>
            <w:tcW w:w="5902" w:type="dxa"/>
            <w:hideMark/>
          </w:tcPr>
          <w:p w14:paraId="1B1027F3" w14:textId="7777777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Establishes security requirements for engaging and managing third-party suppliers.</w:t>
            </w:r>
          </w:p>
        </w:tc>
      </w:tr>
      <w:tr w:rsidR="000D1D0A" w:rsidRPr="000D1D0A" w14:paraId="77374144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F6F1BC2" w14:textId="5BF44F38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Asset Management Policy</w:t>
            </w:r>
          </w:p>
        </w:tc>
        <w:tc>
          <w:tcPr>
            <w:tcW w:w="5902" w:type="dxa"/>
            <w:hideMark/>
          </w:tcPr>
          <w:p w14:paraId="348897E0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Details procedures for managing information assets throughout their lifecycle.</w:t>
            </w:r>
          </w:p>
        </w:tc>
      </w:tr>
      <w:tr w:rsidR="000D1D0A" w:rsidRPr="000D1D0A" w14:paraId="72C4E54A" w14:textId="77777777" w:rsidTr="000D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DCFC631" w14:textId="468FF54E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Cloud Services Policy</w:t>
            </w:r>
          </w:p>
        </w:tc>
        <w:tc>
          <w:tcPr>
            <w:tcW w:w="5902" w:type="dxa"/>
            <w:hideMark/>
          </w:tcPr>
          <w:p w14:paraId="46F2FC46" w14:textId="77777777" w:rsidR="000D1D0A" w:rsidRPr="000D1D0A" w:rsidRDefault="000D1D0A" w:rsidP="000D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Provides guidelines for the secure use and management of cloud services.</w:t>
            </w:r>
          </w:p>
        </w:tc>
      </w:tr>
      <w:tr w:rsidR="000D1D0A" w:rsidRPr="000D1D0A" w14:paraId="4C81E94B" w14:textId="77777777" w:rsidTr="000D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69D3C40" w14:textId="1BC282A3" w:rsidR="000D1D0A" w:rsidRPr="000D1D0A" w:rsidRDefault="000D1D0A" w:rsidP="000D1D0A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Remote Working Policy</w:t>
            </w:r>
          </w:p>
        </w:tc>
        <w:tc>
          <w:tcPr>
            <w:tcW w:w="5902" w:type="dxa"/>
            <w:hideMark/>
          </w:tcPr>
          <w:p w14:paraId="591D1A2C" w14:textId="77777777" w:rsidR="000D1D0A" w:rsidRPr="000D1D0A" w:rsidRDefault="000D1D0A" w:rsidP="000D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D1D0A">
              <w:rPr>
                <w:rFonts w:eastAsia="Times New Roman" w:cs="Times New Roman"/>
                <w:sz w:val="24"/>
                <w:szCs w:val="24"/>
                <w:lang w:eastAsia="en-GB"/>
              </w:rPr>
              <w:t>Specifies security measures and practices for employees working remotely.</w:t>
            </w:r>
          </w:p>
        </w:tc>
      </w:tr>
    </w:tbl>
    <w:p w14:paraId="0165B48C" w14:textId="1ED4556D" w:rsidR="009D435B" w:rsidRDefault="009D435B" w:rsidP="00AF6D83">
      <w:pPr>
        <w:pStyle w:val="Heading1"/>
      </w:pPr>
      <w:bookmarkStart w:id="11" w:name="_Toc171008207"/>
      <w:r>
        <w:t>Information Security Objectives</w:t>
      </w:r>
      <w:bookmarkEnd w:id="8"/>
      <w:bookmarkEnd w:id="11"/>
    </w:p>
    <w:p w14:paraId="7726A93F" w14:textId="267A3A79" w:rsidR="00AF6D83" w:rsidRDefault="00AF6D83" w:rsidP="00AF6D83">
      <w:pPr>
        <w:pStyle w:val="ListParagraph"/>
        <w:numPr>
          <w:ilvl w:val="0"/>
          <w:numId w:val="5"/>
        </w:numPr>
      </w:pPr>
      <w:r>
        <w:t xml:space="preserve">The </w:t>
      </w:r>
      <w:r w:rsidR="00A05C08">
        <w:t xml:space="preserve">ISG </w:t>
      </w:r>
      <w:r>
        <w:t xml:space="preserve">working group sets annual objectives, </w:t>
      </w:r>
      <w:r w:rsidR="00B211B5">
        <w:t xml:space="preserve">which are </w:t>
      </w:r>
      <w:r>
        <w:t>reviewed quarterly.</w:t>
      </w:r>
    </w:p>
    <w:p w14:paraId="2137DD10" w14:textId="244053A3" w:rsidR="00AF6D83" w:rsidRDefault="00AF6D83" w:rsidP="00AF6D83">
      <w:pPr>
        <w:pStyle w:val="ListParagraph"/>
        <w:numPr>
          <w:ilvl w:val="0"/>
          <w:numId w:val="5"/>
        </w:numPr>
      </w:pPr>
      <w:r>
        <w:t xml:space="preserve">Objectives are stored </w:t>
      </w:r>
      <w:r w:rsidR="00B211B5">
        <w:t>in the following location</w:t>
      </w:r>
      <w:r w:rsidR="00B211B5" w:rsidRPr="00B211B5">
        <w:rPr>
          <w:highlight w:val="yellow"/>
        </w:rPr>
        <w:t xml:space="preserve">: </w:t>
      </w:r>
      <w:hyperlink r:id="rId13" w:history="1">
        <w:r w:rsidR="00A303CA" w:rsidRPr="00A303CA">
          <w:rPr>
            <w:rStyle w:val="Hyperlink"/>
            <w:highlight w:val="yellow"/>
          </w:rPr>
          <w:t>..\Governance &amp; Project Management\G2 - ISMS Objectives.docx</w:t>
        </w:r>
      </w:hyperlink>
      <w:r w:rsidRPr="00B211B5">
        <w:rPr>
          <w:highlight w:val="yellow"/>
        </w:rPr>
        <w:t>.</w:t>
      </w:r>
    </w:p>
    <w:p w14:paraId="6B62B355" w14:textId="77777777" w:rsidR="009D435B" w:rsidRDefault="009D435B" w:rsidP="00952D14">
      <w:pPr>
        <w:pStyle w:val="Heading1"/>
      </w:pPr>
      <w:bookmarkStart w:id="12" w:name="_Toc130218921"/>
      <w:bookmarkStart w:id="13" w:name="_Toc171008208"/>
      <w:r>
        <w:t>Training and Awareness</w:t>
      </w:r>
      <w:bookmarkEnd w:id="12"/>
      <w:bookmarkEnd w:id="13"/>
    </w:p>
    <w:p w14:paraId="374BB898" w14:textId="3F803CB0" w:rsidR="00AF6D83" w:rsidRDefault="00AF6D83" w:rsidP="00AF6D83">
      <w:pPr>
        <w:pStyle w:val="ListParagraph"/>
        <w:numPr>
          <w:ilvl w:val="0"/>
          <w:numId w:val="34"/>
        </w:numPr>
      </w:pPr>
      <w:r>
        <w:t>All staff</w:t>
      </w:r>
      <w:r w:rsidR="000F1403">
        <w:t xml:space="preserve"> and contractors</w:t>
      </w:r>
      <w:r>
        <w:t xml:space="preserve"> </w:t>
      </w:r>
      <w:r w:rsidR="000F1403">
        <w:t xml:space="preserve">must </w:t>
      </w:r>
      <w:r>
        <w:t>undergo security training</w:t>
      </w:r>
      <w:r w:rsidR="00B211B5">
        <w:t xml:space="preserve"> to support their roles</w:t>
      </w:r>
      <w:r>
        <w:t>.</w:t>
      </w:r>
      <w:r w:rsidR="008F28A0">
        <w:t xml:space="preserve"> The training must </w:t>
      </w:r>
      <w:r w:rsidR="00E163A7">
        <w:t xml:space="preserve">align </w:t>
      </w:r>
      <w:r w:rsidR="004519A0">
        <w:t>with</w:t>
      </w:r>
      <w:r w:rsidR="00E163A7">
        <w:t xml:space="preserve"> their job roles and the data they handle</w:t>
      </w:r>
      <w:r w:rsidR="00472D9D">
        <w:t>.</w:t>
      </w:r>
    </w:p>
    <w:p w14:paraId="6EF57994" w14:textId="17EC2E3F" w:rsidR="00AF6D83" w:rsidRDefault="00AF6D83" w:rsidP="00AF6D83">
      <w:pPr>
        <w:pStyle w:val="ListParagraph"/>
        <w:numPr>
          <w:ilvl w:val="0"/>
          <w:numId w:val="34"/>
        </w:numPr>
      </w:pPr>
      <w:r>
        <w:t xml:space="preserve">Induction </w:t>
      </w:r>
      <w:r w:rsidR="00B211B5">
        <w:t xml:space="preserve">for new employees </w:t>
      </w:r>
      <w:r>
        <w:t xml:space="preserve">includes </w:t>
      </w:r>
      <w:r w:rsidR="00B211B5">
        <w:t xml:space="preserve">mandatory </w:t>
      </w:r>
      <w:r>
        <w:t>security awareness.</w:t>
      </w:r>
    </w:p>
    <w:p w14:paraId="0ECE8F4B" w14:textId="43C84219" w:rsidR="00AF6D83" w:rsidRDefault="00B211B5" w:rsidP="00AF6D83">
      <w:pPr>
        <w:pStyle w:val="ListParagraph"/>
        <w:numPr>
          <w:ilvl w:val="0"/>
          <w:numId w:val="34"/>
        </w:numPr>
      </w:pPr>
      <w:r>
        <w:t>Staff will be given r</w:t>
      </w:r>
      <w:r w:rsidR="00AF6D83">
        <w:t xml:space="preserve">egular </w:t>
      </w:r>
      <w:r>
        <w:t xml:space="preserve">training </w:t>
      </w:r>
      <w:r w:rsidR="00AF6D83">
        <w:t>updates to maintain awareness</w:t>
      </w:r>
      <w:r>
        <w:t xml:space="preserve"> of changing security threats</w:t>
      </w:r>
      <w:r w:rsidR="00AF6D83">
        <w:t>.</w:t>
      </w:r>
    </w:p>
    <w:p w14:paraId="64E2931B" w14:textId="77777777" w:rsidR="009D435B" w:rsidRDefault="009D435B" w:rsidP="00952D14">
      <w:pPr>
        <w:pStyle w:val="Heading1"/>
      </w:pPr>
      <w:bookmarkStart w:id="14" w:name="_Toc130218922"/>
      <w:bookmarkStart w:id="15" w:name="_Toc171008209"/>
      <w:r>
        <w:t>Physical Security</w:t>
      </w:r>
      <w:bookmarkEnd w:id="14"/>
      <w:bookmarkEnd w:id="15"/>
    </w:p>
    <w:p w14:paraId="6917BFF4" w14:textId="1C59D125" w:rsidR="00AF6D83" w:rsidRDefault="00B211B5" w:rsidP="00AF6D83">
      <w:pPr>
        <w:pStyle w:val="ListParagraph"/>
        <w:numPr>
          <w:ilvl w:val="0"/>
          <w:numId w:val="35"/>
        </w:numPr>
      </w:pPr>
      <w:r>
        <w:t>Staff will s</w:t>
      </w:r>
      <w:r w:rsidR="00AF6D83">
        <w:t xml:space="preserve">ecure and report lost </w:t>
      </w:r>
      <w:r w:rsidR="009249E5">
        <w:t>security</w:t>
      </w:r>
      <w:r w:rsidR="00AF6D83">
        <w:t xml:space="preserve"> </w:t>
      </w:r>
      <w:r>
        <w:t xml:space="preserve">access </w:t>
      </w:r>
      <w:r w:rsidR="00AF6D83">
        <w:t>passes.</w:t>
      </w:r>
    </w:p>
    <w:p w14:paraId="4F2BED06" w14:textId="00EC7015" w:rsidR="00AF6D83" w:rsidRDefault="009249E5" w:rsidP="00AF6D83">
      <w:pPr>
        <w:pStyle w:val="ListParagraph"/>
        <w:numPr>
          <w:ilvl w:val="0"/>
          <w:numId w:val="35"/>
        </w:numPr>
      </w:pPr>
      <w:r>
        <w:t>Use p</w:t>
      </w:r>
      <w:r w:rsidR="00F44620">
        <w:t xml:space="preserve">hysical restrictions such as key or swipe cards </w:t>
      </w:r>
      <w:r>
        <w:t>to</w:t>
      </w:r>
      <w:r w:rsidR="00F44620">
        <w:t xml:space="preserve"> manage access to restricted areas and equipment</w:t>
      </w:r>
      <w:r w:rsidR="00AF6D83">
        <w:t>.</w:t>
      </w:r>
    </w:p>
    <w:p w14:paraId="23088733" w14:textId="57F41878" w:rsidR="00AF6D83" w:rsidRPr="00AF6D83" w:rsidRDefault="00472D9D" w:rsidP="00AF6D83">
      <w:pPr>
        <w:pStyle w:val="ListParagraph"/>
        <w:numPr>
          <w:ilvl w:val="0"/>
          <w:numId w:val="35"/>
        </w:numPr>
      </w:pPr>
      <w:r>
        <w:t>Always ensure v</w:t>
      </w:r>
      <w:r w:rsidR="00B211B5">
        <w:t xml:space="preserve">isitors </w:t>
      </w:r>
      <w:r>
        <w:t>are</w:t>
      </w:r>
      <w:r w:rsidR="00B211B5">
        <w:t xml:space="preserve"> </w:t>
      </w:r>
      <w:r w:rsidR="00AF6D83">
        <w:t>accompa</w:t>
      </w:r>
      <w:r w:rsidR="00B211B5">
        <w:t>nied on site</w:t>
      </w:r>
      <w:r w:rsidR="00AF6D83">
        <w:t>.</w:t>
      </w:r>
    </w:p>
    <w:p w14:paraId="70D403A0" w14:textId="77777777" w:rsidR="009D435B" w:rsidRDefault="009D435B" w:rsidP="00952D14">
      <w:pPr>
        <w:pStyle w:val="Heading1"/>
      </w:pPr>
      <w:bookmarkStart w:id="16" w:name="_Toc130218923"/>
      <w:bookmarkStart w:id="17" w:name="_Toc171008210"/>
      <w:r>
        <w:t>Oral Communications</w:t>
      </w:r>
      <w:bookmarkEnd w:id="16"/>
      <w:bookmarkEnd w:id="17"/>
    </w:p>
    <w:p w14:paraId="109C099D" w14:textId="75A84DB9" w:rsidR="009D435B" w:rsidRDefault="00244C36" w:rsidP="00952D14">
      <w:pPr>
        <w:pStyle w:val="ListParagraph"/>
        <w:numPr>
          <w:ilvl w:val="0"/>
          <w:numId w:val="21"/>
        </w:numPr>
        <w:ind w:left="714" w:hanging="357"/>
        <w:contextualSpacing w:val="0"/>
        <w:jc w:val="both"/>
      </w:pPr>
      <w:r>
        <w:t>Use c</w:t>
      </w:r>
      <w:r w:rsidR="009D435B">
        <w:t xml:space="preserve">aution </w:t>
      </w:r>
      <w:r w:rsidR="00B211B5">
        <w:t xml:space="preserve">when </w:t>
      </w:r>
      <w:r w:rsidR="00AF6D83">
        <w:t>communicating</w:t>
      </w:r>
      <w:r w:rsidR="00B211B5">
        <w:t xml:space="preserve"> confidential information</w:t>
      </w:r>
      <w:r w:rsidR="009D435B">
        <w:t xml:space="preserve"> in</w:t>
      </w:r>
      <w:r w:rsidR="4909BDBD">
        <w:t xml:space="preserve"> public </w:t>
      </w:r>
      <w:r w:rsidR="00AF6D83">
        <w:t>areas</w:t>
      </w:r>
      <w:r w:rsidR="00B211B5">
        <w:t xml:space="preserve"> due to </w:t>
      </w:r>
      <w:r w:rsidR="00F44620">
        <w:t xml:space="preserve">the </w:t>
      </w:r>
      <w:r w:rsidR="00B211B5">
        <w:t>risks of being overheard</w:t>
      </w:r>
      <w:r w:rsidR="00AF6D83">
        <w:t>.</w:t>
      </w:r>
    </w:p>
    <w:p w14:paraId="4D298282" w14:textId="061B14B2" w:rsidR="009D435B" w:rsidRDefault="009D435B" w:rsidP="00952D14">
      <w:pPr>
        <w:pStyle w:val="Heading1"/>
      </w:pPr>
      <w:bookmarkStart w:id="18" w:name="_Toc130218924"/>
      <w:bookmarkStart w:id="19" w:name="_Toc171008211"/>
      <w:r>
        <w:t>Third</w:t>
      </w:r>
      <w:r w:rsidR="00244C36">
        <w:t>-</w:t>
      </w:r>
      <w:r>
        <w:t>Party Security</w:t>
      </w:r>
      <w:bookmarkEnd w:id="18"/>
      <w:bookmarkEnd w:id="19"/>
    </w:p>
    <w:p w14:paraId="3A8C343B" w14:textId="1A35AE11" w:rsidR="00AF6D83" w:rsidRDefault="001B6E23" w:rsidP="00AF6D83">
      <w:pPr>
        <w:pStyle w:val="ListParagraph"/>
        <w:numPr>
          <w:ilvl w:val="0"/>
          <w:numId w:val="37"/>
        </w:numPr>
      </w:pPr>
      <w:r>
        <w:t>All</w:t>
      </w:r>
      <w:r w:rsidR="00AF6D83">
        <w:t xml:space="preserve"> third</w:t>
      </w:r>
      <w:r w:rsidR="00F44620">
        <w:t xml:space="preserve"> parti</w:t>
      </w:r>
      <w:r>
        <w:t>es</w:t>
      </w:r>
      <w:r w:rsidR="00AF6D83">
        <w:t xml:space="preserve"> </w:t>
      </w:r>
      <w:r>
        <w:t xml:space="preserve">processing </w:t>
      </w:r>
      <w:r w:rsidR="00AF6D83">
        <w:t xml:space="preserve">data </w:t>
      </w:r>
      <w:r>
        <w:t>on behalf of the organisation will undergo a risk assessment</w:t>
      </w:r>
      <w:r w:rsidR="00AF6D83">
        <w:t>.</w:t>
      </w:r>
    </w:p>
    <w:p w14:paraId="2FBC85B0" w14:textId="3AADF8F4" w:rsidR="00AF6D83" w:rsidRDefault="001B6E23" w:rsidP="00AF6D83">
      <w:pPr>
        <w:pStyle w:val="ListParagraph"/>
        <w:numPr>
          <w:ilvl w:val="0"/>
          <w:numId w:val="37"/>
        </w:numPr>
      </w:pPr>
      <w:r>
        <w:t>All third</w:t>
      </w:r>
      <w:r w:rsidR="00F44620">
        <w:t xml:space="preserve"> </w:t>
      </w:r>
      <w:r>
        <w:t>parties handling internal or confidential information must sign</w:t>
      </w:r>
      <w:r w:rsidR="00AF6D83">
        <w:t xml:space="preserve"> confidentiality agreements.</w:t>
      </w:r>
    </w:p>
    <w:p w14:paraId="6E618B00" w14:textId="5A92F078" w:rsidR="00AF6D83" w:rsidRDefault="001B6E23" w:rsidP="00AF6D83">
      <w:pPr>
        <w:pStyle w:val="ListParagraph"/>
        <w:numPr>
          <w:ilvl w:val="0"/>
          <w:numId w:val="37"/>
        </w:numPr>
      </w:pPr>
      <w:r>
        <w:t>The organisation</w:t>
      </w:r>
      <w:r w:rsidR="00F44620">
        <w:t>'</w:t>
      </w:r>
      <w:r>
        <w:t>s security policies will be communicated to third</w:t>
      </w:r>
      <w:r w:rsidR="00F44620">
        <w:t xml:space="preserve"> </w:t>
      </w:r>
      <w:r>
        <w:t>parties and contractually obligated as r</w:t>
      </w:r>
      <w:r w:rsidR="00AF6D83">
        <w:t>equired.</w:t>
      </w:r>
    </w:p>
    <w:p w14:paraId="5BF77B2E" w14:textId="25A231D0" w:rsidR="00AF6D83" w:rsidRPr="00AF6D83" w:rsidRDefault="00AF6D83" w:rsidP="00AF5DF4">
      <w:pPr>
        <w:pStyle w:val="ListParagraph"/>
        <w:numPr>
          <w:ilvl w:val="0"/>
          <w:numId w:val="37"/>
        </w:numPr>
      </w:pPr>
      <w:r>
        <w:t>Refer to related third-party security policies;</w:t>
      </w:r>
    </w:p>
    <w:commentRangeStart w:id="20"/>
    <w:p w14:paraId="3DF9F621" w14:textId="6A77156D" w:rsidR="7121B309" w:rsidRDefault="00A9133D" w:rsidP="006C1A23">
      <w:pPr>
        <w:pStyle w:val="ListParagraph"/>
        <w:numPr>
          <w:ilvl w:val="0"/>
          <w:numId w:val="44"/>
        </w:numPr>
        <w:jc w:val="both"/>
      </w:pPr>
      <w:r>
        <w:fldChar w:fldCharType="begin"/>
      </w:r>
      <w:r>
        <w:instrText>HYPERLINK "https://priassociation.sharepoint.com/:w:/s/InformationSecurity/EbUyecQ-o7dLqLaHnviq9skBY78RDw90DfuzYlYdZfOzBg?e=tfVUsv" \h</w:instrText>
      </w:r>
      <w:r>
        <w:fldChar w:fldCharType="separate"/>
      </w:r>
      <w:r w:rsidR="7121B309" w:rsidRPr="7145C954">
        <w:rPr>
          <w:rStyle w:val="Hyperlink"/>
        </w:rPr>
        <w:t>Software as a Service (</w:t>
      </w:r>
      <w:proofErr w:type="spellStart"/>
      <w:r w:rsidR="7121B309" w:rsidRPr="7145C954">
        <w:rPr>
          <w:rStyle w:val="Hyperlink"/>
        </w:rPr>
        <w:t>Saas</w:t>
      </w:r>
      <w:proofErr w:type="spellEnd"/>
      <w:r w:rsidR="7121B309" w:rsidRPr="7145C954">
        <w:rPr>
          <w:rStyle w:val="Hyperlink"/>
        </w:rPr>
        <w:t>) Policy</w:t>
      </w:r>
      <w:r>
        <w:rPr>
          <w:rStyle w:val="Hyperlink"/>
        </w:rPr>
        <w:fldChar w:fldCharType="end"/>
      </w:r>
      <w:r w:rsidR="68DA9BD0">
        <w:t xml:space="preserve">: </w:t>
      </w:r>
      <w:r w:rsidR="009E5D2E">
        <w:t>To introduce</w:t>
      </w:r>
      <w:r w:rsidR="68DA9BD0">
        <w:t xml:space="preserve"> any new cloud-based applications.</w:t>
      </w:r>
    </w:p>
    <w:p w14:paraId="14E1A426" w14:textId="1AB87B3A" w:rsidR="02D0102E" w:rsidRDefault="00326FE4" w:rsidP="006C1A23">
      <w:pPr>
        <w:pStyle w:val="ListParagraph"/>
        <w:numPr>
          <w:ilvl w:val="0"/>
          <w:numId w:val="44"/>
        </w:numPr>
        <w:jc w:val="both"/>
      </w:pPr>
      <w:hyperlink r:id="rId14">
        <w:r w:rsidR="02D0102E" w:rsidRPr="7145C954">
          <w:rPr>
            <w:rStyle w:val="Hyperlink"/>
          </w:rPr>
          <w:t>Supplier Security Policy</w:t>
        </w:r>
      </w:hyperlink>
      <w:r w:rsidR="05AEE045">
        <w:t xml:space="preserve">: </w:t>
      </w:r>
      <w:r w:rsidR="000A02D4">
        <w:t>This is f</w:t>
      </w:r>
      <w:r w:rsidR="05AEE045">
        <w:t>or guidance on expectations around the approach to 3</w:t>
      </w:r>
      <w:r w:rsidR="05AEE045" w:rsidRPr="006C1A23">
        <w:rPr>
          <w:vertAlign w:val="superscript"/>
        </w:rPr>
        <w:t>rd</w:t>
      </w:r>
      <w:r w:rsidR="05AEE045">
        <w:t xml:space="preserve"> party security, with particular emphasis on personal data protection.</w:t>
      </w:r>
      <w:commentRangeEnd w:id="20"/>
      <w:r w:rsidR="001B6E23">
        <w:rPr>
          <w:rStyle w:val="CommentReference"/>
        </w:rPr>
        <w:commentReference w:id="20"/>
      </w:r>
    </w:p>
    <w:p w14:paraId="04809946" w14:textId="77777777" w:rsidR="009D435B" w:rsidRDefault="009D435B" w:rsidP="00952D14">
      <w:pPr>
        <w:pStyle w:val="Heading1"/>
      </w:pPr>
      <w:bookmarkStart w:id="21" w:name="_Toc130218925"/>
      <w:bookmarkStart w:id="22" w:name="_Toc171008212"/>
      <w:r>
        <w:t>Employment Screening</w:t>
      </w:r>
      <w:bookmarkEnd w:id="21"/>
      <w:bookmarkEnd w:id="22"/>
    </w:p>
    <w:p w14:paraId="046FA98B" w14:textId="338B4D55" w:rsidR="009D435B" w:rsidRDefault="00F44620" w:rsidP="00952D14">
      <w:pPr>
        <w:pStyle w:val="ListParagraph"/>
        <w:numPr>
          <w:ilvl w:val="0"/>
          <w:numId w:val="23"/>
        </w:numPr>
        <w:contextualSpacing w:val="0"/>
        <w:jc w:val="both"/>
      </w:pPr>
      <w:r>
        <w:t xml:space="preserve">The organisation will undertake background </w:t>
      </w:r>
      <w:commentRangeStart w:id="23"/>
      <w:r>
        <w:t>checks</w:t>
      </w:r>
      <w:r w:rsidR="0090795C">
        <w:t xml:space="preserve"> </w:t>
      </w:r>
      <w:commentRangeEnd w:id="23"/>
      <w:r w:rsidR="00EE2956">
        <w:rPr>
          <w:rStyle w:val="CommentReference"/>
        </w:rPr>
        <w:commentReference w:id="23"/>
      </w:r>
      <w:r w:rsidR="0090795C">
        <w:t>as part of the employment process.</w:t>
      </w:r>
    </w:p>
    <w:p w14:paraId="4AC7F237" w14:textId="77777777" w:rsidR="009D435B" w:rsidRDefault="009D435B" w:rsidP="00952D14">
      <w:pPr>
        <w:pStyle w:val="Heading1"/>
      </w:pPr>
      <w:bookmarkStart w:id="24" w:name="_Toc130218926"/>
      <w:bookmarkStart w:id="25" w:name="_Toc171008213"/>
      <w:r>
        <w:t>Restricting Unauthorised Access</w:t>
      </w:r>
      <w:bookmarkEnd w:id="24"/>
      <w:bookmarkEnd w:id="25"/>
    </w:p>
    <w:p w14:paraId="26DF822B" w14:textId="7F1663DF" w:rsidR="00AF6D83" w:rsidRDefault="00AF6D83" w:rsidP="00AF6D83">
      <w:pPr>
        <w:pStyle w:val="ListParagraph"/>
        <w:numPr>
          <w:ilvl w:val="0"/>
          <w:numId w:val="23"/>
        </w:numPr>
      </w:pPr>
      <w:r>
        <w:t xml:space="preserve">Seek </w:t>
      </w:r>
      <w:r w:rsidR="00F44620">
        <w:t>explicit</w:t>
      </w:r>
      <w:r w:rsidR="0090795C">
        <w:t>, written</w:t>
      </w:r>
      <w:r>
        <w:t xml:space="preserve"> authorisation for sharing sensitive data.</w:t>
      </w:r>
    </w:p>
    <w:p w14:paraId="6791714D" w14:textId="1C4C886D" w:rsidR="00AF6D83" w:rsidRDefault="0090795C" w:rsidP="00AF6D83">
      <w:pPr>
        <w:pStyle w:val="ListParagraph"/>
        <w:numPr>
          <w:ilvl w:val="0"/>
          <w:numId w:val="23"/>
        </w:numPr>
      </w:pPr>
      <w:r>
        <w:t>A</w:t>
      </w:r>
      <w:r w:rsidR="00AF6D83">
        <w:t xml:space="preserve">ccess rights </w:t>
      </w:r>
      <w:r>
        <w:t>will be managed in alignmen</w:t>
      </w:r>
      <w:r w:rsidR="00F44620">
        <w:t>t</w:t>
      </w:r>
      <w:r>
        <w:t xml:space="preserve"> with the </w:t>
      </w:r>
      <w:hyperlink r:id="rId15" w:history="1">
        <w:r w:rsidR="00AF6D83" w:rsidRPr="0090795C">
          <w:rPr>
            <w:rStyle w:val="Hyperlink"/>
          </w:rPr>
          <w:t>Access Control Policy</w:t>
        </w:r>
      </w:hyperlink>
    </w:p>
    <w:p w14:paraId="51B49454" w14:textId="09091057" w:rsidR="00AF6D83" w:rsidRDefault="00A206F0" w:rsidP="00AF6D83">
      <w:pPr>
        <w:pStyle w:val="ListParagraph"/>
        <w:numPr>
          <w:ilvl w:val="0"/>
          <w:numId w:val="23"/>
        </w:numPr>
      </w:pPr>
      <w:r>
        <w:t>The principle of least privilege is used to grant individuals minimal</w:t>
      </w:r>
      <w:r w:rsidR="00AF6D83">
        <w:t xml:space="preserve"> access</w:t>
      </w:r>
      <w:r w:rsidR="0090795C">
        <w:t xml:space="preserve"> </w:t>
      </w:r>
      <w:r w:rsidR="00A66B28">
        <w:t>to data</w:t>
      </w:r>
      <w:r w:rsidR="00AF6D83">
        <w:t>.</w:t>
      </w:r>
    </w:p>
    <w:p w14:paraId="17AB2FF0" w14:textId="3FA09808" w:rsidR="00AF6D83" w:rsidRDefault="00AF6D83" w:rsidP="00AF6D83">
      <w:pPr>
        <w:pStyle w:val="ListParagraph"/>
        <w:numPr>
          <w:ilvl w:val="0"/>
          <w:numId w:val="23"/>
        </w:numPr>
      </w:pPr>
      <w:r>
        <w:t xml:space="preserve">Regularly </w:t>
      </w:r>
      <w:r w:rsidR="00A646D3">
        <w:t>audit</w:t>
      </w:r>
      <w:r>
        <w:t xml:space="preserve"> </w:t>
      </w:r>
      <w:r w:rsidR="006E7FB7">
        <w:t>information to ensure only authorised individuals have access</w:t>
      </w:r>
      <w:r>
        <w:t>.</w:t>
      </w:r>
    </w:p>
    <w:p w14:paraId="4B58FFD9" w14:textId="305C166D" w:rsidR="00B45DB4" w:rsidRPr="00B45DB4" w:rsidRDefault="009D435B" w:rsidP="00952D14">
      <w:pPr>
        <w:pStyle w:val="Heading1"/>
      </w:pPr>
      <w:bookmarkStart w:id="26" w:name="_Toc130218927"/>
      <w:bookmarkStart w:id="27" w:name="_Toc171008214"/>
      <w:r>
        <w:t>Appropriate Use of Security Credentials</w:t>
      </w:r>
      <w:bookmarkEnd w:id="26"/>
      <w:bookmarkEnd w:id="27"/>
    </w:p>
    <w:p w14:paraId="638A153E" w14:textId="1EBA496B" w:rsidR="00AF6D83" w:rsidRPr="00AF6D83" w:rsidRDefault="0090795C" w:rsidP="00AF6D83">
      <w:pPr>
        <w:pStyle w:val="ListParagraph"/>
        <w:numPr>
          <w:ilvl w:val="0"/>
          <w:numId w:val="38"/>
        </w:numPr>
        <w:jc w:val="both"/>
      </w:pPr>
      <w:r>
        <w:t>For further details, please r</w:t>
      </w:r>
      <w:r w:rsidR="00AF6D83">
        <w:t xml:space="preserve">efer to the </w:t>
      </w:r>
      <w:commentRangeStart w:id="28"/>
      <w:r w:rsidR="5E90E869" w:rsidRPr="00677E1E">
        <w:t xml:space="preserve">Password </w:t>
      </w:r>
      <w:r w:rsidR="207C88D1" w:rsidRPr="00677E1E">
        <w:t>Policy</w:t>
      </w:r>
      <w:bookmarkStart w:id="29" w:name="_Toc130218928"/>
      <w:commentRangeEnd w:id="28"/>
      <w:r w:rsidR="00677E1E">
        <w:rPr>
          <w:rStyle w:val="CommentReference"/>
        </w:rPr>
        <w:commentReference w:id="28"/>
      </w:r>
      <w:r w:rsidR="00677E1E">
        <w:rPr>
          <w:b/>
          <w:bCs/>
        </w:rPr>
        <w:t>.</w:t>
      </w:r>
    </w:p>
    <w:p w14:paraId="55D51861" w14:textId="696A0186" w:rsidR="00AF6D83" w:rsidRDefault="0090795C" w:rsidP="00AF6D83">
      <w:pPr>
        <w:pStyle w:val="ListParagraph"/>
        <w:numPr>
          <w:ilvl w:val="0"/>
          <w:numId w:val="38"/>
        </w:numPr>
        <w:jc w:val="both"/>
      </w:pPr>
      <w:r>
        <w:t>Staff and contracted parties must s</w:t>
      </w:r>
      <w:r w:rsidR="00AF6D83">
        <w:t xml:space="preserve">afeguard </w:t>
      </w:r>
      <w:r>
        <w:t xml:space="preserve">and not share </w:t>
      </w:r>
      <w:r w:rsidR="00AF6D83">
        <w:t>personal security credentials.</w:t>
      </w:r>
    </w:p>
    <w:p w14:paraId="6B151B3A" w14:textId="2E635579" w:rsidR="00AF6D83" w:rsidRDefault="0090795C" w:rsidP="00AF6D83">
      <w:pPr>
        <w:pStyle w:val="ListParagraph"/>
        <w:numPr>
          <w:ilvl w:val="0"/>
          <w:numId w:val="38"/>
        </w:numPr>
        <w:jc w:val="both"/>
      </w:pPr>
      <w:r>
        <w:t>Enable</w:t>
      </w:r>
      <w:r w:rsidR="00AF6D83">
        <w:t xml:space="preserve"> Multi-Factor Authentication where possible.</w:t>
      </w:r>
    </w:p>
    <w:p w14:paraId="58A32C0E" w14:textId="435DC463" w:rsidR="5E90E869" w:rsidRDefault="5E90E869" w:rsidP="00AF6D83">
      <w:pPr>
        <w:pStyle w:val="Heading1"/>
      </w:pPr>
      <w:bookmarkStart w:id="30" w:name="_Toc171008215"/>
      <w:r>
        <w:t>Cryptographic Controls</w:t>
      </w:r>
      <w:bookmarkEnd w:id="29"/>
      <w:bookmarkEnd w:id="30"/>
    </w:p>
    <w:p w14:paraId="211DBA5E" w14:textId="371A5D91" w:rsidR="0090795C" w:rsidRDefault="0090795C" w:rsidP="0090795C">
      <w:pPr>
        <w:pStyle w:val="ListParagraph"/>
        <w:numPr>
          <w:ilvl w:val="0"/>
          <w:numId w:val="39"/>
        </w:numPr>
      </w:pPr>
      <w:r>
        <w:t xml:space="preserve">Procedures </w:t>
      </w:r>
      <w:r w:rsidR="00F775A3">
        <w:t>for generating, distributing, rotating, and destroying cryptographic keys will be maintained</w:t>
      </w:r>
      <w:r>
        <w:t>.</w:t>
      </w:r>
    </w:p>
    <w:p w14:paraId="113A3312" w14:textId="255562DC" w:rsidR="0090795C" w:rsidRDefault="0090795C" w:rsidP="0090795C">
      <w:pPr>
        <w:pStyle w:val="ListParagraph"/>
        <w:numPr>
          <w:ilvl w:val="0"/>
          <w:numId w:val="39"/>
        </w:numPr>
      </w:pPr>
      <w:r>
        <w:t>Keys will be stored in a central, restricted storage location.</w:t>
      </w:r>
    </w:p>
    <w:p w14:paraId="6AB2D2DC" w14:textId="57D1A2B1" w:rsidR="0090795C" w:rsidRPr="00AF6D83" w:rsidRDefault="0090795C" w:rsidP="0090795C">
      <w:pPr>
        <w:pStyle w:val="ListParagraph"/>
        <w:numPr>
          <w:ilvl w:val="0"/>
          <w:numId w:val="39"/>
        </w:numPr>
      </w:pPr>
      <w:r>
        <w:t xml:space="preserve">Regularly review and update the </w:t>
      </w:r>
      <w:r w:rsidRPr="00F73A3A">
        <w:rPr>
          <w:highlight w:val="yellow"/>
        </w:rPr>
        <w:t>list of approved algorithms</w:t>
      </w:r>
      <w:r>
        <w:t xml:space="preserve"> to adapt to technological advancements and emerging threats.</w:t>
      </w:r>
    </w:p>
    <w:p w14:paraId="6DD9FCD3" w14:textId="0E53A66F" w:rsidR="00490855" w:rsidRDefault="5E90E869" w:rsidP="00952D14">
      <w:pPr>
        <w:pStyle w:val="Heading1"/>
        <w:jc w:val="both"/>
      </w:pPr>
      <w:bookmarkStart w:id="31" w:name="_Toc130218929"/>
      <w:bookmarkStart w:id="32" w:name="_Toc171008216"/>
      <w:r>
        <w:t>Information Classifications</w:t>
      </w:r>
      <w:bookmarkEnd w:id="31"/>
      <w:bookmarkEnd w:id="32"/>
    </w:p>
    <w:p w14:paraId="6134828B" w14:textId="7D84FA62" w:rsidR="009D435B" w:rsidRDefault="00597EE3" w:rsidP="00952D14">
      <w:pPr>
        <w:jc w:val="both"/>
      </w:pPr>
      <w:r>
        <w:t>C</w:t>
      </w:r>
      <w:r w:rsidR="008D60D7">
        <w:t xml:space="preserve">lassifications </w:t>
      </w:r>
      <w:r>
        <w:t>communicate the confidentiality</w:t>
      </w:r>
      <w:r w:rsidR="00336C93">
        <w:t xml:space="preserve"> level</w:t>
      </w:r>
      <w:r>
        <w:t xml:space="preserve"> of info</w:t>
      </w:r>
      <w:r w:rsidR="00336C93">
        <w:t>rm</w:t>
      </w:r>
      <w:r>
        <w:t>ation</w:t>
      </w:r>
      <w:r w:rsidR="00443364">
        <w:t xml:space="preserve"> and w</w:t>
      </w:r>
      <w:r w:rsidR="00A206F0">
        <w:t>ith whom it can be shared</w:t>
      </w:r>
      <w:r w:rsidR="00443364">
        <w:t xml:space="preserve">. To this end, </w:t>
      </w:r>
      <w:r w:rsidR="0090795C">
        <w:t>[</w:t>
      </w:r>
      <w:r w:rsidR="00B30FFF">
        <w:t>Company Name</w:t>
      </w:r>
      <w:r w:rsidR="0090795C">
        <w:t>]</w:t>
      </w:r>
      <w:r w:rsidR="00443364">
        <w:t xml:space="preserve"> has defined </w:t>
      </w:r>
      <w:r w:rsidR="00CD22BE">
        <w:t>three</w:t>
      </w:r>
      <w:r w:rsidR="00443364">
        <w:t xml:space="preserve"> levels of classification</w:t>
      </w:r>
      <w:r w:rsidR="6BFC9847">
        <w:t xml:space="preserve"> outlined below. </w:t>
      </w:r>
    </w:p>
    <w:p w14:paraId="3680EEB4" w14:textId="75460A6C" w:rsidR="009D435B" w:rsidRDefault="00780D90" w:rsidP="000A6CF4">
      <w:pPr>
        <w:pStyle w:val="Heading2"/>
        <w:jc w:val="both"/>
      </w:pPr>
      <w:bookmarkStart w:id="33" w:name="_Toc130218930"/>
      <w:bookmarkStart w:id="34" w:name="_Toc171008217"/>
      <w:r>
        <w:t>"</w:t>
      </w:r>
      <w:r w:rsidR="009D435B" w:rsidRPr="00786E32">
        <w:t>Confidential</w:t>
      </w:r>
      <w:r>
        <w:t>"</w:t>
      </w:r>
      <w:r w:rsidR="009D435B">
        <w:t xml:space="preserve"> Information</w:t>
      </w:r>
      <w:bookmarkEnd w:id="33"/>
      <w:bookmarkEnd w:id="34"/>
      <w:r w:rsidR="009D435B">
        <w:t xml:space="preserve"> </w:t>
      </w:r>
    </w:p>
    <w:p w14:paraId="5B1151D3" w14:textId="09FEA770" w:rsidR="00B74AAE" w:rsidRDefault="009D435B" w:rsidP="00B74AAE">
      <w:pPr>
        <w:pStyle w:val="ListParagraph"/>
        <w:numPr>
          <w:ilvl w:val="0"/>
          <w:numId w:val="25"/>
        </w:numPr>
        <w:jc w:val="both"/>
      </w:pPr>
      <w:r>
        <w:t xml:space="preserve">Unauthorised disclosure of this </w:t>
      </w:r>
      <w:r w:rsidR="7145C954">
        <w:t>information</w:t>
      </w:r>
      <w:r>
        <w:t xml:space="preserve"> to people without a business need for access</w:t>
      </w:r>
      <w:r w:rsidR="00EC7F60">
        <w:t xml:space="preserve"> </w:t>
      </w:r>
      <w:r>
        <w:t>may violate laws and regulations</w:t>
      </w:r>
      <w:r w:rsidR="00A13909">
        <w:t xml:space="preserve"> or</w:t>
      </w:r>
      <w:r>
        <w:t xml:space="preserve"> cause significant problems for </w:t>
      </w:r>
      <w:r w:rsidR="00B30FFF">
        <w:t>[Company Name</w:t>
      </w:r>
      <w:r w:rsidR="00B211B5">
        <w:t>]</w:t>
      </w:r>
      <w:r>
        <w:t>, its customers, or its business partners.</w:t>
      </w:r>
    </w:p>
    <w:p w14:paraId="76341958" w14:textId="6326662F" w:rsidR="009D435B" w:rsidRDefault="00AC33B0" w:rsidP="00B74AAE">
      <w:pPr>
        <w:pStyle w:val="ListParagraph"/>
        <w:numPr>
          <w:ilvl w:val="0"/>
          <w:numId w:val="25"/>
        </w:numPr>
        <w:jc w:val="both"/>
      </w:pPr>
      <w:r>
        <w:t>The information owner</w:t>
      </w:r>
      <w:r w:rsidR="006C0936">
        <w:t xml:space="preserve"> or an appropriate manager</w:t>
      </w:r>
      <w:r>
        <w:t xml:space="preserve"> must </w:t>
      </w:r>
      <w:r w:rsidR="00A05EAB">
        <w:t xml:space="preserve">approve </w:t>
      </w:r>
      <w:r>
        <w:t>access to confidential information</w:t>
      </w:r>
      <w:r w:rsidR="009D435B">
        <w:t>.</w:t>
      </w:r>
    </w:p>
    <w:p w14:paraId="4D0BECAA" w14:textId="77777777" w:rsidR="0065304C" w:rsidRDefault="0065304C" w:rsidP="0065304C">
      <w:pPr>
        <w:pStyle w:val="ListParagraph"/>
        <w:numPr>
          <w:ilvl w:val="0"/>
          <w:numId w:val="25"/>
        </w:numPr>
        <w:jc w:val="both"/>
      </w:pPr>
      <w:r>
        <w:t xml:space="preserve">Examples of Confidential Information may include: </w:t>
      </w:r>
    </w:p>
    <w:p w14:paraId="5D831118" w14:textId="0BE54061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>perso</w:t>
      </w:r>
      <w:r w:rsidR="00AE6ACB">
        <w:t>nal</w:t>
      </w:r>
      <w:r>
        <w:t xml:space="preserve"> information</w:t>
      </w:r>
    </w:p>
    <w:p w14:paraId="0833AFAC" w14:textId="77777777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>customer information</w:t>
      </w:r>
    </w:p>
    <w:p w14:paraId="41E706D1" w14:textId="77777777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>company financial information</w:t>
      </w:r>
    </w:p>
    <w:p w14:paraId="56FD55A5" w14:textId="04627501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>information o</w:t>
      </w:r>
      <w:r w:rsidR="00A05EAB">
        <w:t>n</w:t>
      </w:r>
      <w:r>
        <w:t xml:space="preserve"> commercial relationships</w:t>
      </w:r>
    </w:p>
    <w:p w14:paraId="4FCB6CFD" w14:textId="77777777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 xml:space="preserve">system access IDs and passwords </w:t>
      </w:r>
    </w:p>
    <w:p w14:paraId="4A20FBC7" w14:textId="77777777" w:rsidR="0065304C" w:rsidRDefault="0065304C" w:rsidP="0065304C">
      <w:pPr>
        <w:pStyle w:val="ListParagraph"/>
        <w:numPr>
          <w:ilvl w:val="1"/>
          <w:numId w:val="25"/>
        </w:numPr>
        <w:jc w:val="both"/>
      </w:pPr>
      <w:r>
        <w:t>file encryption keys.</w:t>
      </w:r>
    </w:p>
    <w:p w14:paraId="24F4F375" w14:textId="77777777" w:rsidR="00786E32" w:rsidRDefault="00786E32" w:rsidP="00254DD7">
      <w:pPr>
        <w:pStyle w:val="Heading3"/>
        <w:ind w:left="360"/>
      </w:pPr>
    </w:p>
    <w:p w14:paraId="14FFCDE3" w14:textId="295E627C" w:rsidR="00AE6ACB" w:rsidRDefault="00C6546C" w:rsidP="00254DD7">
      <w:pPr>
        <w:pStyle w:val="Heading3"/>
        <w:ind w:left="360"/>
      </w:pPr>
      <w:bookmarkStart w:id="35" w:name="_Toc171008218"/>
      <w:r>
        <w:t>Handling Guidance for Confidential Information</w:t>
      </w:r>
      <w:bookmarkEnd w:id="35"/>
    </w:p>
    <w:p w14:paraId="13311EBB" w14:textId="77777777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Encryption:</w:t>
      </w:r>
      <w:r>
        <w:t xml:space="preserve"> Ensure all confidential data, both in transit and at rest, is encrypted using approved encryption methods.</w:t>
      </w:r>
    </w:p>
    <w:p w14:paraId="5E749E22" w14:textId="77777777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Access Control</w:t>
      </w:r>
      <w:r>
        <w:t>: Limit access strictly to authorised personnel with a legitimate need for access.</w:t>
      </w:r>
    </w:p>
    <w:p w14:paraId="3AE37304" w14:textId="77777777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Data Storage</w:t>
      </w:r>
      <w:r>
        <w:t>: Store in secure, access-controlled environments (physical or digital).</w:t>
      </w:r>
    </w:p>
    <w:p w14:paraId="42C0332D" w14:textId="77777777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Data Transfer</w:t>
      </w:r>
      <w:r>
        <w:t>: Use secure, encrypted channels for transferring confidential data.</w:t>
      </w:r>
    </w:p>
    <w:p w14:paraId="62780D34" w14:textId="7025A3C9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Destruction and Disposal</w:t>
      </w:r>
      <w:r>
        <w:t xml:space="preserve">: </w:t>
      </w:r>
      <w:r w:rsidR="00267A7D">
        <w:t>Confidential data should be securely and irreversibly destroyed when no longer need</w:t>
      </w:r>
      <w:r>
        <w:t>ed. This includes paper documents, digital files, and any removable media.</w:t>
      </w:r>
    </w:p>
    <w:p w14:paraId="5CBFE183" w14:textId="54E452F4" w:rsidR="00C6546C" w:rsidRDefault="00C6546C" w:rsidP="00C6546C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Breach Protocol:</w:t>
      </w:r>
      <w:r>
        <w:t xml:space="preserve"> </w:t>
      </w:r>
      <w:r w:rsidRPr="00CF4B21">
        <w:rPr>
          <w:highlight w:val="yellow"/>
        </w:rPr>
        <w:t xml:space="preserve">Establish a specific protocol for reporting and responding to </w:t>
      </w:r>
      <w:r w:rsidR="00267A7D">
        <w:rPr>
          <w:highlight w:val="yellow"/>
        </w:rPr>
        <w:t>confidential information breaches</w:t>
      </w:r>
      <w:r w:rsidRPr="00CF4B21">
        <w:rPr>
          <w:highlight w:val="yellow"/>
        </w:rPr>
        <w:t>.</w:t>
      </w:r>
    </w:p>
    <w:p w14:paraId="1A9930ED" w14:textId="77777777" w:rsidR="00786E32" w:rsidRDefault="00786E32" w:rsidP="00786E32">
      <w:pPr>
        <w:jc w:val="both"/>
      </w:pPr>
    </w:p>
    <w:p w14:paraId="47BD4B8A" w14:textId="0C144B17" w:rsidR="009D435B" w:rsidRDefault="00780D90" w:rsidP="000A6CF4">
      <w:pPr>
        <w:pStyle w:val="Heading2"/>
        <w:jc w:val="both"/>
      </w:pPr>
      <w:bookmarkStart w:id="36" w:name="_Toc130218931"/>
      <w:bookmarkStart w:id="37" w:name="_Toc171008219"/>
      <w:r>
        <w:t>"</w:t>
      </w:r>
      <w:r w:rsidR="009D435B" w:rsidRPr="00786E32">
        <w:t>Internal</w:t>
      </w:r>
      <w:r>
        <w:t>"</w:t>
      </w:r>
      <w:r w:rsidR="009D435B">
        <w:t xml:space="preserve"> Information</w:t>
      </w:r>
      <w:bookmarkEnd w:id="36"/>
      <w:bookmarkEnd w:id="37"/>
    </w:p>
    <w:p w14:paraId="084369D5" w14:textId="520BD587" w:rsidR="0047399B" w:rsidRDefault="009D435B" w:rsidP="0047399B">
      <w:pPr>
        <w:pStyle w:val="ListParagraph"/>
        <w:numPr>
          <w:ilvl w:val="0"/>
          <w:numId w:val="26"/>
        </w:numPr>
        <w:jc w:val="both"/>
      </w:pPr>
      <w:r>
        <w:t>Information intended for unrestricted use within</w:t>
      </w:r>
      <w:r w:rsidR="00A303CA" w:rsidRPr="00A303CA">
        <w:t xml:space="preserve"> </w:t>
      </w:r>
      <w:r w:rsidR="00A303CA">
        <w:t>TechSolution.inc</w:t>
      </w:r>
      <w:r>
        <w:t xml:space="preserve"> and</w:t>
      </w:r>
      <w:r w:rsidR="00267A7D">
        <w:t>,</w:t>
      </w:r>
      <w:r>
        <w:t xml:space="preserve"> in some cases</w:t>
      </w:r>
      <w:r w:rsidR="00267A7D">
        <w:t>,</w:t>
      </w:r>
      <w:r>
        <w:t xml:space="preserve"> within affiliated organisations such as </w:t>
      </w:r>
      <w:r w:rsidR="00A303CA">
        <w:t>TechSolution.inc</w:t>
      </w:r>
      <w:r>
        <w:t xml:space="preserve"> business partners. </w:t>
      </w:r>
    </w:p>
    <w:p w14:paraId="4407CFAA" w14:textId="37B1BC10" w:rsidR="009D435B" w:rsidRDefault="00B4153C" w:rsidP="0047399B">
      <w:pPr>
        <w:pStyle w:val="ListParagraph"/>
        <w:numPr>
          <w:ilvl w:val="0"/>
          <w:numId w:val="26"/>
        </w:numPr>
        <w:jc w:val="both"/>
      </w:pPr>
      <w:r>
        <w:t>It m</w:t>
      </w:r>
      <w:r w:rsidR="00035093">
        <w:t>ay be</w:t>
      </w:r>
      <w:r w:rsidR="00205D5B">
        <w:t xml:space="preserve"> </w:t>
      </w:r>
      <w:r w:rsidR="009D435B">
        <w:t xml:space="preserve">distributed within </w:t>
      </w:r>
      <w:r w:rsidR="00A303CA">
        <w:t>TechSolution.inc</w:t>
      </w:r>
      <w:r w:rsidR="009D435B">
        <w:t xml:space="preserve"> without advance permission from the information owner.</w:t>
      </w:r>
    </w:p>
    <w:p w14:paraId="73B07C99" w14:textId="77777777" w:rsidR="0065304C" w:rsidRDefault="0065304C" w:rsidP="0065304C">
      <w:pPr>
        <w:pStyle w:val="ListParagraph"/>
        <w:numPr>
          <w:ilvl w:val="0"/>
          <w:numId w:val="26"/>
        </w:numPr>
        <w:jc w:val="both"/>
      </w:pPr>
      <w:r>
        <w:t>Any information not explicitly classified as Confidential or Public will, by default, be classified as Internal Information.</w:t>
      </w:r>
    </w:p>
    <w:p w14:paraId="54A8FCEE" w14:textId="234A6D5F" w:rsidR="0065304C" w:rsidRDefault="0065304C" w:rsidP="0065304C">
      <w:pPr>
        <w:pStyle w:val="ListParagraph"/>
        <w:numPr>
          <w:ilvl w:val="0"/>
          <w:numId w:val="26"/>
        </w:numPr>
        <w:jc w:val="both"/>
      </w:pPr>
      <w:r>
        <w:t xml:space="preserve">Unauthorised disclosure of this </w:t>
      </w:r>
      <w:r w:rsidR="7145C954">
        <w:t>information</w:t>
      </w:r>
      <w:r>
        <w:t xml:space="preserve"> to outsiders may not be appropriate due to legal or contractual provisions.</w:t>
      </w:r>
    </w:p>
    <w:p w14:paraId="006ED9DD" w14:textId="77777777" w:rsidR="0047399B" w:rsidRDefault="009D435B" w:rsidP="0047399B">
      <w:pPr>
        <w:pStyle w:val="ListParagraph"/>
        <w:numPr>
          <w:ilvl w:val="0"/>
          <w:numId w:val="26"/>
        </w:numPr>
        <w:jc w:val="both"/>
      </w:pPr>
      <w:r>
        <w:t xml:space="preserve">Examples of Internal Information may include: </w:t>
      </w:r>
    </w:p>
    <w:p w14:paraId="0606CE24" w14:textId="77777777" w:rsidR="0047399B" w:rsidRDefault="009D435B" w:rsidP="0047399B">
      <w:pPr>
        <w:pStyle w:val="ListParagraph"/>
        <w:numPr>
          <w:ilvl w:val="1"/>
          <w:numId w:val="26"/>
        </w:numPr>
        <w:jc w:val="both"/>
      </w:pPr>
      <w:r>
        <w:t>personnel directories</w:t>
      </w:r>
    </w:p>
    <w:p w14:paraId="0822CF8C" w14:textId="77777777" w:rsidR="0047399B" w:rsidRDefault="009D435B" w:rsidP="0047399B">
      <w:pPr>
        <w:pStyle w:val="ListParagraph"/>
        <w:numPr>
          <w:ilvl w:val="1"/>
          <w:numId w:val="26"/>
        </w:numPr>
        <w:jc w:val="both"/>
      </w:pPr>
      <w:r>
        <w:t>internal policies and procedures</w:t>
      </w:r>
    </w:p>
    <w:p w14:paraId="7AB68120" w14:textId="7D0A1DB6" w:rsidR="009D435B" w:rsidRDefault="009D435B" w:rsidP="0047399B">
      <w:pPr>
        <w:pStyle w:val="ListParagraph"/>
        <w:numPr>
          <w:ilvl w:val="1"/>
          <w:numId w:val="26"/>
        </w:numPr>
        <w:jc w:val="both"/>
      </w:pPr>
      <w:r>
        <w:t>most internal electronic mail messages.</w:t>
      </w:r>
    </w:p>
    <w:p w14:paraId="266E0506" w14:textId="77777777" w:rsidR="009F7168" w:rsidRDefault="009F7168" w:rsidP="00254DD7">
      <w:pPr>
        <w:pStyle w:val="Heading3"/>
        <w:ind w:left="360"/>
      </w:pPr>
    </w:p>
    <w:p w14:paraId="3A41838F" w14:textId="36C45E9A" w:rsidR="000B6ACD" w:rsidRDefault="000B6ACD" w:rsidP="00254DD7">
      <w:pPr>
        <w:pStyle w:val="Heading3"/>
        <w:ind w:left="360"/>
      </w:pPr>
      <w:bookmarkStart w:id="38" w:name="_Toc171008220"/>
      <w:r>
        <w:t>Handling Guidance for Internal Information</w:t>
      </w:r>
      <w:bookmarkEnd w:id="38"/>
    </w:p>
    <w:p w14:paraId="1EAFAB85" w14:textId="0F9EF6C9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Encryption:</w:t>
      </w:r>
      <w:r>
        <w:t xml:space="preserve"> </w:t>
      </w:r>
      <w:r w:rsidR="008D432F">
        <w:t xml:space="preserve">Internal information </w:t>
      </w:r>
      <w:r w:rsidR="00B22D7B">
        <w:t>will be</w:t>
      </w:r>
      <w:r w:rsidR="00697065">
        <w:t xml:space="preserve"> encrypted</w:t>
      </w:r>
      <w:r w:rsidR="00C07639">
        <w:t xml:space="preserve"> in transit and at rest</w:t>
      </w:r>
      <w:r w:rsidR="00697065">
        <w:t>.</w:t>
      </w:r>
    </w:p>
    <w:p w14:paraId="5453C8E2" w14:textId="09A1E67A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Access Control</w:t>
      </w:r>
      <w:r>
        <w:t xml:space="preserve">: </w:t>
      </w:r>
      <w:r w:rsidR="00697065">
        <w:t>Access should be limited to the organisation</w:t>
      </w:r>
      <w:r w:rsidR="00F44620">
        <w:t>'</w:t>
      </w:r>
      <w:r w:rsidR="00697065">
        <w:t>s staff and contracted parties but not shared externally without written permission</w:t>
      </w:r>
      <w:r>
        <w:t>.</w:t>
      </w:r>
    </w:p>
    <w:p w14:paraId="2D4E6F74" w14:textId="40902D0F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Data Storage</w:t>
      </w:r>
      <w:r>
        <w:t xml:space="preserve">: </w:t>
      </w:r>
      <w:r w:rsidR="00697065">
        <w:t>Data will be s</w:t>
      </w:r>
      <w:r>
        <w:t>tore</w:t>
      </w:r>
      <w:r w:rsidR="00697065">
        <w:t>d</w:t>
      </w:r>
      <w:r>
        <w:t xml:space="preserve"> in secure, access-controlled environments.</w:t>
      </w:r>
    </w:p>
    <w:p w14:paraId="35167774" w14:textId="23137D96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Data Transfer</w:t>
      </w:r>
      <w:r>
        <w:t xml:space="preserve">: </w:t>
      </w:r>
      <w:r w:rsidR="0037570F">
        <w:t>Care should be taken, but encrypted transfer is u</w:t>
      </w:r>
      <w:r w:rsidR="00B4153C">
        <w:t>n</w:t>
      </w:r>
      <w:r w:rsidR="0037570F">
        <w:t>necessary</w:t>
      </w:r>
      <w:r>
        <w:t>.</w:t>
      </w:r>
    </w:p>
    <w:p w14:paraId="39F16D77" w14:textId="6D1C75DB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Destruction and Disposal</w:t>
      </w:r>
      <w:r>
        <w:t xml:space="preserve">: </w:t>
      </w:r>
      <w:r w:rsidR="00443631">
        <w:t>Internal data should be securely and irreversibly destroyed when no longer need</w:t>
      </w:r>
      <w:r>
        <w:t>ed. This includes paper documents, digital files, and any removable media.</w:t>
      </w:r>
    </w:p>
    <w:p w14:paraId="7E013D47" w14:textId="40CD11BE" w:rsidR="00254DD7" w:rsidRDefault="00254DD7" w:rsidP="00254DD7">
      <w:pPr>
        <w:pStyle w:val="ListParagraph"/>
        <w:numPr>
          <w:ilvl w:val="0"/>
          <w:numId w:val="42"/>
        </w:numPr>
        <w:jc w:val="both"/>
      </w:pPr>
      <w:r w:rsidRPr="00C6546C">
        <w:rPr>
          <w:b/>
          <w:bCs/>
        </w:rPr>
        <w:t>Breach Protocol:</w:t>
      </w:r>
      <w:r>
        <w:t xml:space="preserve"> </w:t>
      </w:r>
      <w:r w:rsidRPr="00CF4B21">
        <w:rPr>
          <w:highlight w:val="yellow"/>
        </w:rPr>
        <w:t xml:space="preserve">Establish a specific protocol for reporting and responding to </w:t>
      </w:r>
      <w:r w:rsidR="00443631">
        <w:rPr>
          <w:highlight w:val="yellow"/>
        </w:rPr>
        <w:t>confidential information breaches</w:t>
      </w:r>
      <w:r w:rsidRPr="00CF4B21">
        <w:rPr>
          <w:highlight w:val="yellow"/>
        </w:rPr>
        <w:t>.</w:t>
      </w:r>
    </w:p>
    <w:p w14:paraId="4F3A2B81" w14:textId="77777777" w:rsidR="000B6ACD" w:rsidRDefault="000B6ACD" w:rsidP="000B6ACD">
      <w:pPr>
        <w:jc w:val="both"/>
      </w:pPr>
    </w:p>
    <w:p w14:paraId="004065A9" w14:textId="7E5CF5D7" w:rsidR="009D435B" w:rsidRDefault="00780D90" w:rsidP="000A6CF4">
      <w:pPr>
        <w:pStyle w:val="Heading2"/>
        <w:jc w:val="both"/>
      </w:pPr>
      <w:bookmarkStart w:id="39" w:name="_Toc130218932"/>
      <w:bookmarkStart w:id="40" w:name="_Toc171008221"/>
      <w:r>
        <w:t>"</w:t>
      </w:r>
      <w:r w:rsidR="009D435B" w:rsidRPr="00786E32">
        <w:t>Public</w:t>
      </w:r>
      <w:r>
        <w:t>"</w:t>
      </w:r>
      <w:r w:rsidR="009D435B">
        <w:t xml:space="preserve"> Information</w:t>
      </w:r>
      <w:bookmarkEnd w:id="39"/>
      <w:bookmarkEnd w:id="40"/>
    </w:p>
    <w:p w14:paraId="63236BEE" w14:textId="1868A509" w:rsidR="00FA383C" w:rsidRDefault="009D435B" w:rsidP="000A6CF4">
      <w:pPr>
        <w:pStyle w:val="ListParagraph"/>
        <w:numPr>
          <w:ilvl w:val="0"/>
          <w:numId w:val="27"/>
        </w:numPr>
        <w:jc w:val="both"/>
      </w:pPr>
      <w:r>
        <w:t xml:space="preserve">Public </w:t>
      </w:r>
      <w:r w:rsidR="7145C954">
        <w:t>information</w:t>
      </w:r>
      <w:r>
        <w:t xml:space="preserve"> has been approved for public release by a designated authority within </w:t>
      </w:r>
      <w:r w:rsidR="00786E32">
        <w:t>[Company Name]</w:t>
      </w:r>
      <w:r>
        <w:t>.</w:t>
      </w:r>
    </w:p>
    <w:p w14:paraId="573770CE" w14:textId="1070073D" w:rsidR="00CB40E0" w:rsidRDefault="00CB40E0" w:rsidP="000A6CF4">
      <w:pPr>
        <w:pStyle w:val="ListParagraph"/>
        <w:numPr>
          <w:ilvl w:val="0"/>
          <w:numId w:val="27"/>
        </w:numPr>
        <w:jc w:val="both"/>
      </w:pPr>
      <w:r>
        <w:t xml:space="preserve">This </w:t>
      </w:r>
      <w:r w:rsidR="7145C954">
        <w:t>information</w:t>
      </w:r>
      <w:r>
        <w:t xml:space="preserve"> may be disclosed outside of </w:t>
      </w:r>
      <w:r w:rsidR="00786E32">
        <w:t>[Company Name]</w:t>
      </w:r>
      <w:r>
        <w:t>.</w:t>
      </w:r>
    </w:p>
    <w:p w14:paraId="48ED588F" w14:textId="77777777" w:rsidR="00FA383C" w:rsidRDefault="00FA383C" w:rsidP="000A6CF4">
      <w:pPr>
        <w:pStyle w:val="ListParagraph"/>
        <w:numPr>
          <w:ilvl w:val="0"/>
          <w:numId w:val="27"/>
        </w:numPr>
        <w:jc w:val="both"/>
      </w:pPr>
      <w:r>
        <w:t>E</w:t>
      </w:r>
      <w:r w:rsidR="009D435B">
        <w:t>xamples of Public Information may include</w:t>
      </w:r>
      <w:r>
        <w:t>:</w:t>
      </w:r>
    </w:p>
    <w:p w14:paraId="68369EAD" w14:textId="77777777" w:rsidR="00CB40E0" w:rsidRDefault="009D435B" w:rsidP="00FA383C">
      <w:pPr>
        <w:pStyle w:val="ListParagraph"/>
        <w:numPr>
          <w:ilvl w:val="1"/>
          <w:numId w:val="27"/>
        </w:numPr>
        <w:jc w:val="both"/>
      </w:pPr>
      <w:r>
        <w:t>marketing brochures</w:t>
      </w:r>
    </w:p>
    <w:p w14:paraId="2A105FA3" w14:textId="04CE9386" w:rsidR="00CB40E0" w:rsidRDefault="009D435B" w:rsidP="00FA383C">
      <w:pPr>
        <w:pStyle w:val="ListParagraph"/>
        <w:numPr>
          <w:ilvl w:val="1"/>
          <w:numId w:val="27"/>
        </w:numPr>
        <w:jc w:val="both"/>
      </w:pPr>
      <w:r>
        <w:t xml:space="preserve">material posted to </w:t>
      </w:r>
      <w:r w:rsidR="00786E32">
        <w:t>[Company Name]</w:t>
      </w:r>
      <w:r>
        <w:t xml:space="preserve"> websites</w:t>
      </w:r>
    </w:p>
    <w:p w14:paraId="365028AF" w14:textId="49095747" w:rsidR="009D435B" w:rsidRDefault="00786E32" w:rsidP="00FA383C">
      <w:pPr>
        <w:pStyle w:val="ListParagraph"/>
        <w:numPr>
          <w:ilvl w:val="1"/>
          <w:numId w:val="27"/>
        </w:numPr>
        <w:jc w:val="both"/>
      </w:pPr>
      <w:r>
        <w:t>[Company Name]</w:t>
      </w:r>
      <w:r w:rsidR="00CB40E0">
        <w:t xml:space="preserve"> posts to </w:t>
      </w:r>
      <w:r w:rsidR="009D435B">
        <w:t>social media sites.</w:t>
      </w:r>
    </w:p>
    <w:p w14:paraId="5A27F073" w14:textId="77777777" w:rsidR="009F7168" w:rsidRDefault="009F7168" w:rsidP="00064436">
      <w:pPr>
        <w:pStyle w:val="Heading3"/>
        <w:ind w:left="360"/>
      </w:pPr>
    </w:p>
    <w:p w14:paraId="1C5EFF9D" w14:textId="01C76986" w:rsidR="00064436" w:rsidRDefault="00064436" w:rsidP="00064436">
      <w:pPr>
        <w:pStyle w:val="Heading3"/>
        <w:ind w:left="360"/>
      </w:pPr>
      <w:bookmarkStart w:id="41" w:name="_Toc171008222"/>
      <w:r>
        <w:t xml:space="preserve">Handling Guidance for </w:t>
      </w:r>
      <w:r w:rsidR="00B22D7B">
        <w:t>Public</w:t>
      </w:r>
      <w:r>
        <w:t xml:space="preserve"> Information</w:t>
      </w:r>
      <w:bookmarkEnd w:id="41"/>
    </w:p>
    <w:p w14:paraId="7364E6F4" w14:textId="71A6EBA2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Encryption:</w:t>
      </w:r>
      <w:r>
        <w:t xml:space="preserve"> </w:t>
      </w:r>
      <w:r w:rsidR="00B22D7B">
        <w:t>Public information is not</w:t>
      </w:r>
      <w:r>
        <w:t xml:space="preserve"> encrypted.</w:t>
      </w:r>
    </w:p>
    <w:p w14:paraId="00FD24B1" w14:textId="14AB911D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Access Control</w:t>
      </w:r>
      <w:r>
        <w:t>: Access</w:t>
      </w:r>
      <w:r w:rsidR="00D24E3B">
        <w:t xml:space="preserve"> to duplicates of public information</w:t>
      </w:r>
      <w:r>
        <w:t xml:space="preserve"> </w:t>
      </w:r>
      <w:r w:rsidR="00C07639">
        <w:t>is not restricted</w:t>
      </w:r>
      <w:r w:rsidR="00443631">
        <w:t>,</w:t>
      </w:r>
      <w:r w:rsidR="00C07639">
        <w:t xml:space="preserve"> and information can be freely shared</w:t>
      </w:r>
      <w:r>
        <w:t>.</w:t>
      </w:r>
      <w:r w:rsidR="00D24E3B">
        <w:t xml:space="preserve"> The </w:t>
      </w:r>
      <w:r w:rsidR="0000609E">
        <w:t>source</w:t>
      </w:r>
      <w:r w:rsidR="00D24E3B">
        <w:t xml:space="preserve"> information will be strictly controlled as </w:t>
      </w:r>
      <w:r w:rsidR="00F44620">
        <w:t>'</w:t>
      </w:r>
      <w:r w:rsidR="00D24E3B">
        <w:t>internal information</w:t>
      </w:r>
      <w:r w:rsidR="00F44620">
        <w:t>'</w:t>
      </w:r>
      <w:r w:rsidR="00D24E3B">
        <w:t>, for example</w:t>
      </w:r>
      <w:r w:rsidR="00443631">
        <w:t>,</w:t>
      </w:r>
      <w:r w:rsidR="00D24E3B">
        <w:t xml:space="preserve"> </w:t>
      </w:r>
      <w:r w:rsidR="0000609E">
        <w:t>company information brochures, website information, etc.</w:t>
      </w:r>
    </w:p>
    <w:p w14:paraId="0A7557AC" w14:textId="4DAC5D84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Data Storage</w:t>
      </w:r>
      <w:r>
        <w:t xml:space="preserve">: </w:t>
      </w:r>
      <w:r w:rsidR="00C5608B">
        <w:t>Data may be stored on a variety of platforms</w:t>
      </w:r>
      <w:r w:rsidR="00C75606">
        <w:t>.</w:t>
      </w:r>
    </w:p>
    <w:p w14:paraId="52B10BE5" w14:textId="14EAAF0C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Data Transfer</w:t>
      </w:r>
      <w:r>
        <w:t>: Care should be taken, but encrypted transfer is u</w:t>
      </w:r>
      <w:r w:rsidR="00443631">
        <w:t>n</w:t>
      </w:r>
      <w:r>
        <w:t>necessary.</w:t>
      </w:r>
    </w:p>
    <w:p w14:paraId="6D222E30" w14:textId="6599678B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Destruction and Disposal</w:t>
      </w:r>
      <w:r>
        <w:t xml:space="preserve">: </w:t>
      </w:r>
      <w:r w:rsidR="00C75606">
        <w:t xml:space="preserve">Public information does not require </w:t>
      </w:r>
      <w:r w:rsidR="0033208C">
        <w:t xml:space="preserve">planning and control for destruction but may require consideration for </w:t>
      </w:r>
      <w:r w:rsidR="00497C52">
        <w:t>information retirement</w:t>
      </w:r>
      <w:r w:rsidR="0033208C">
        <w:t xml:space="preserve"> to ensure obsolete data is not propagated.</w:t>
      </w:r>
    </w:p>
    <w:p w14:paraId="5352CF70" w14:textId="06041E58" w:rsidR="00064436" w:rsidRDefault="00064436" w:rsidP="00064436">
      <w:pPr>
        <w:pStyle w:val="ListParagraph"/>
        <w:numPr>
          <w:ilvl w:val="0"/>
          <w:numId w:val="27"/>
        </w:numPr>
        <w:jc w:val="both"/>
      </w:pPr>
      <w:r w:rsidRPr="00C6546C">
        <w:rPr>
          <w:b/>
          <w:bCs/>
        </w:rPr>
        <w:t>Breach Protocol:</w:t>
      </w:r>
      <w:r>
        <w:t xml:space="preserve"> </w:t>
      </w:r>
      <w:r w:rsidR="0033208C">
        <w:t>None.</w:t>
      </w:r>
    </w:p>
    <w:p w14:paraId="35C2F5F0" w14:textId="77777777" w:rsidR="00064436" w:rsidRDefault="00064436" w:rsidP="00064436">
      <w:pPr>
        <w:jc w:val="both"/>
      </w:pPr>
    </w:p>
    <w:p w14:paraId="6F0849A5" w14:textId="5D159A68" w:rsidR="009D435B" w:rsidRDefault="009D435B" w:rsidP="00CB40E0">
      <w:pPr>
        <w:pStyle w:val="Heading1"/>
        <w:jc w:val="both"/>
      </w:pPr>
      <w:bookmarkStart w:id="42" w:name="_Toc130218933"/>
      <w:bookmarkStart w:id="43" w:name="_Toc171008223"/>
      <w:r>
        <w:t xml:space="preserve">Breaches of </w:t>
      </w:r>
      <w:commentRangeStart w:id="44"/>
      <w:r>
        <w:t>Security</w:t>
      </w:r>
      <w:bookmarkEnd w:id="42"/>
      <w:commentRangeEnd w:id="44"/>
      <w:r w:rsidR="00D01CCD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4"/>
      </w:r>
      <w:bookmarkEnd w:id="43"/>
    </w:p>
    <w:p w14:paraId="56407457" w14:textId="492620AE" w:rsidR="00EC5931" w:rsidRDefault="00EC5931" w:rsidP="00EC5931">
      <w:pPr>
        <w:pStyle w:val="ListParagraph"/>
        <w:numPr>
          <w:ilvl w:val="0"/>
          <w:numId w:val="40"/>
        </w:numPr>
      </w:pPr>
      <w:r>
        <w:t xml:space="preserve">Report system security concerns immediately to </w:t>
      </w:r>
      <w:r w:rsidR="00497C52">
        <w:t xml:space="preserve">the </w:t>
      </w:r>
      <w:r>
        <w:t>IT Helpdesk.</w:t>
      </w:r>
    </w:p>
    <w:p w14:paraId="01BC1862" w14:textId="77777777" w:rsidR="00EC5931" w:rsidRDefault="00EC5931" w:rsidP="00EC5931">
      <w:pPr>
        <w:pStyle w:val="ListParagraph"/>
        <w:numPr>
          <w:ilvl w:val="0"/>
          <w:numId w:val="40"/>
        </w:numPr>
      </w:pPr>
      <w:r>
        <w:t xml:space="preserve">Report physical breaches to the </w:t>
      </w:r>
      <w:r w:rsidRPr="00EA3F51">
        <w:rPr>
          <w:highlight w:val="yellow"/>
        </w:rPr>
        <w:t>Office Manager or CPO.</w:t>
      </w:r>
    </w:p>
    <w:p w14:paraId="05CEA13E" w14:textId="13A247CF" w:rsidR="00EC5931" w:rsidRDefault="00EA3F51" w:rsidP="00EC5931">
      <w:pPr>
        <w:pStyle w:val="ListParagraph"/>
        <w:numPr>
          <w:ilvl w:val="0"/>
          <w:numId w:val="40"/>
        </w:numPr>
      </w:pPr>
      <w:r>
        <w:t xml:space="preserve">Please </w:t>
      </w:r>
      <w:r w:rsidR="00EC5931">
        <w:t>Refer to the Data Protection Policy for personal data breaches.</w:t>
      </w:r>
    </w:p>
    <w:p w14:paraId="54C45AB5" w14:textId="7F09A330" w:rsidR="00AE6ACB" w:rsidRPr="00EC5931" w:rsidRDefault="00AE6ACB" w:rsidP="00EC5931">
      <w:pPr>
        <w:pStyle w:val="ListParagraph"/>
        <w:numPr>
          <w:ilvl w:val="0"/>
          <w:numId w:val="40"/>
        </w:numPr>
      </w:pPr>
      <w:r>
        <w:t xml:space="preserve">Please refer to the </w:t>
      </w:r>
      <w:r w:rsidRPr="00CE03F2">
        <w:rPr>
          <w:highlight w:val="yellow"/>
        </w:rPr>
        <w:t xml:space="preserve">Information Security </w:t>
      </w:r>
      <w:r w:rsidR="00EA3F51" w:rsidRPr="00CE03F2">
        <w:rPr>
          <w:highlight w:val="yellow"/>
        </w:rPr>
        <w:t>Incident</w:t>
      </w:r>
      <w:r w:rsidR="00EA3F51">
        <w:t xml:space="preserve"> process for </w:t>
      </w:r>
      <w:r w:rsidR="00B64071">
        <w:t>significant</w:t>
      </w:r>
      <w:r w:rsidR="00D01CCD">
        <w:t xml:space="preserve"> </w:t>
      </w:r>
      <w:r w:rsidR="00EA3F51">
        <w:t>data breaches.</w:t>
      </w:r>
    </w:p>
    <w:p w14:paraId="072B7C5E" w14:textId="1FF15DB0" w:rsidR="009D435B" w:rsidRDefault="009D435B" w:rsidP="00C325C0">
      <w:pPr>
        <w:pStyle w:val="Heading1"/>
        <w:jc w:val="both"/>
      </w:pPr>
      <w:bookmarkStart w:id="45" w:name="_Toc130218934"/>
      <w:bookmarkStart w:id="46" w:name="_Toc171008224"/>
      <w:r>
        <w:t>Associated Policies and Documents</w:t>
      </w:r>
      <w:bookmarkEnd w:id="45"/>
      <w:bookmarkEnd w:id="46"/>
    </w:p>
    <w:p w14:paraId="2A4EDBD8" w14:textId="768F6FDF" w:rsidR="009D435B" w:rsidRDefault="009D435B" w:rsidP="000A6CF4">
      <w:pPr>
        <w:jc w:val="both"/>
      </w:pPr>
      <w:r>
        <w:t>The following policies support and provide additional context to this policy and responsibilities</w:t>
      </w:r>
      <w:r w:rsidR="5734358E">
        <w:t>.</w:t>
      </w:r>
    </w:p>
    <w:p w14:paraId="2B07A02F" w14:textId="77777777" w:rsidR="00EA3F51" w:rsidRDefault="00EA3F51" w:rsidP="000A6CF4">
      <w:pPr>
        <w:jc w:val="both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EA3F51" w14:paraId="1F09DFA2" w14:textId="77777777" w:rsidTr="0008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BA9CFD" w14:textId="41A9A78F" w:rsidR="00EA3F51" w:rsidRPr="00EA3F51" w:rsidRDefault="00EA3F51" w:rsidP="000A6CF4">
            <w:pPr>
              <w:jc w:val="both"/>
              <w:rPr>
                <w:b w:val="0"/>
                <w:bCs w:val="0"/>
              </w:rPr>
            </w:pPr>
            <w:r w:rsidRPr="00EA3F51">
              <w:t>Policy</w:t>
            </w:r>
          </w:p>
        </w:tc>
        <w:tc>
          <w:tcPr>
            <w:tcW w:w="3511" w:type="dxa"/>
          </w:tcPr>
          <w:p w14:paraId="5E255D3E" w14:textId="1809764E" w:rsidR="00EA3F51" w:rsidRPr="00EA3F51" w:rsidRDefault="00EA3F51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3F51">
              <w:t>Description</w:t>
            </w:r>
          </w:p>
        </w:tc>
        <w:tc>
          <w:tcPr>
            <w:tcW w:w="2500" w:type="dxa"/>
          </w:tcPr>
          <w:p w14:paraId="5A76EA5D" w14:textId="2DA154E5" w:rsidR="00EA3F51" w:rsidRPr="00EA3F51" w:rsidRDefault="00EA3F51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3F51">
              <w:t>Location</w:t>
            </w:r>
          </w:p>
        </w:tc>
      </w:tr>
      <w:tr w:rsidR="00EA3F51" w14:paraId="16018BEC" w14:textId="77777777" w:rsidTr="0008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D50844" w14:textId="4D0CBD3C" w:rsidR="00EA3F51" w:rsidRDefault="00EA3F51" w:rsidP="000A6CF4">
            <w:pPr>
              <w:jc w:val="both"/>
            </w:pPr>
            <w:r>
              <w:t>Acceptable Use Policy</w:t>
            </w:r>
          </w:p>
        </w:tc>
        <w:tc>
          <w:tcPr>
            <w:tcW w:w="3511" w:type="dxa"/>
          </w:tcPr>
          <w:p w14:paraId="7FAAFE4D" w14:textId="6AFF3E02" w:rsidR="00EA3F51" w:rsidRDefault="00B6407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Guides</w:t>
            </w:r>
            <w:r w:rsidR="0065240E">
              <w:t xml:space="preserve"> staff on how the organisation</w:t>
            </w:r>
            <w:r w:rsidR="00F44620">
              <w:t>'</w:t>
            </w:r>
            <w:r w:rsidR="0065240E">
              <w:t>s technology may be used.</w:t>
            </w:r>
          </w:p>
        </w:tc>
        <w:tc>
          <w:tcPr>
            <w:tcW w:w="2500" w:type="dxa"/>
          </w:tcPr>
          <w:p w14:paraId="5DEADBDD" w14:textId="77777777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51" w14:paraId="51275770" w14:textId="77777777" w:rsidTr="0008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61A005" w14:textId="2DD319A9" w:rsidR="00EA3F51" w:rsidRDefault="00EA3F51" w:rsidP="000A6CF4">
            <w:pPr>
              <w:jc w:val="both"/>
            </w:pPr>
            <w:r>
              <w:t>Data Protection Policy</w:t>
            </w:r>
          </w:p>
        </w:tc>
        <w:tc>
          <w:tcPr>
            <w:tcW w:w="3511" w:type="dxa"/>
          </w:tcPr>
          <w:p w14:paraId="4044BE00" w14:textId="56C07D3D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personally identif</w:t>
            </w:r>
            <w:r w:rsidR="00497C52">
              <w:t>i</w:t>
            </w:r>
            <w:r>
              <w:t xml:space="preserve">able data will be </w:t>
            </w:r>
            <w:proofErr w:type="gramStart"/>
            <w:r>
              <w:t>handled.</w:t>
            </w:r>
            <w:proofErr w:type="gramEnd"/>
          </w:p>
        </w:tc>
        <w:tc>
          <w:tcPr>
            <w:tcW w:w="2500" w:type="dxa"/>
          </w:tcPr>
          <w:p w14:paraId="2839EC34" w14:textId="7777777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51" w14:paraId="428668F3" w14:textId="77777777" w:rsidTr="0008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3E4E68" w14:textId="7C51426C" w:rsidR="00EA3F51" w:rsidRDefault="00EA3F51" w:rsidP="000A6CF4">
            <w:pPr>
              <w:jc w:val="both"/>
            </w:pPr>
            <w:r>
              <w:t>Password Policy</w:t>
            </w:r>
          </w:p>
        </w:tc>
        <w:tc>
          <w:tcPr>
            <w:tcW w:w="3511" w:type="dxa"/>
          </w:tcPr>
          <w:p w14:paraId="4A52A540" w14:textId="6C9C6484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Outlines the password complexity and usage.</w:t>
            </w:r>
          </w:p>
        </w:tc>
        <w:tc>
          <w:tcPr>
            <w:tcW w:w="2500" w:type="dxa"/>
          </w:tcPr>
          <w:p w14:paraId="5F9A6E4D" w14:textId="77777777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51" w14:paraId="255197D4" w14:textId="77777777" w:rsidTr="0008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10420C" w14:textId="11F9AC1D" w:rsidR="00EA3F51" w:rsidRDefault="00EA3F51" w:rsidP="000A6CF4">
            <w:pPr>
              <w:jc w:val="both"/>
            </w:pPr>
            <w:r>
              <w:t>Mobile Phone Policy</w:t>
            </w:r>
          </w:p>
        </w:tc>
        <w:tc>
          <w:tcPr>
            <w:tcW w:w="3511" w:type="dxa"/>
          </w:tcPr>
          <w:p w14:paraId="19C2A5BF" w14:textId="34CF9E2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usage of company</w:t>
            </w:r>
            <w:r w:rsidR="00497C52">
              <w:t>-</w:t>
            </w:r>
            <w:r>
              <w:t>provided mobile phones.</w:t>
            </w:r>
          </w:p>
        </w:tc>
        <w:tc>
          <w:tcPr>
            <w:tcW w:w="2500" w:type="dxa"/>
          </w:tcPr>
          <w:p w14:paraId="5B5D4CA1" w14:textId="7777777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51" w14:paraId="123EF0D6" w14:textId="77777777" w:rsidTr="0008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CA8A8" w14:textId="3C52E549" w:rsidR="00EA3F51" w:rsidRDefault="00EA3F51" w:rsidP="000A6CF4">
            <w:pPr>
              <w:jc w:val="both"/>
            </w:pPr>
            <w:r>
              <w:t>SaaS Policy</w:t>
            </w:r>
          </w:p>
        </w:tc>
        <w:tc>
          <w:tcPr>
            <w:tcW w:w="3511" w:type="dxa"/>
          </w:tcPr>
          <w:p w14:paraId="7D5F0AE5" w14:textId="36E2315B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Summarises how cloud-based software solutions can be evaluated and introduced into the organisation.</w:t>
            </w:r>
          </w:p>
        </w:tc>
        <w:tc>
          <w:tcPr>
            <w:tcW w:w="2500" w:type="dxa"/>
          </w:tcPr>
          <w:p w14:paraId="4231F98A" w14:textId="77777777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51" w14:paraId="1B9F6196" w14:textId="77777777" w:rsidTr="0008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60BB5C" w14:textId="07DEAA12" w:rsidR="00EA3F51" w:rsidRDefault="00EA3F51" w:rsidP="000A6CF4">
            <w:pPr>
              <w:jc w:val="both"/>
            </w:pPr>
            <w:r>
              <w:t>Bring-Your-Own-Device Policy</w:t>
            </w:r>
          </w:p>
        </w:tc>
        <w:tc>
          <w:tcPr>
            <w:tcW w:w="3511" w:type="dxa"/>
          </w:tcPr>
          <w:p w14:paraId="5D006C7F" w14:textId="1388FFC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Outlines how personal devices can be used for organisational purposes.</w:t>
            </w:r>
          </w:p>
        </w:tc>
        <w:tc>
          <w:tcPr>
            <w:tcW w:w="2500" w:type="dxa"/>
          </w:tcPr>
          <w:p w14:paraId="744F2730" w14:textId="7777777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F51" w14:paraId="4B5B1120" w14:textId="77777777" w:rsidTr="0008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D9647C" w14:textId="232BABAA" w:rsidR="00EA3F51" w:rsidRDefault="00EA3F51" w:rsidP="000A6CF4">
            <w:pPr>
              <w:jc w:val="both"/>
            </w:pPr>
            <w:r>
              <w:t>Access Control Policy</w:t>
            </w:r>
          </w:p>
        </w:tc>
        <w:tc>
          <w:tcPr>
            <w:tcW w:w="3511" w:type="dxa"/>
          </w:tcPr>
          <w:p w14:paraId="00F0F372" w14:textId="55D62E74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access and security rights to systems a</w:t>
            </w:r>
            <w:r w:rsidR="00497C52">
              <w:t>re</w:t>
            </w:r>
            <w:r>
              <w:t xml:space="preserve"> granted and controlled.</w:t>
            </w:r>
          </w:p>
        </w:tc>
        <w:tc>
          <w:tcPr>
            <w:tcW w:w="2500" w:type="dxa"/>
          </w:tcPr>
          <w:p w14:paraId="36B7FC69" w14:textId="77777777" w:rsidR="00EA3F51" w:rsidRDefault="00EA3F51" w:rsidP="000A6C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51" w14:paraId="1F276E62" w14:textId="77777777" w:rsidTr="0008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8F64D" w14:textId="0B622118" w:rsidR="00EA3F51" w:rsidRDefault="00EA3F51" w:rsidP="000A6CF4">
            <w:pPr>
              <w:jc w:val="both"/>
            </w:pPr>
            <w:r>
              <w:t>Supplier Security Policy</w:t>
            </w:r>
          </w:p>
        </w:tc>
        <w:tc>
          <w:tcPr>
            <w:tcW w:w="3511" w:type="dxa"/>
          </w:tcPr>
          <w:p w14:paraId="657DCEB3" w14:textId="0BDE383B" w:rsidR="00EA3F51" w:rsidRDefault="002955E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Summarises how 3</w:t>
            </w:r>
            <w:r w:rsidRPr="002955E1">
              <w:rPr>
                <w:vertAlign w:val="superscript"/>
              </w:rPr>
              <w:t>rd</w:t>
            </w:r>
            <w:r>
              <w:t xml:space="preserve"> parties processing the organisation</w:t>
            </w:r>
            <w:r w:rsidR="00F44620">
              <w:t>'</w:t>
            </w:r>
            <w:r>
              <w:t>s data must be managed.</w:t>
            </w:r>
          </w:p>
        </w:tc>
        <w:tc>
          <w:tcPr>
            <w:tcW w:w="2500" w:type="dxa"/>
          </w:tcPr>
          <w:p w14:paraId="266F83FE" w14:textId="77777777" w:rsidR="00EA3F51" w:rsidRDefault="00EA3F51" w:rsidP="000A6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22A770" w14:textId="77777777" w:rsidR="00EA3F51" w:rsidRDefault="00EA3F51" w:rsidP="000A6CF4">
      <w:pPr>
        <w:jc w:val="both"/>
      </w:pPr>
    </w:p>
    <w:p w14:paraId="4B96EF69" w14:textId="06DBDB36" w:rsidR="009D435B" w:rsidRDefault="009D435B" w:rsidP="00C325C0">
      <w:pPr>
        <w:pStyle w:val="Heading1"/>
        <w:jc w:val="both"/>
      </w:pPr>
      <w:bookmarkStart w:id="47" w:name="_Toc130218935"/>
      <w:bookmarkStart w:id="48" w:name="_Toc171008225"/>
      <w:r>
        <w:t>Monitoring and Filtering</w:t>
      </w:r>
      <w:bookmarkEnd w:id="47"/>
      <w:bookmarkEnd w:id="48"/>
    </w:p>
    <w:p w14:paraId="0EDAE827" w14:textId="199FB0E1" w:rsidR="00EC5931" w:rsidRDefault="00A303CA" w:rsidP="00EC5931">
      <w:pPr>
        <w:pStyle w:val="ListParagraph"/>
        <w:numPr>
          <w:ilvl w:val="0"/>
          <w:numId w:val="41"/>
        </w:numPr>
      </w:pPr>
      <w:r>
        <w:t>TechSolution.inc</w:t>
      </w:r>
      <w:r w:rsidR="00EC5931">
        <w:t xml:space="preserve"> monitors its IT systems </w:t>
      </w:r>
      <w:r w:rsidR="00B47AF1">
        <w:t>to ensure they align</w:t>
      </w:r>
      <w:r w:rsidR="00EC5931">
        <w:t xml:space="preserve"> with applicable legislation.</w:t>
      </w:r>
    </w:p>
    <w:p w14:paraId="6C11C025" w14:textId="7F08D284" w:rsidR="00EC5931" w:rsidRDefault="00EC5931" w:rsidP="00EC5931">
      <w:pPr>
        <w:pStyle w:val="ListParagraph"/>
        <w:numPr>
          <w:ilvl w:val="0"/>
          <w:numId w:val="41"/>
        </w:numPr>
      </w:pPr>
      <w:r>
        <w:t>Logging and investigations ensure security and policy adherence.</w:t>
      </w:r>
    </w:p>
    <w:p w14:paraId="3434837C" w14:textId="617BE90C" w:rsidR="00CC3EBA" w:rsidRDefault="00CC3EBA" w:rsidP="00D50910">
      <w:pPr>
        <w:pStyle w:val="Heading1"/>
      </w:pPr>
      <w:bookmarkStart w:id="49" w:name="_Toc171008226"/>
      <w:r>
        <w:t>Risk Assessment &amp; Treatment</w:t>
      </w:r>
      <w:r w:rsidR="00782F89">
        <w:t xml:space="preserve"> Methodology</w:t>
      </w:r>
      <w:bookmarkEnd w:id="49"/>
    </w:p>
    <w:p w14:paraId="2ECC5F1D" w14:textId="57EB0A61" w:rsidR="00D50910" w:rsidRPr="00D50910" w:rsidRDefault="00D50910" w:rsidP="00D50910">
      <w:r w:rsidRPr="00D50910">
        <w:t xml:space="preserve">As an integral part of our Information Security Management System (ISMS), </w:t>
      </w:r>
      <w:r w:rsidR="00A303CA">
        <w:t>TechSolution.inc</w:t>
      </w:r>
      <w:r w:rsidRPr="00D50910">
        <w:t xml:space="preserve"> is committed to identifying, assessing, and managing information security risks. </w:t>
      </w:r>
      <w:r w:rsidR="00344FFF">
        <w:t>We adhere to a structured Risk Assessment and Treatment Methodology outlined in a separate document to achieve this</w:t>
      </w:r>
      <w:r w:rsidRPr="00D50910">
        <w:t>.</w:t>
      </w:r>
    </w:p>
    <w:p w14:paraId="7169B9B8" w14:textId="77777777" w:rsidR="00D50910" w:rsidRPr="00D50910" w:rsidRDefault="00D50910" w:rsidP="00D50910">
      <w:r w:rsidRPr="00D50910">
        <w:t>The Risk Assessment and Treatment Methodology includes:</w:t>
      </w:r>
    </w:p>
    <w:p w14:paraId="0006B98D" w14:textId="77777777" w:rsidR="00D50910" w:rsidRPr="00D50910" w:rsidRDefault="00D50910" w:rsidP="00D50910">
      <w:pPr>
        <w:numPr>
          <w:ilvl w:val="0"/>
          <w:numId w:val="43"/>
        </w:numPr>
      </w:pPr>
      <w:r w:rsidRPr="00D50910">
        <w:rPr>
          <w:b/>
          <w:bCs/>
        </w:rPr>
        <w:t>Risk Identification:</w:t>
      </w:r>
      <w:r w:rsidRPr="00D50910">
        <w:t xml:space="preserve"> Systematically identifying potential security threats and vulnerabilities that could impact our information assets and business operations.</w:t>
      </w:r>
    </w:p>
    <w:p w14:paraId="1D090F18" w14:textId="2AB82F87" w:rsidR="00D50910" w:rsidRPr="00D50910" w:rsidRDefault="00D50910" w:rsidP="00D50910">
      <w:pPr>
        <w:numPr>
          <w:ilvl w:val="0"/>
          <w:numId w:val="43"/>
        </w:numPr>
      </w:pPr>
      <w:r w:rsidRPr="00D50910">
        <w:rPr>
          <w:b/>
          <w:bCs/>
        </w:rPr>
        <w:t>Risk Analysis and Evaluation:</w:t>
      </w:r>
      <w:r w:rsidRPr="00D50910">
        <w:t xml:space="preserve"> Assessing the likelihood and potential impact of identified risks, enabling prioriti</w:t>
      </w:r>
      <w:r w:rsidR="00213A0F">
        <w:t>s</w:t>
      </w:r>
      <w:r w:rsidRPr="00D50910">
        <w:t>ation based on our risk appetite and business objectives.</w:t>
      </w:r>
    </w:p>
    <w:p w14:paraId="7F94E063" w14:textId="77777777" w:rsidR="00D50910" w:rsidRPr="00D50910" w:rsidRDefault="00D50910" w:rsidP="00D50910">
      <w:pPr>
        <w:numPr>
          <w:ilvl w:val="0"/>
          <w:numId w:val="43"/>
        </w:numPr>
      </w:pPr>
      <w:r w:rsidRPr="00D50910">
        <w:rPr>
          <w:b/>
          <w:bCs/>
        </w:rPr>
        <w:t>Risk Treatment:</w:t>
      </w:r>
      <w:r w:rsidRPr="00D50910">
        <w:t xml:space="preserve"> Determining the most appropriate risk treatment options, which may include risk avoidance, risk reduction, risk sharing, or risk acceptance.</w:t>
      </w:r>
    </w:p>
    <w:p w14:paraId="0D71272F" w14:textId="4B35FAE1" w:rsidR="00D50910" w:rsidRPr="00D50910" w:rsidRDefault="00D50910" w:rsidP="00D50910">
      <w:pPr>
        <w:numPr>
          <w:ilvl w:val="0"/>
          <w:numId w:val="43"/>
        </w:numPr>
      </w:pPr>
      <w:r w:rsidRPr="00D50910">
        <w:rPr>
          <w:b/>
          <w:bCs/>
        </w:rPr>
        <w:t>Monitoring and Review:</w:t>
      </w:r>
      <w:r w:rsidRPr="00D50910">
        <w:t xml:space="preserve"> Regularly monitor</w:t>
      </w:r>
      <w:r w:rsidR="003B41FA">
        <w:t xml:space="preserve"> and review risks and the effectiveness of the implemented treatment measures</w:t>
      </w:r>
      <w:r w:rsidRPr="00D50910">
        <w:t xml:space="preserve"> to ensure continuous improvement of our ISMS.</w:t>
      </w:r>
    </w:p>
    <w:p w14:paraId="48F8FB3C" w14:textId="77777777" w:rsidR="00D50910" w:rsidRDefault="00D50910" w:rsidP="00D50910">
      <w:pPr>
        <w:numPr>
          <w:ilvl w:val="0"/>
          <w:numId w:val="43"/>
        </w:numPr>
      </w:pPr>
      <w:r w:rsidRPr="00D50910">
        <w:rPr>
          <w:b/>
          <w:bCs/>
        </w:rPr>
        <w:t>Communication and Consultation:</w:t>
      </w:r>
      <w:r w:rsidRPr="00D50910">
        <w:t xml:space="preserve"> Ensuring effective internal and external communication and consultation throughout the risk management process.</w:t>
      </w:r>
    </w:p>
    <w:p w14:paraId="549263AF" w14:textId="77777777" w:rsidR="008D17D5" w:rsidRPr="00D50910" w:rsidRDefault="008D17D5" w:rsidP="008D17D5"/>
    <w:p w14:paraId="12CAF960" w14:textId="77777777" w:rsidR="00D50910" w:rsidRPr="00D50910" w:rsidRDefault="00D50910" w:rsidP="00D50910">
      <w:r w:rsidRPr="00D50910">
        <w:t>This methodology aligns with the principles and guidelines of ISO 27001 and supports our commitment to maintaining a robust information security posture.</w:t>
      </w:r>
    </w:p>
    <w:p w14:paraId="0FCDA3C8" w14:textId="70C39116" w:rsidR="00D50910" w:rsidRPr="00D50910" w:rsidRDefault="00D50910" w:rsidP="00D50910">
      <w:r w:rsidRPr="00D50910">
        <w:t xml:space="preserve">For detailed procedures and guidelines on conducting risk assessments and selecting appropriate risk treatment options, please refer to the [Risk Assessment and Treatment Methodology Document]. This document is accessible [specify </w:t>
      </w:r>
      <w:r w:rsidR="00213A0F">
        <w:t xml:space="preserve">the </w:t>
      </w:r>
      <w:r w:rsidRPr="00D50910">
        <w:t>location or how to access the document, e.g., on the organi</w:t>
      </w:r>
      <w:r w:rsidR="00213A0F">
        <w:t>s</w:t>
      </w:r>
      <w:r w:rsidRPr="00D50910">
        <w:t>ation</w:t>
      </w:r>
      <w:r w:rsidR="00213A0F">
        <w:t>'</w:t>
      </w:r>
      <w:r w:rsidRPr="00D50910">
        <w:t>s internal portal, document management system, etc.] and is maintained by the Information Security Group (ISG).</w:t>
      </w:r>
    </w:p>
    <w:p w14:paraId="5F10E335" w14:textId="01AC8943" w:rsidR="00D50910" w:rsidRDefault="004F3AFB" w:rsidP="00D50910">
      <w:r>
        <w:t>All staff and relevant external parties are responsible for familiarising themselves with the methodology outlined in the document and contributing</w:t>
      </w:r>
      <w:r w:rsidR="00D50910" w:rsidRPr="00D50910">
        <w:t xml:space="preserve"> to the ongoing identification and management of information security risks within their </w:t>
      </w:r>
      <w:r w:rsidR="00E157CF">
        <w:t>work areas</w:t>
      </w:r>
      <w:r w:rsidR="00D50910" w:rsidRPr="00D50910">
        <w:t>.</w:t>
      </w:r>
    </w:p>
    <w:p w14:paraId="36A3856F" w14:textId="77777777" w:rsidR="002343D6" w:rsidRDefault="002343D6" w:rsidP="00D50910"/>
    <w:p w14:paraId="2FD1156A" w14:textId="77777777" w:rsidR="002343D6" w:rsidRPr="00D50910" w:rsidRDefault="002343D6" w:rsidP="00D50910"/>
    <w:sectPr w:rsidR="002343D6" w:rsidRPr="00D50910" w:rsidSect="00B8166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uthor" w:initials="A">
    <w:p w14:paraId="543A155B" w14:textId="77777777" w:rsidR="008E4F28" w:rsidRDefault="008E4F28" w:rsidP="008E4F28">
      <w:pPr>
        <w:pStyle w:val="CommentText"/>
      </w:pPr>
      <w:r>
        <w:rPr>
          <w:rStyle w:val="CommentReference"/>
        </w:rPr>
        <w:annotationRef/>
      </w:r>
      <w:r>
        <w:t>This is for you to decide if you need to capture R&amp;Rs in more detail. If so, link to that template, if not capture them here.</w:t>
      </w:r>
    </w:p>
  </w:comment>
  <w:comment w:id="20" w:author="Author" w:initials="A">
    <w:p w14:paraId="53DF3642" w14:textId="014C9C69" w:rsidR="001B6E23" w:rsidRDefault="001B6E23" w:rsidP="00257E66">
      <w:pPr>
        <w:pStyle w:val="CommentText"/>
      </w:pPr>
      <w:r>
        <w:rPr>
          <w:rStyle w:val="CommentReference"/>
        </w:rPr>
        <w:annotationRef/>
      </w:r>
      <w:r>
        <w:t>These are optional, and sign-posted to from the Info Sec policy to sub-policies if needed.</w:t>
      </w:r>
    </w:p>
  </w:comment>
  <w:comment w:id="23" w:author="Author" w:initials="A">
    <w:p w14:paraId="7F300CDB" w14:textId="77777777" w:rsidR="00EE2956" w:rsidRDefault="00EE2956" w:rsidP="00EE2956">
      <w:pPr>
        <w:pStyle w:val="CommentText"/>
      </w:pPr>
      <w:r>
        <w:rPr>
          <w:rStyle w:val="CommentReference"/>
        </w:rPr>
        <w:annotationRef/>
      </w:r>
      <w:r>
        <w:t>Clarify the checks; are they criminal record checks, security checks, or references?</w:t>
      </w:r>
    </w:p>
  </w:comment>
  <w:comment w:id="28" w:author="Author" w:initials="A">
    <w:p w14:paraId="5BADC174" w14:textId="77777777" w:rsidR="00677E1E" w:rsidRDefault="00677E1E" w:rsidP="00677E1E">
      <w:pPr>
        <w:pStyle w:val="CommentText"/>
      </w:pPr>
      <w:r>
        <w:rPr>
          <w:rStyle w:val="CommentReference"/>
        </w:rPr>
        <w:annotationRef/>
      </w:r>
      <w:r>
        <w:t>Link to password policy</w:t>
      </w:r>
    </w:p>
  </w:comment>
  <w:comment w:id="44" w:author="Author" w:initials="A">
    <w:p w14:paraId="60E6535F" w14:textId="77777777" w:rsidR="00D01CCD" w:rsidRDefault="00D01CCD" w:rsidP="00D01CCD">
      <w:pPr>
        <w:pStyle w:val="CommentText"/>
      </w:pPr>
      <w:r>
        <w:rPr>
          <w:rStyle w:val="CommentReference"/>
        </w:rPr>
        <w:annotationRef/>
      </w:r>
      <w:r>
        <w:t>Give guidance on what to do if there is a major breach. Keep the messages simple.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3A155B" w15:done="0"/>
  <w15:commentEx w15:paraId="53DF3642" w15:done="0"/>
  <w15:commentEx w15:paraId="7F300CDB" w15:done="0"/>
  <w15:commentEx w15:paraId="5BADC174" w15:done="0"/>
  <w15:commentEx w15:paraId="60E653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3A155B" w16cid:durableId="7C4FAB29"/>
  <w16cid:commentId w16cid:paraId="53DF3642" w16cid:durableId="0D41FD49"/>
  <w16cid:commentId w16cid:paraId="7F300CDB" w16cid:durableId="163E24E4"/>
  <w16cid:commentId w16cid:paraId="5BADC174" w16cid:durableId="18290C6F"/>
  <w16cid:commentId w16cid:paraId="60E6535F" w16cid:durableId="12B3B3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0DFD" w14:textId="77777777" w:rsidR="00326FE4" w:rsidRDefault="00326FE4">
      <w:pPr>
        <w:spacing w:after="0"/>
      </w:pPr>
      <w:r>
        <w:separator/>
      </w:r>
    </w:p>
  </w:endnote>
  <w:endnote w:type="continuationSeparator" w:id="0">
    <w:p w14:paraId="15B08878" w14:textId="77777777" w:rsidR="00326FE4" w:rsidRDefault="00326FE4">
      <w:pPr>
        <w:spacing w:after="0"/>
      </w:pPr>
      <w:r>
        <w:continuationSeparator/>
      </w:r>
    </w:p>
  </w:endnote>
  <w:endnote w:type="continuationNotice" w:id="1">
    <w:p w14:paraId="583A5350" w14:textId="77777777" w:rsidR="00326FE4" w:rsidRDefault="00326FE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ACB0" w14:textId="77777777" w:rsidR="00326FE4" w:rsidRDefault="00326FE4">
      <w:pPr>
        <w:spacing w:after="0"/>
      </w:pPr>
      <w:r>
        <w:separator/>
      </w:r>
    </w:p>
  </w:footnote>
  <w:footnote w:type="continuationSeparator" w:id="0">
    <w:p w14:paraId="22DB0ABB" w14:textId="77777777" w:rsidR="00326FE4" w:rsidRDefault="00326FE4">
      <w:pPr>
        <w:spacing w:after="0"/>
      </w:pPr>
      <w:r>
        <w:continuationSeparator/>
      </w:r>
    </w:p>
  </w:footnote>
  <w:footnote w:type="continuationNotice" w:id="1">
    <w:p w14:paraId="10C5DC49" w14:textId="77777777" w:rsidR="00326FE4" w:rsidRDefault="00326FE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3476C14E" w:rsidR="00B81664" w:rsidRDefault="00012C5C" w:rsidP="00B81664">
    <w:pPr>
      <w:pStyle w:val="Header"/>
    </w:pPr>
    <w:r>
      <w:t xml:space="preserve">Information Security Policy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61B1"/>
    <w:multiLevelType w:val="multilevel"/>
    <w:tmpl w:val="2A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5"/>
  </w:num>
  <w:num w:numId="4">
    <w:abstractNumId w:val="11"/>
  </w:num>
  <w:num w:numId="5">
    <w:abstractNumId w:val="13"/>
  </w:num>
  <w:num w:numId="6">
    <w:abstractNumId w:val="40"/>
  </w:num>
  <w:num w:numId="7">
    <w:abstractNumId w:val="20"/>
  </w:num>
  <w:num w:numId="8">
    <w:abstractNumId w:val="2"/>
  </w:num>
  <w:num w:numId="9">
    <w:abstractNumId w:val="8"/>
  </w:num>
  <w:num w:numId="10">
    <w:abstractNumId w:val="26"/>
  </w:num>
  <w:num w:numId="11">
    <w:abstractNumId w:val="27"/>
  </w:num>
  <w:num w:numId="12">
    <w:abstractNumId w:val="32"/>
  </w:num>
  <w:num w:numId="13">
    <w:abstractNumId w:val="0"/>
  </w:num>
  <w:num w:numId="14">
    <w:abstractNumId w:val="21"/>
  </w:num>
  <w:num w:numId="15">
    <w:abstractNumId w:val="18"/>
  </w:num>
  <w:num w:numId="16">
    <w:abstractNumId w:val="25"/>
  </w:num>
  <w:num w:numId="17">
    <w:abstractNumId w:val="33"/>
  </w:num>
  <w:num w:numId="18">
    <w:abstractNumId w:val="42"/>
  </w:num>
  <w:num w:numId="19">
    <w:abstractNumId w:val="22"/>
  </w:num>
  <w:num w:numId="20">
    <w:abstractNumId w:val="6"/>
  </w:num>
  <w:num w:numId="21">
    <w:abstractNumId w:val="3"/>
  </w:num>
  <w:num w:numId="22">
    <w:abstractNumId w:val="19"/>
  </w:num>
  <w:num w:numId="23">
    <w:abstractNumId w:val="31"/>
  </w:num>
  <w:num w:numId="24">
    <w:abstractNumId w:val="34"/>
  </w:num>
  <w:num w:numId="25">
    <w:abstractNumId w:val="7"/>
  </w:num>
  <w:num w:numId="26">
    <w:abstractNumId w:val="24"/>
  </w:num>
  <w:num w:numId="27">
    <w:abstractNumId w:val="5"/>
  </w:num>
  <w:num w:numId="28">
    <w:abstractNumId w:val="43"/>
  </w:num>
  <w:num w:numId="29">
    <w:abstractNumId w:val="41"/>
  </w:num>
  <w:num w:numId="30">
    <w:abstractNumId w:val="28"/>
  </w:num>
  <w:num w:numId="31">
    <w:abstractNumId w:val="12"/>
  </w:num>
  <w:num w:numId="32">
    <w:abstractNumId w:val="38"/>
  </w:num>
  <w:num w:numId="33">
    <w:abstractNumId w:val="4"/>
  </w:num>
  <w:num w:numId="34">
    <w:abstractNumId w:val="35"/>
  </w:num>
  <w:num w:numId="35">
    <w:abstractNumId w:val="39"/>
  </w:num>
  <w:num w:numId="36">
    <w:abstractNumId w:val="30"/>
  </w:num>
  <w:num w:numId="37">
    <w:abstractNumId w:val="17"/>
  </w:num>
  <w:num w:numId="38">
    <w:abstractNumId w:val="14"/>
  </w:num>
  <w:num w:numId="39">
    <w:abstractNumId w:val="23"/>
  </w:num>
  <w:num w:numId="40">
    <w:abstractNumId w:val="36"/>
  </w:num>
  <w:num w:numId="41">
    <w:abstractNumId w:val="9"/>
  </w:num>
  <w:num w:numId="42">
    <w:abstractNumId w:val="1"/>
  </w:num>
  <w:num w:numId="43">
    <w:abstractNumId w:val="16"/>
  </w:num>
  <w:num w:numId="44">
    <w:abstractNumId w:val="3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0FAGHj3kk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1D0A"/>
    <w:rsid w:val="000D311F"/>
    <w:rsid w:val="000D7E48"/>
    <w:rsid w:val="000F1403"/>
    <w:rsid w:val="000F5FC1"/>
    <w:rsid w:val="001008ED"/>
    <w:rsid w:val="0010698F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B3047"/>
    <w:rsid w:val="001B6E23"/>
    <w:rsid w:val="001C1A36"/>
    <w:rsid w:val="001C3C88"/>
    <w:rsid w:val="001D1B17"/>
    <w:rsid w:val="001D5DA5"/>
    <w:rsid w:val="001F26F5"/>
    <w:rsid w:val="002014AB"/>
    <w:rsid w:val="00205D5B"/>
    <w:rsid w:val="00206583"/>
    <w:rsid w:val="00213467"/>
    <w:rsid w:val="00213A0F"/>
    <w:rsid w:val="002143B1"/>
    <w:rsid w:val="00225CFF"/>
    <w:rsid w:val="00226EE4"/>
    <w:rsid w:val="002343D6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3107E0"/>
    <w:rsid w:val="00326FE4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3DB4"/>
    <w:rsid w:val="004E6844"/>
    <w:rsid w:val="004F3AFB"/>
    <w:rsid w:val="004F41F9"/>
    <w:rsid w:val="0050681A"/>
    <w:rsid w:val="00513400"/>
    <w:rsid w:val="0052248A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B756C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0D8A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D0B97"/>
    <w:rsid w:val="006D3EBB"/>
    <w:rsid w:val="006D40AD"/>
    <w:rsid w:val="006D7CD5"/>
    <w:rsid w:val="006E7FB7"/>
    <w:rsid w:val="006F0498"/>
    <w:rsid w:val="006F633B"/>
    <w:rsid w:val="0070037A"/>
    <w:rsid w:val="00711FB4"/>
    <w:rsid w:val="00732F05"/>
    <w:rsid w:val="00733514"/>
    <w:rsid w:val="00734A24"/>
    <w:rsid w:val="00735C50"/>
    <w:rsid w:val="00753D0E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32F3E"/>
    <w:rsid w:val="008423B7"/>
    <w:rsid w:val="0084377F"/>
    <w:rsid w:val="00850EBF"/>
    <w:rsid w:val="00853B98"/>
    <w:rsid w:val="00856AF9"/>
    <w:rsid w:val="00861856"/>
    <w:rsid w:val="00863933"/>
    <w:rsid w:val="00866103"/>
    <w:rsid w:val="008710EE"/>
    <w:rsid w:val="00876F95"/>
    <w:rsid w:val="008834EC"/>
    <w:rsid w:val="00887788"/>
    <w:rsid w:val="008A6694"/>
    <w:rsid w:val="008C5390"/>
    <w:rsid w:val="008D17D5"/>
    <w:rsid w:val="008D432F"/>
    <w:rsid w:val="008D60D7"/>
    <w:rsid w:val="008E0627"/>
    <w:rsid w:val="008E4EA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4050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3441"/>
    <w:rsid w:val="00A05C08"/>
    <w:rsid w:val="00A05EAB"/>
    <w:rsid w:val="00A13909"/>
    <w:rsid w:val="00A14663"/>
    <w:rsid w:val="00A206F0"/>
    <w:rsid w:val="00A275CF"/>
    <w:rsid w:val="00A303CA"/>
    <w:rsid w:val="00A458C1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151E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39A3"/>
    <w:rsid w:val="00BA50B6"/>
    <w:rsid w:val="00BC09CF"/>
    <w:rsid w:val="00BE53C2"/>
    <w:rsid w:val="00BE6988"/>
    <w:rsid w:val="00BF00CB"/>
    <w:rsid w:val="00BF2406"/>
    <w:rsid w:val="00C07639"/>
    <w:rsid w:val="00C31094"/>
    <w:rsid w:val="00C325C0"/>
    <w:rsid w:val="00C37189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1680"/>
    <w:rsid w:val="00D43E33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305A"/>
    <w:rsid w:val="00DF60A5"/>
    <w:rsid w:val="00E0103F"/>
    <w:rsid w:val="00E05B39"/>
    <w:rsid w:val="00E157CF"/>
    <w:rsid w:val="00E163A7"/>
    <w:rsid w:val="00E20B16"/>
    <w:rsid w:val="00E37075"/>
    <w:rsid w:val="00E62FA5"/>
    <w:rsid w:val="00E9449B"/>
    <w:rsid w:val="00EA2F44"/>
    <w:rsid w:val="00EA3F51"/>
    <w:rsid w:val="00EA49FC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  <w15:docId w15:val="{BEA31E08-69F5-4924-85B2-6CFA0B9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4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overnance%20&amp;%20Project%20Management/G2%20-%20ISMS%20Objectives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%5binsertlink%5d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Governance%20&amp;%20Project%20Management/G1%20-%20Information%20Security%20Management%20System%20(ISMS)%20Scope%20Document.docx" TargetMode="External"/><Relationship Id="rId14" Type="http://schemas.openxmlformats.org/officeDocument/2006/relationships/hyperlink" Target="https://priassociation.sharepoint.com/:w:/s/InformationSecurity/Ee-cogpddPVLuFUdOZMiQicBm7n-uGXh_Dq2aP-OQooNFA?e=5p4d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 OLAGOKE</cp:lastModifiedBy>
  <cp:revision>12</cp:revision>
  <cp:lastPrinted>2024-07-22T10:24:00Z</cp:lastPrinted>
  <dcterms:created xsi:type="dcterms:W3CDTF">2024-06-06T20:12:00Z</dcterms:created>
  <dcterms:modified xsi:type="dcterms:W3CDTF">2024-10-12T17:06:00Z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