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FB16EB" wp14:paraId="61F209DD" wp14:textId="2667E18A">
      <w:pPr>
        <w:pStyle w:val="Normal"/>
        <w:spacing w:before="240" w:beforeAutospacing="off" w:after="240" w:afterAutospacing="off"/>
        <w:jc w:val="left"/>
      </w:pPr>
      <w:r>
        <w:drawing>
          <wp:inline xmlns:wp14="http://schemas.microsoft.com/office/word/2010/wordprocessingDrawing" wp14:editId="454277BE" wp14:anchorId="1D3504B8">
            <wp:extent cx="5943600" cy="3952875"/>
            <wp:effectExtent l="0" t="0" r="0" b="0"/>
            <wp:docPr id="1218699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f0a65433cf48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FB16EB" w:rsidR="31FB16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C3144"/>
          <w:sz w:val="24"/>
          <w:szCs w:val="24"/>
          <w:lang w:val="en-US"/>
        </w:rPr>
        <w:t>Local Green ATL brought flavor, smiles, and joy to Atlanta Life’s Juneteenth Wellness Event — reminding us that wellness also means nourishing the body and feeding the soul.”</w:t>
      </w:r>
    </w:p>
    <w:p xmlns:wp14="http://schemas.microsoft.com/office/word/2010/wordml" w:rsidP="31FB16EB" wp14:paraId="2C078E63" wp14:textId="5BBA1708">
      <w:pPr>
        <w:pStyle w:val="Normal"/>
      </w:pPr>
    </w:p>
    <w:p w:rsidR="31FB16EB" w:rsidP="31FB16EB" w:rsidRDefault="31FB16EB" w14:paraId="46189849" w14:textId="4E544DA9">
      <w:pPr>
        <w:pStyle w:val="Normal"/>
        <w:spacing w:before="240" w:beforeAutospacing="off" w:after="240" w:afterAutospacing="off"/>
        <w:jc w:val="left"/>
      </w:pPr>
      <w:r>
        <w:drawing>
          <wp:inline wp14:editId="5FE8AFEF" wp14:anchorId="23997E1E">
            <wp:extent cx="5943600" cy="3771900"/>
            <wp:effectExtent l="0" t="0" r="0" b="0"/>
            <wp:docPr id="1682503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d05831e6cf4e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FB16EB" w:rsidR="31FB16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C3144"/>
          <w:sz w:val="24"/>
          <w:szCs w:val="24"/>
          <w:lang w:val="en-US"/>
        </w:rPr>
        <w:t>A powerful moment of pride and representation — participants at Atlanta Life’s Juneteenth Wellness Event showcasing their HBCU heritage and Divine Nine brotherhood, honoring legacy while inspiring the next generation.</w:t>
      </w:r>
    </w:p>
    <w:p w:rsidR="31FB16EB" w:rsidP="31FB16EB" w:rsidRDefault="31FB16EB" w14:paraId="414ACE58" w14:textId="474461E5">
      <w:pPr>
        <w:pStyle w:val="Normal"/>
      </w:pPr>
    </w:p>
    <w:p w:rsidR="31FB16EB" w:rsidP="31FB16EB" w:rsidRDefault="31FB16EB" w14:paraId="255A3C28" w14:textId="19277A1C">
      <w:pPr>
        <w:pStyle w:val="Normal"/>
        <w:spacing w:before="240" w:beforeAutospacing="off" w:after="240" w:afterAutospacing="off"/>
        <w:jc w:val="left"/>
      </w:pPr>
      <w:r>
        <w:drawing>
          <wp:inline wp14:editId="7CCEBEA1" wp14:anchorId="4A7F6D41">
            <wp:extent cx="5943600" cy="3486150"/>
            <wp:effectExtent l="0" t="0" r="0" b="0"/>
            <wp:docPr id="1941992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8a23c1e45948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FB16EB" w:rsidR="31FB16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Atlanta Life’s ‘Living Our Legacy’ Juneteenth Wellness Event brought together more than 300 participants in a day of reflection, celebration, and community — honoring the past while building a healthier future.</w:t>
      </w:r>
    </w:p>
    <w:p w:rsidR="31FB16EB" w:rsidP="31FB16EB" w:rsidRDefault="31FB16EB" w14:paraId="69DAEE1B" w14:textId="63068BF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0E4979"/>
    <w:rsid w:val="31FB16EB"/>
    <w:rsid w:val="320E4979"/>
    <w:rsid w:val="3855C40D"/>
    <w:rsid w:val="6BC6A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4979"/>
  <w15:chartTrackingRefBased/>
  <w15:docId w15:val="{DA6EFB31-DA0D-4675-8C12-969FFE0F24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76f0a65433cf489a" /><Relationship Type="http://schemas.openxmlformats.org/officeDocument/2006/relationships/image" Target="/media/image2.jpg" Id="R91d05831e6cf4ec0" /><Relationship Type="http://schemas.openxmlformats.org/officeDocument/2006/relationships/image" Target="/media/image3.jpg" Id="Rc68a23c1e45948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2025-09-29T18:39:29.1300824Z</dcterms:created>
  <dcterms:modified xsi:type="dcterms:W3CDTF">2025-09-29T18:46:29.4010809Z</dcterms:modified>
  <dc:creator>Andre Williams</dc:creator>
  <lastModifiedBy>Andre Williams</lastModifiedBy>
</coreProperties>
</file>