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 w:rsidP="007D52D2">
      <w:pPr>
        <w:jc w:val="both"/>
      </w:pPr>
    </w:p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560C10EC" w:rsidR="00D97B84" w:rsidRDefault="00AF6E36" w:rsidP="00B85345">
      <w:r>
        <w:rPr>
          <w:noProof/>
        </w:rPr>
        <w:drawing>
          <wp:inline distT="0" distB="0" distL="0" distR="0" wp14:anchorId="5F9ADDEE" wp14:editId="4FAA1FE1">
            <wp:extent cx="6116320" cy="59175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E459B72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5E1D86">
        <w:rPr>
          <w:rFonts w:ascii="Times New Roman" w:hAnsi="Times New Roman"/>
          <w:b/>
          <w:bCs/>
        </w:rPr>
        <w:t xml:space="preserve"> Indirizzi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3C77D55B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640CB9" w:rsidRPr="00806B16">
        <w:rPr>
          <w:rFonts w:ascii="Times New Roman" w:hAnsi="Times New Roman"/>
          <w:b/>
          <w:bCs/>
        </w:rPr>
        <w:t>U</w:t>
      </w:r>
      <w:r w:rsidRPr="00806B16">
        <w:rPr>
          <w:rFonts w:ascii="Times New Roman" w:hAnsi="Times New Roman"/>
          <w:b/>
          <w:bCs/>
        </w:rPr>
        <w:t>tenza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1A7CFDC" w14:textId="5FD17E9D" w:rsidR="00373520" w:rsidRPr="00644B45" w:rsidRDefault="00373520" w:rsidP="00373520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>Gestione</w:t>
      </w:r>
      <w:r>
        <w:rPr>
          <w:rFonts w:ascii="Times New Roman" w:hAnsi="Times New Roman"/>
          <w:b/>
          <w:bCs/>
        </w:rPr>
        <w:t xml:space="preserve"> Ordini</w:t>
      </w:r>
      <w:r w:rsidRPr="0B86514B">
        <w:rPr>
          <w:rFonts w:ascii="Times New Roman" w:hAnsi="Times New Roman"/>
          <w:b/>
          <w:bCs/>
        </w:rPr>
        <w:t xml:space="preserve">: </w:t>
      </w:r>
      <w:r w:rsidRPr="00987003">
        <w:rPr>
          <w:rFonts w:ascii="Times New Roman" w:hAnsi="Times New Roman"/>
          <w:color w:val="000000" w:themeColor="text1"/>
        </w:rPr>
        <w:t xml:space="preserve">fornisce le funzionalità per </w:t>
      </w:r>
      <w:r w:rsidR="00987003" w:rsidRPr="00987003">
        <w:rPr>
          <w:rFonts w:ascii="Times New Roman" w:hAnsi="Times New Roman"/>
          <w:color w:val="000000" w:themeColor="text1"/>
        </w:rPr>
        <w:t xml:space="preserve">acquistare uno o più prodotti </w:t>
      </w:r>
      <w:r w:rsidRPr="00987003">
        <w:rPr>
          <w:rFonts w:ascii="Times New Roman" w:hAnsi="Times New Roman"/>
          <w:color w:val="000000" w:themeColor="text1"/>
        </w:rPr>
        <w:t>, selezionare l’indirizzo di spedizione desiderato tra quelli creati precedentemente dall’utente</w:t>
      </w:r>
      <w:r w:rsidR="00987003" w:rsidRPr="00987003">
        <w:rPr>
          <w:rFonts w:ascii="Times New Roman" w:hAnsi="Times New Roman"/>
          <w:color w:val="000000" w:themeColor="text1"/>
        </w:rPr>
        <w:t xml:space="preserve">, </w:t>
      </w:r>
      <w:r w:rsidRPr="00987003">
        <w:rPr>
          <w:rFonts w:ascii="Times New Roman" w:hAnsi="Times New Roman"/>
          <w:color w:val="000000" w:themeColor="text1"/>
        </w:rPr>
        <w:t>inserire i dati della carta di credito</w:t>
      </w:r>
      <w:r w:rsidR="00987003" w:rsidRPr="00987003">
        <w:rPr>
          <w:rFonts w:ascii="Times New Roman" w:hAnsi="Times New Roman"/>
          <w:color w:val="000000" w:themeColor="text1"/>
        </w:rPr>
        <w:t xml:space="preserve"> e creare un Ordine e fornisce le funzionalità per visualizzare gli ordini effettuati</w:t>
      </w:r>
    </w:p>
    <w:p w14:paraId="7074888F" w14:textId="77777777" w:rsidR="00373520" w:rsidRDefault="00373520" w:rsidP="0B86514B">
      <w:pPr>
        <w:pStyle w:val="Gpstesto"/>
        <w:rPr>
          <w:rFonts w:ascii="Times New Roman" w:hAnsi="Times New Roman"/>
        </w:rPr>
      </w:pP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61FB3943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proofErr w:type="spellStart"/>
      <w:r w:rsidR="00FE6C48">
        <w:rPr>
          <w:rFonts w:ascii="Times New Roman" w:hAnsi="Times New Roman"/>
        </w:rPr>
        <w:t>three-</w:t>
      </w:r>
      <w:r w:rsidR="007D52D2" w:rsidRPr="007D52D2">
        <w:rPr>
          <w:rFonts w:ascii="Times New Roman" w:hAnsi="Times New Roman"/>
        </w:rPr>
        <w:t>layer</w:t>
      </w:r>
      <w:proofErr w:type="spellEnd"/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proofErr w:type="spellStart"/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ogic</w:t>
      </w:r>
      <w:proofErr w:type="spellEnd"/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lastRenderedPageBreak/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747B0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lastRenderedPageBreak/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>visualizzare gli ordini entro un range di 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  <w:tr w:rsidR="00A10501" w14:paraId="3367C60E" w14:textId="77777777">
        <w:trPr>
          <w:trHeight w:val="330"/>
          <w:jc w:val="center"/>
        </w:trPr>
        <w:tc>
          <w:tcPr>
            <w:tcW w:w="4345" w:type="dxa"/>
          </w:tcPr>
          <w:p w14:paraId="26F9054B" w14:textId="041751EF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3A4CE7DC" w14:textId="0DAEFA72" w:rsidR="00A10501" w:rsidRPr="00C93E20" w:rsidRDefault="00A10501" w:rsidP="00A10501">
            <w:pPr>
              <w:jc w:val="center"/>
            </w:pPr>
            <w:r w:rsidRPr="00C93E20">
              <w:t>il sottosistema permette di selezionare un indirizzo di consegna</w:t>
            </w:r>
          </w:p>
        </w:tc>
      </w:tr>
      <w:tr w:rsidR="00A10501" w14:paraId="1197C7E1" w14:textId="77777777">
        <w:trPr>
          <w:trHeight w:val="330"/>
          <w:jc w:val="center"/>
        </w:trPr>
        <w:tc>
          <w:tcPr>
            <w:tcW w:w="4345" w:type="dxa"/>
          </w:tcPr>
          <w:p w14:paraId="57F152D7" w14:textId="06DBBB9D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dati carta di credito</w:t>
            </w:r>
          </w:p>
        </w:tc>
        <w:tc>
          <w:tcPr>
            <w:tcW w:w="4346" w:type="dxa"/>
          </w:tcPr>
          <w:p w14:paraId="6003EC94" w14:textId="36B92457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inserire i dati della carta di credito</w:t>
            </w:r>
          </w:p>
        </w:tc>
      </w:tr>
      <w:tr w:rsidR="00A10501" w14:paraId="77BD8EBC" w14:textId="77777777">
        <w:trPr>
          <w:trHeight w:val="330"/>
          <w:jc w:val="center"/>
        </w:trPr>
        <w:tc>
          <w:tcPr>
            <w:tcW w:w="4345" w:type="dxa"/>
          </w:tcPr>
          <w:p w14:paraId="07A0C52C" w14:textId="3E19BB62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DB8DB30" w14:textId="7C366674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28815947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7E644C">
        <w:rPr>
          <w:rFonts w:ascii="Times New Roman" w:hAnsi="Times New Roman"/>
          <w:b/>
          <w:bCs/>
        </w:rPr>
        <w:t xml:space="preserve"> Indirizzo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6D171330" w:rsidR="00D50EFE" w:rsidRPr="00AF01E4" w:rsidRDefault="00676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Pr="00530E08">
              <w:rPr>
                <w:sz w:val="28"/>
                <w:szCs w:val="28"/>
              </w:rPr>
              <w:t xml:space="preserve"> Indiriz</w:t>
            </w:r>
            <w:r w:rsidR="00530E08" w:rsidRPr="00530E08">
              <w:rPr>
                <w:sz w:val="28"/>
                <w:szCs w:val="28"/>
              </w:rPr>
              <w:t>z</w:t>
            </w:r>
            <w:r w:rsidRPr="00530E08">
              <w:rPr>
                <w:sz w:val="28"/>
                <w:szCs w:val="28"/>
              </w:rPr>
              <w:t>i</w:t>
            </w:r>
          </w:p>
        </w:tc>
        <w:tc>
          <w:tcPr>
            <w:tcW w:w="4346" w:type="dxa"/>
          </w:tcPr>
          <w:p w14:paraId="0CBA35CC" w14:textId="3FCA675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</w:t>
            </w:r>
            <w:r w:rsidR="0067606B">
              <w:t>di visualizzare gli indirizzi aggiunti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A2F2" w14:textId="77777777" w:rsidR="00667FDD" w:rsidRDefault="00667FDD">
      <w:r>
        <w:separator/>
      </w:r>
    </w:p>
  </w:endnote>
  <w:endnote w:type="continuationSeparator" w:id="0">
    <w:p w14:paraId="4EC89803" w14:textId="77777777" w:rsidR="00667FDD" w:rsidRDefault="00667FDD">
      <w:r>
        <w:continuationSeparator/>
      </w:r>
    </w:p>
  </w:endnote>
  <w:endnote w:type="continuationNotice" w:id="1">
    <w:p w14:paraId="435AD7C3" w14:textId="77777777" w:rsidR="00667FDD" w:rsidRDefault="00667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0F8F" w14:textId="77777777" w:rsidR="00667FDD" w:rsidRDefault="00667FDD">
      <w:r>
        <w:separator/>
      </w:r>
    </w:p>
  </w:footnote>
  <w:footnote w:type="continuationSeparator" w:id="0">
    <w:p w14:paraId="778AF494" w14:textId="77777777" w:rsidR="00667FDD" w:rsidRDefault="00667FDD">
      <w:r>
        <w:continuationSeparator/>
      </w:r>
    </w:p>
  </w:footnote>
  <w:footnote w:type="continuationNotice" w:id="1">
    <w:p w14:paraId="2C527AF3" w14:textId="77777777" w:rsidR="00667FDD" w:rsidRDefault="00667F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17B15"/>
    <w:rsid w:val="00120304"/>
    <w:rsid w:val="00130068"/>
    <w:rsid w:val="001309DD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1F674A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56FDE"/>
    <w:rsid w:val="003600AD"/>
    <w:rsid w:val="00361075"/>
    <w:rsid w:val="00363676"/>
    <w:rsid w:val="003705B0"/>
    <w:rsid w:val="0037136D"/>
    <w:rsid w:val="00372E34"/>
    <w:rsid w:val="00373520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77F58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0E08"/>
    <w:rsid w:val="00534A8E"/>
    <w:rsid w:val="005351D3"/>
    <w:rsid w:val="00542C8A"/>
    <w:rsid w:val="00550575"/>
    <w:rsid w:val="00551A97"/>
    <w:rsid w:val="00552921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37F8"/>
    <w:rsid w:val="005B536D"/>
    <w:rsid w:val="005B7F1E"/>
    <w:rsid w:val="005C0CF6"/>
    <w:rsid w:val="005C7B6B"/>
    <w:rsid w:val="005D228B"/>
    <w:rsid w:val="005D2564"/>
    <w:rsid w:val="005E1871"/>
    <w:rsid w:val="005E1D86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0CB9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67FDD"/>
    <w:rsid w:val="00670E6E"/>
    <w:rsid w:val="006715EF"/>
    <w:rsid w:val="0067463B"/>
    <w:rsid w:val="0067606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F1F42"/>
    <w:rsid w:val="006F7F6C"/>
    <w:rsid w:val="007013C6"/>
    <w:rsid w:val="007054B3"/>
    <w:rsid w:val="00712EBF"/>
    <w:rsid w:val="007158C2"/>
    <w:rsid w:val="007223D9"/>
    <w:rsid w:val="00724CB7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677EB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52D2"/>
    <w:rsid w:val="007D6995"/>
    <w:rsid w:val="007E13EA"/>
    <w:rsid w:val="007E1FD5"/>
    <w:rsid w:val="007E22C8"/>
    <w:rsid w:val="007E644C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06B16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E3E8F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87003"/>
    <w:rsid w:val="00990912"/>
    <w:rsid w:val="00995730"/>
    <w:rsid w:val="00995F5C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7DD"/>
    <w:rsid w:val="00A01EA4"/>
    <w:rsid w:val="00A022AD"/>
    <w:rsid w:val="00A02687"/>
    <w:rsid w:val="00A03FC9"/>
    <w:rsid w:val="00A0537C"/>
    <w:rsid w:val="00A07653"/>
    <w:rsid w:val="00A10501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2B95"/>
    <w:rsid w:val="00AF33E2"/>
    <w:rsid w:val="00AF631C"/>
    <w:rsid w:val="00AF6661"/>
    <w:rsid w:val="00AF6E36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4508"/>
    <w:rsid w:val="00C56504"/>
    <w:rsid w:val="00C568C9"/>
    <w:rsid w:val="00C57579"/>
    <w:rsid w:val="00C6165F"/>
    <w:rsid w:val="00C61EA9"/>
    <w:rsid w:val="00C62485"/>
    <w:rsid w:val="00C662D4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786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130A"/>
    <w:rsid w:val="00E65819"/>
    <w:rsid w:val="00E65DCA"/>
    <w:rsid w:val="00E65FA9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25553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0FF5C08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DA904F0A-7A95-4438-AC89-46F885B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4026A-0205-4BC6-9859-DA2AF38DC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2782</Words>
  <Characters>15860</Characters>
  <Application>Microsoft Office Word</Application>
  <DocSecurity>0</DocSecurity>
  <Lines>132</Lines>
  <Paragraphs>37</Paragraphs>
  <ScaleCrop>false</ScaleCrop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PISCOPO</cp:lastModifiedBy>
  <cp:revision>3</cp:revision>
  <cp:lastPrinted>2023-02-16T15:51:00Z</cp:lastPrinted>
  <dcterms:created xsi:type="dcterms:W3CDTF">2023-02-16T15:40:00Z</dcterms:created>
  <dcterms:modified xsi:type="dcterms:W3CDTF">2023-02-16T15:52:00Z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