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60F4C0" w14:textId="77777777" w:rsidR="00C42DBD" w:rsidRDefault="002671A9" w:rsidP="00C42DBD">
      <w:pPr>
        <w:jc w:val="center"/>
        <w:rPr>
          <w:rFonts w:ascii="Calibri" w:eastAsiaTheme="majorEastAsia" w:hAnsi="Calibri" w:cs="Calibri"/>
          <w:b/>
          <w:bCs/>
          <w:sz w:val="36"/>
          <w:szCs w:val="36"/>
          <w:u w:val="single"/>
        </w:rPr>
      </w:pPr>
      <w:r w:rsidRPr="00C42DBD">
        <w:rPr>
          <w:rFonts w:ascii="Calibri" w:eastAsiaTheme="majorEastAsia" w:hAnsi="Calibri" w:cs="Calibri"/>
          <w:b/>
          <w:bCs/>
          <w:sz w:val="36"/>
          <w:szCs w:val="36"/>
          <w:u w:val="single"/>
        </w:rPr>
        <w:t xml:space="preserve">BUSINESS </w:t>
      </w:r>
      <w:r w:rsidR="00B01A49" w:rsidRPr="00C42DBD">
        <w:rPr>
          <w:rFonts w:ascii="Calibri" w:eastAsiaTheme="majorEastAsia" w:hAnsi="Calibri" w:cs="Calibri"/>
          <w:b/>
          <w:bCs/>
          <w:sz w:val="36"/>
          <w:szCs w:val="36"/>
          <w:u w:val="single"/>
        </w:rPr>
        <w:t>ANALYTICS</w:t>
      </w:r>
      <w:r w:rsidR="00C42DBD">
        <w:rPr>
          <w:rFonts w:ascii="Calibri" w:eastAsiaTheme="majorEastAsia" w:hAnsi="Calibri" w:cs="Calibri"/>
          <w:b/>
          <w:bCs/>
          <w:sz w:val="36"/>
          <w:szCs w:val="36"/>
          <w:u w:val="single"/>
        </w:rPr>
        <w:t xml:space="preserve"> </w:t>
      </w:r>
      <w:r w:rsidRPr="00C42DBD">
        <w:rPr>
          <w:rFonts w:ascii="Calibri" w:eastAsiaTheme="majorEastAsia" w:hAnsi="Calibri" w:cs="Calibri"/>
          <w:b/>
          <w:bCs/>
          <w:sz w:val="36"/>
          <w:szCs w:val="36"/>
          <w:u w:val="single"/>
        </w:rPr>
        <w:t>I</w:t>
      </w:r>
      <w:r w:rsidR="004655FF" w:rsidRPr="00C42DBD">
        <w:rPr>
          <w:rFonts w:ascii="Calibri" w:eastAsiaTheme="majorEastAsia" w:hAnsi="Calibri" w:cs="Calibri"/>
          <w:b/>
          <w:bCs/>
          <w:sz w:val="36"/>
          <w:szCs w:val="36"/>
          <w:u w:val="single"/>
        </w:rPr>
        <w:t>N</w:t>
      </w:r>
      <w:r w:rsidRPr="00C42DBD">
        <w:rPr>
          <w:rFonts w:ascii="Calibri" w:eastAsiaTheme="majorEastAsia" w:hAnsi="Calibri" w:cs="Calibri"/>
          <w:b/>
          <w:bCs/>
          <w:sz w:val="36"/>
          <w:szCs w:val="36"/>
          <w:u w:val="single"/>
        </w:rPr>
        <w:t>DIVIDUAL REPORT</w:t>
      </w:r>
      <w:r w:rsidR="00C42DBD">
        <w:rPr>
          <w:rFonts w:ascii="Calibri" w:eastAsiaTheme="majorEastAsia" w:hAnsi="Calibri" w:cs="Calibri"/>
          <w:b/>
          <w:bCs/>
          <w:sz w:val="36"/>
          <w:szCs w:val="36"/>
          <w:u w:val="single"/>
        </w:rPr>
        <w:t xml:space="preserve"> </w:t>
      </w:r>
    </w:p>
    <w:p w14:paraId="267CA613" w14:textId="3F3D1525" w:rsidR="002671A9" w:rsidRPr="00C42DBD" w:rsidRDefault="00C42DBD" w:rsidP="00C42DBD">
      <w:pPr>
        <w:jc w:val="center"/>
        <w:rPr>
          <w:rFonts w:ascii="Calibri" w:eastAsiaTheme="majorEastAsia" w:hAnsi="Calibri" w:cs="Calibri"/>
          <w:b/>
          <w:bCs/>
          <w:sz w:val="36"/>
          <w:szCs w:val="36"/>
          <w:u w:val="single"/>
        </w:rPr>
      </w:pPr>
      <w:r w:rsidRPr="00C42DBD">
        <w:rPr>
          <w:rFonts w:ascii="Calibri" w:eastAsiaTheme="majorEastAsia" w:hAnsi="Calibri" w:cs="Calibri"/>
          <w:b/>
          <w:bCs/>
          <w:sz w:val="36"/>
          <w:szCs w:val="36"/>
          <w:u w:val="single"/>
        </w:rPr>
        <w:t>BUSN9410</w:t>
      </w:r>
    </w:p>
    <w:p w14:paraId="71D678C5" w14:textId="77777777" w:rsidR="002671A9" w:rsidRPr="002671A9" w:rsidRDefault="002671A9" w:rsidP="002671A9">
      <w:pPr>
        <w:jc w:val="center"/>
        <w:rPr>
          <w:rFonts w:asciiTheme="majorHAnsi" w:eastAsiaTheme="majorEastAsia" w:hAnsiTheme="majorHAnsi" w:cstheme="majorBidi"/>
          <w:b/>
          <w:sz w:val="36"/>
          <w:szCs w:val="36"/>
          <w:u w:val="single"/>
        </w:rPr>
      </w:pPr>
    </w:p>
    <w:p w14:paraId="60966926" w14:textId="77777777" w:rsidR="002671A9" w:rsidRPr="00D87E78" w:rsidRDefault="002671A9" w:rsidP="002671A9">
      <w:pPr>
        <w:jc w:val="center"/>
      </w:pPr>
    </w:p>
    <w:p w14:paraId="442BE71A" w14:textId="77777777" w:rsidR="002671A9" w:rsidRPr="00D87E78" w:rsidRDefault="002671A9" w:rsidP="002671A9"/>
    <w:p w14:paraId="634D9860" w14:textId="77777777" w:rsidR="002671A9" w:rsidRPr="00D87E78" w:rsidRDefault="002671A9" w:rsidP="002671A9">
      <w:pPr>
        <w:jc w:val="center"/>
      </w:pPr>
    </w:p>
    <w:p w14:paraId="32DB831A" w14:textId="77777777" w:rsidR="002671A9" w:rsidRPr="00D87E78" w:rsidRDefault="002671A9" w:rsidP="002671A9">
      <w:pPr>
        <w:jc w:val="center"/>
      </w:pPr>
    </w:p>
    <w:p w14:paraId="2A414953" w14:textId="77777777" w:rsidR="002671A9" w:rsidRPr="00D87E78" w:rsidRDefault="002671A9" w:rsidP="002671A9">
      <w:pPr>
        <w:jc w:val="center"/>
      </w:pPr>
    </w:p>
    <w:p w14:paraId="25A6B691" w14:textId="77777777" w:rsidR="002671A9" w:rsidRPr="00D87E78" w:rsidRDefault="002671A9" w:rsidP="002671A9">
      <w:pPr>
        <w:jc w:val="center"/>
      </w:pPr>
    </w:p>
    <w:p w14:paraId="07B6A21C" w14:textId="77777777" w:rsidR="002671A9" w:rsidRPr="00D87E78" w:rsidRDefault="002671A9" w:rsidP="002671A9">
      <w:pPr>
        <w:jc w:val="center"/>
      </w:pPr>
    </w:p>
    <w:p w14:paraId="0475BFF4" w14:textId="77777777" w:rsidR="002671A9" w:rsidRPr="00D87E78" w:rsidRDefault="002671A9" w:rsidP="002671A9">
      <w:pPr>
        <w:jc w:val="center"/>
      </w:pPr>
    </w:p>
    <w:p w14:paraId="34519476" w14:textId="4AC52B3A" w:rsidR="002671A9" w:rsidRDefault="002671A9" w:rsidP="002671A9">
      <w:pPr>
        <w:jc w:val="center"/>
      </w:pPr>
    </w:p>
    <w:p w14:paraId="001AD52A" w14:textId="77777777" w:rsidR="00B01A49" w:rsidRDefault="00B01A49" w:rsidP="002671A9">
      <w:pPr>
        <w:jc w:val="center"/>
      </w:pPr>
    </w:p>
    <w:p w14:paraId="11748837" w14:textId="77777777" w:rsidR="00B01A49" w:rsidRDefault="00B01A49" w:rsidP="002671A9">
      <w:pPr>
        <w:jc w:val="center"/>
      </w:pPr>
    </w:p>
    <w:p w14:paraId="44945616" w14:textId="77777777" w:rsidR="00B01A49" w:rsidRDefault="00B01A49" w:rsidP="002671A9">
      <w:pPr>
        <w:jc w:val="center"/>
      </w:pPr>
    </w:p>
    <w:p w14:paraId="5C582A38" w14:textId="77777777" w:rsidR="00B01A49" w:rsidRDefault="00B01A49" w:rsidP="002671A9">
      <w:pPr>
        <w:jc w:val="center"/>
      </w:pPr>
    </w:p>
    <w:p w14:paraId="0BF7662D" w14:textId="77777777" w:rsidR="00B01A49" w:rsidRPr="00D87E78" w:rsidRDefault="00B01A49" w:rsidP="002671A9">
      <w:pPr>
        <w:jc w:val="center"/>
      </w:pPr>
    </w:p>
    <w:p w14:paraId="38B93BC6" w14:textId="77777777" w:rsidR="002671A9" w:rsidRPr="00D87E78" w:rsidRDefault="002671A9" w:rsidP="002671A9">
      <w:pPr>
        <w:jc w:val="center"/>
      </w:pPr>
    </w:p>
    <w:p w14:paraId="3536EAA8" w14:textId="77777777" w:rsidR="002671A9" w:rsidRPr="00D87E78" w:rsidRDefault="002671A9" w:rsidP="002671A9">
      <w:pPr>
        <w:jc w:val="center"/>
      </w:pPr>
    </w:p>
    <w:p w14:paraId="16D4ECB3" w14:textId="77777777" w:rsidR="002671A9" w:rsidRPr="00D87E78" w:rsidRDefault="002671A9" w:rsidP="002671A9">
      <w:pPr>
        <w:jc w:val="center"/>
      </w:pPr>
    </w:p>
    <w:p w14:paraId="0C9AA014" w14:textId="12C21142" w:rsidR="002671A9" w:rsidRPr="00C42DBD" w:rsidRDefault="007E6729" w:rsidP="00B01A49">
      <w:pPr>
        <w:jc w:val="center"/>
      </w:pPr>
      <w:r w:rsidRPr="00C42DBD">
        <w:t>Aman Kumar Singh</w:t>
      </w:r>
      <w:r w:rsidR="002671A9" w:rsidRPr="00C42DBD">
        <w:t xml:space="preserve"> (</w:t>
      </w:r>
      <w:r>
        <w:t>24037665</w:t>
      </w:r>
      <w:r w:rsidR="002671A9" w:rsidRPr="00C42DBD">
        <w:t>)</w:t>
      </w:r>
    </w:p>
    <w:p w14:paraId="22FBD3B8" w14:textId="77777777" w:rsidR="002671A9" w:rsidRPr="00D87E78" w:rsidRDefault="002671A9" w:rsidP="002671A9">
      <w:pPr>
        <w:jc w:val="center"/>
        <w:rPr>
          <w:sz w:val="22"/>
          <w:szCs w:val="22"/>
        </w:rPr>
      </w:pPr>
    </w:p>
    <w:p w14:paraId="31F5FE84" w14:textId="77777777" w:rsidR="002671A9" w:rsidRPr="00D87E78" w:rsidRDefault="002671A9" w:rsidP="002671A9">
      <w:pPr>
        <w:jc w:val="center"/>
        <w:rPr>
          <w:sz w:val="22"/>
          <w:szCs w:val="22"/>
        </w:rPr>
      </w:pPr>
    </w:p>
    <w:p w14:paraId="4531E6C8" w14:textId="77777777" w:rsidR="002671A9" w:rsidRPr="00D87E78" w:rsidRDefault="002671A9" w:rsidP="002671A9">
      <w:pPr>
        <w:jc w:val="center"/>
        <w:rPr>
          <w:sz w:val="22"/>
          <w:szCs w:val="22"/>
        </w:rPr>
      </w:pPr>
    </w:p>
    <w:p w14:paraId="266F5A2A" w14:textId="77777777" w:rsidR="002671A9" w:rsidRPr="00D87E78" w:rsidRDefault="002671A9" w:rsidP="002671A9">
      <w:pPr>
        <w:jc w:val="center"/>
        <w:rPr>
          <w:sz w:val="22"/>
          <w:szCs w:val="22"/>
        </w:rPr>
      </w:pPr>
    </w:p>
    <w:p w14:paraId="18E2D4C7" w14:textId="77777777" w:rsidR="002671A9" w:rsidRPr="00D87E78" w:rsidRDefault="002671A9" w:rsidP="002671A9">
      <w:pPr>
        <w:jc w:val="center"/>
        <w:rPr>
          <w:sz w:val="22"/>
          <w:szCs w:val="22"/>
        </w:rPr>
      </w:pPr>
    </w:p>
    <w:p w14:paraId="51098FC3" w14:textId="77777777" w:rsidR="002671A9" w:rsidRPr="00D87E78" w:rsidRDefault="002671A9" w:rsidP="002671A9">
      <w:pPr>
        <w:jc w:val="center"/>
        <w:rPr>
          <w:sz w:val="22"/>
          <w:szCs w:val="22"/>
        </w:rPr>
      </w:pPr>
    </w:p>
    <w:p w14:paraId="1733B40E" w14:textId="77777777" w:rsidR="002671A9" w:rsidRPr="00D87E78" w:rsidRDefault="002671A9" w:rsidP="00B01A49">
      <w:pPr>
        <w:rPr>
          <w:sz w:val="22"/>
          <w:szCs w:val="22"/>
        </w:rPr>
      </w:pPr>
    </w:p>
    <w:p w14:paraId="358F380E" w14:textId="77777777" w:rsidR="002671A9" w:rsidRPr="00D87E78" w:rsidRDefault="002671A9" w:rsidP="002671A9">
      <w:pPr>
        <w:jc w:val="center"/>
        <w:rPr>
          <w:sz w:val="22"/>
          <w:szCs w:val="22"/>
        </w:rPr>
      </w:pPr>
    </w:p>
    <w:p w14:paraId="5266490D" w14:textId="77777777" w:rsidR="002671A9" w:rsidRPr="00D87E78" w:rsidRDefault="002671A9" w:rsidP="002671A9">
      <w:pPr>
        <w:jc w:val="center"/>
        <w:rPr>
          <w:sz w:val="22"/>
          <w:szCs w:val="22"/>
        </w:rPr>
      </w:pPr>
    </w:p>
    <w:p w14:paraId="390D5B01" w14:textId="77777777" w:rsidR="002671A9" w:rsidRPr="00D87E78" w:rsidRDefault="002671A9" w:rsidP="002671A9">
      <w:pPr>
        <w:jc w:val="center"/>
        <w:rPr>
          <w:sz w:val="22"/>
          <w:szCs w:val="22"/>
        </w:rPr>
      </w:pPr>
    </w:p>
    <w:p w14:paraId="506902B0" w14:textId="77777777" w:rsidR="002671A9" w:rsidRPr="00D87E78" w:rsidRDefault="002671A9" w:rsidP="002671A9">
      <w:pPr>
        <w:jc w:val="center"/>
        <w:rPr>
          <w:sz w:val="22"/>
          <w:szCs w:val="22"/>
        </w:rPr>
      </w:pPr>
    </w:p>
    <w:p w14:paraId="67990528" w14:textId="77777777" w:rsidR="002671A9" w:rsidRDefault="002671A9" w:rsidP="002671A9">
      <w:pPr>
        <w:jc w:val="center"/>
      </w:pPr>
    </w:p>
    <w:p w14:paraId="5F4FA84C" w14:textId="77777777" w:rsidR="00B01A49" w:rsidRDefault="00B01A49" w:rsidP="002671A9">
      <w:pPr>
        <w:jc w:val="center"/>
      </w:pPr>
    </w:p>
    <w:p w14:paraId="0D9AA442" w14:textId="77777777" w:rsidR="00B01A49" w:rsidRDefault="00B01A49" w:rsidP="002671A9">
      <w:pPr>
        <w:jc w:val="center"/>
      </w:pPr>
    </w:p>
    <w:p w14:paraId="00366A18" w14:textId="77777777" w:rsidR="00B01A49" w:rsidRDefault="00B01A49" w:rsidP="002671A9">
      <w:pPr>
        <w:jc w:val="center"/>
      </w:pPr>
    </w:p>
    <w:p w14:paraId="4A205BDE" w14:textId="77777777" w:rsidR="00B01A49" w:rsidRDefault="00B01A49" w:rsidP="002671A9">
      <w:pPr>
        <w:jc w:val="center"/>
      </w:pPr>
    </w:p>
    <w:p w14:paraId="4EFF052D" w14:textId="77777777" w:rsidR="00B01A49" w:rsidRDefault="00B01A49" w:rsidP="002671A9">
      <w:pPr>
        <w:jc w:val="center"/>
      </w:pPr>
    </w:p>
    <w:p w14:paraId="6309F876" w14:textId="77777777" w:rsidR="00B01A49" w:rsidRPr="00D87E78" w:rsidRDefault="00B01A49" w:rsidP="002671A9">
      <w:pPr>
        <w:jc w:val="center"/>
      </w:pPr>
    </w:p>
    <w:p w14:paraId="7467CCF5" w14:textId="77777777" w:rsidR="002671A9" w:rsidRPr="00D87E78" w:rsidRDefault="002671A9" w:rsidP="002671A9">
      <w:pPr>
        <w:jc w:val="center"/>
      </w:pPr>
    </w:p>
    <w:p w14:paraId="4D2ED5C1" w14:textId="77777777" w:rsidR="002671A9" w:rsidRPr="00D87E78" w:rsidRDefault="002671A9" w:rsidP="00B01A49">
      <w:pPr>
        <w:spacing w:line="276" w:lineRule="auto"/>
        <w:jc w:val="center"/>
      </w:pPr>
    </w:p>
    <w:p w14:paraId="446E72A4" w14:textId="713FEDB4" w:rsidR="002671A9" w:rsidRPr="00C42DBD" w:rsidRDefault="002671A9" w:rsidP="00C42DBD">
      <w:pPr>
        <w:jc w:val="center"/>
      </w:pPr>
      <w:r w:rsidRPr="00C42DBD">
        <w:t>Prof</w:t>
      </w:r>
      <w:r w:rsidR="00C42DBD">
        <w:t>.</w:t>
      </w:r>
      <w:r w:rsidRPr="00C42DBD">
        <w:t xml:space="preserve"> </w:t>
      </w:r>
      <w:r w:rsidR="00B01A49" w:rsidRPr="00C42DBD">
        <w:t xml:space="preserve">JR </w:t>
      </w:r>
      <w:proofErr w:type="spellStart"/>
      <w:r w:rsidR="00B01A49" w:rsidRPr="00C42DBD">
        <w:t>O'Hanley</w:t>
      </w:r>
      <w:proofErr w:type="spellEnd"/>
      <w:r w:rsidR="00B01A49" w:rsidRPr="00C42DBD">
        <w:t xml:space="preserve"> &amp; Prof</w:t>
      </w:r>
      <w:r w:rsidR="00C42DBD">
        <w:t>.</w:t>
      </w:r>
      <w:r w:rsidR="00B01A49" w:rsidRPr="00C42DBD">
        <w:t xml:space="preserve"> MP </w:t>
      </w:r>
      <w:proofErr w:type="spellStart"/>
      <w:r w:rsidR="00B01A49" w:rsidRPr="00C42DBD">
        <w:t>Scaparra</w:t>
      </w:r>
      <w:proofErr w:type="spellEnd"/>
    </w:p>
    <w:p w14:paraId="5C30D46B" w14:textId="77777777" w:rsidR="002671A9" w:rsidRPr="00C42DBD" w:rsidRDefault="002671A9" w:rsidP="00C42DBD">
      <w:pPr>
        <w:jc w:val="center"/>
      </w:pPr>
      <w:r w:rsidRPr="00C42DBD">
        <w:t>Kent Business School, University of Kent</w:t>
      </w:r>
    </w:p>
    <w:p w14:paraId="5851FAB7" w14:textId="006355DC" w:rsidR="002671A9" w:rsidRPr="00D87E78" w:rsidRDefault="002671A9" w:rsidP="00C42DBD">
      <w:pPr>
        <w:jc w:val="center"/>
      </w:pPr>
      <w:r w:rsidRPr="00C42DBD">
        <w:t>0</w:t>
      </w:r>
      <w:r w:rsidR="00B01A49" w:rsidRPr="00C42DBD">
        <w:t>5</w:t>
      </w:r>
      <w:r w:rsidRPr="00C42DBD">
        <w:t>/</w:t>
      </w:r>
      <w:r w:rsidR="00B01A49" w:rsidRPr="00C42DBD">
        <w:t>03</w:t>
      </w:r>
      <w:r w:rsidRPr="00C42DBD">
        <w:t>/202</w:t>
      </w:r>
      <w:r w:rsidR="008177DE" w:rsidRPr="00C42DBD">
        <w:t>4</w:t>
      </w:r>
      <w:r w:rsidRPr="00D87E78">
        <w:br w:type="page"/>
      </w:r>
    </w:p>
    <w:p w14:paraId="0804E53B" w14:textId="37783591" w:rsidR="002671A9" w:rsidRDefault="00FA6C60" w:rsidP="00C42DBD">
      <w:pPr>
        <w:pStyle w:val="Heading1"/>
        <w:spacing w:line="360" w:lineRule="auto"/>
        <w:ind w:left="142"/>
        <w:jc w:val="center"/>
      </w:pPr>
      <w:r>
        <w:lastRenderedPageBreak/>
        <w:t>TABLE OF CONTENT</w:t>
      </w:r>
    </w:p>
    <w:p w14:paraId="6FB51FED" w14:textId="39EAAEDE" w:rsidR="00FA6C60" w:rsidRDefault="00FA6C60" w:rsidP="00FA6C60"/>
    <w:p w14:paraId="5D94D90B" w14:textId="5B78E698" w:rsidR="00FA6C60" w:rsidRPr="00C42DBD" w:rsidRDefault="00BF1C27" w:rsidP="00C42DBD">
      <w:pPr>
        <w:pStyle w:val="Heading1"/>
        <w:numPr>
          <w:ilvl w:val="0"/>
          <w:numId w:val="14"/>
        </w:numPr>
        <w:spacing w:line="360" w:lineRule="auto"/>
        <w:ind w:left="567"/>
        <w:jc w:val="both"/>
        <w:rPr>
          <w:sz w:val="24"/>
          <w:szCs w:val="24"/>
          <w:u w:val="none"/>
        </w:rPr>
      </w:pPr>
      <w:r>
        <w:rPr>
          <w:sz w:val="24"/>
          <w:szCs w:val="24"/>
          <w:u w:val="none"/>
        </w:rPr>
        <w:t>ANSWER</w:t>
      </w:r>
      <w:r w:rsidR="00FA6C60" w:rsidRPr="00C42DBD">
        <w:rPr>
          <w:sz w:val="24"/>
          <w:szCs w:val="24"/>
          <w:u w:val="none"/>
        </w:rPr>
        <w:t xml:space="preserve"> 1</w:t>
      </w:r>
      <w:r w:rsidR="005420E9" w:rsidRPr="00C42DBD">
        <w:rPr>
          <w:sz w:val="24"/>
          <w:szCs w:val="24"/>
          <w:u w:val="none"/>
        </w:rPr>
        <w:t xml:space="preserve">: </w:t>
      </w:r>
      <w:r w:rsidR="00C42DBD">
        <w:rPr>
          <w:sz w:val="24"/>
          <w:szCs w:val="24"/>
          <w:u w:val="none"/>
        </w:rPr>
        <w:t xml:space="preserve">SHIPPING </w:t>
      </w:r>
      <w:r w:rsidR="005420E9" w:rsidRPr="00C42DBD">
        <w:rPr>
          <w:sz w:val="24"/>
          <w:szCs w:val="24"/>
          <w:u w:val="none"/>
        </w:rPr>
        <w:t>OPTIMISATION</w:t>
      </w:r>
      <w:r w:rsidR="00FA6C60" w:rsidRPr="00C42DBD">
        <w:rPr>
          <w:sz w:val="24"/>
          <w:szCs w:val="24"/>
          <w:u w:val="none"/>
        </w:rPr>
        <w:t>………………………………………………………………</w:t>
      </w:r>
      <w:r w:rsidR="00FA6C60" w:rsidRPr="00C42DBD">
        <w:rPr>
          <w:sz w:val="24"/>
          <w:szCs w:val="24"/>
          <w:u w:val="none"/>
        </w:rPr>
        <w:tab/>
        <w:t>2</w:t>
      </w:r>
    </w:p>
    <w:p w14:paraId="4B9F2BAD" w14:textId="76FCA875" w:rsidR="00FA6C60" w:rsidRPr="00C42DBD" w:rsidRDefault="00BF1C27" w:rsidP="00C42DBD">
      <w:pPr>
        <w:pStyle w:val="Heading1"/>
        <w:numPr>
          <w:ilvl w:val="0"/>
          <w:numId w:val="14"/>
        </w:numPr>
        <w:spacing w:line="360" w:lineRule="auto"/>
        <w:ind w:left="567"/>
        <w:jc w:val="both"/>
        <w:rPr>
          <w:sz w:val="24"/>
          <w:szCs w:val="24"/>
          <w:u w:val="none"/>
        </w:rPr>
      </w:pPr>
      <w:r>
        <w:rPr>
          <w:sz w:val="24"/>
          <w:szCs w:val="24"/>
          <w:u w:val="none"/>
        </w:rPr>
        <w:t>ANSWER</w:t>
      </w:r>
      <w:r w:rsidR="00FA6C60" w:rsidRPr="00C42DBD">
        <w:rPr>
          <w:sz w:val="24"/>
          <w:szCs w:val="24"/>
          <w:u w:val="none"/>
        </w:rPr>
        <w:t xml:space="preserve"> 2</w:t>
      </w:r>
      <w:r w:rsidR="005420E9" w:rsidRPr="00C42DBD">
        <w:rPr>
          <w:sz w:val="24"/>
          <w:szCs w:val="24"/>
          <w:u w:val="none"/>
        </w:rPr>
        <w:t xml:space="preserve">: DECISION </w:t>
      </w:r>
      <w:r w:rsidR="00C42DBD">
        <w:rPr>
          <w:sz w:val="24"/>
          <w:szCs w:val="24"/>
          <w:u w:val="none"/>
        </w:rPr>
        <w:t>ANALYSIS</w:t>
      </w:r>
      <w:r w:rsidR="005420E9" w:rsidRPr="00C42DBD">
        <w:rPr>
          <w:sz w:val="24"/>
          <w:szCs w:val="24"/>
          <w:u w:val="none"/>
        </w:rPr>
        <w:t xml:space="preserve"> </w:t>
      </w:r>
      <w:r w:rsidR="00FA6C60" w:rsidRPr="00C42DBD">
        <w:rPr>
          <w:sz w:val="24"/>
          <w:szCs w:val="24"/>
          <w:u w:val="none"/>
        </w:rPr>
        <w:t>…………………………………………………………………</w:t>
      </w:r>
      <w:proofErr w:type="gramStart"/>
      <w:r w:rsidR="00FA6C60" w:rsidRPr="00C42DBD">
        <w:rPr>
          <w:sz w:val="24"/>
          <w:szCs w:val="24"/>
          <w:u w:val="none"/>
        </w:rPr>
        <w:t>…</w:t>
      </w:r>
      <w:r w:rsidR="005420E9" w:rsidRPr="00C42DBD">
        <w:rPr>
          <w:sz w:val="24"/>
          <w:szCs w:val="24"/>
          <w:u w:val="none"/>
        </w:rPr>
        <w:t>..</w:t>
      </w:r>
      <w:proofErr w:type="gramEnd"/>
      <w:r w:rsidR="00FA6C60" w:rsidRPr="00C42DBD">
        <w:rPr>
          <w:sz w:val="24"/>
          <w:szCs w:val="24"/>
          <w:u w:val="none"/>
        </w:rPr>
        <w:tab/>
        <w:t>3</w:t>
      </w:r>
    </w:p>
    <w:p w14:paraId="384326DB" w14:textId="57E971E0" w:rsidR="00FA6C60" w:rsidRPr="00C42DBD" w:rsidRDefault="00FA6C60" w:rsidP="00C42DBD">
      <w:pPr>
        <w:pStyle w:val="Heading1"/>
        <w:spacing w:line="360" w:lineRule="auto"/>
        <w:ind w:left="567"/>
        <w:jc w:val="both"/>
        <w:rPr>
          <w:sz w:val="24"/>
          <w:szCs w:val="24"/>
          <w:u w:val="none"/>
        </w:rPr>
      </w:pPr>
      <w:r w:rsidRPr="00C42DBD">
        <w:rPr>
          <w:sz w:val="24"/>
          <w:szCs w:val="24"/>
          <w:u w:val="none"/>
        </w:rPr>
        <w:t>APPENDICES ………………………………………………………………………………………………….</w:t>
      </w:r>
      <w:r w:rsidR="003F1E6C" w:rsidRPr="00C42DBD">
        <w:rPr>
          <w:sz w:val="24"/>
          <w:szCs w:val="24"/>
          <w:u w:val="none"/>
        </w:rPr>
        <w:t>.</w:t>
      </w:r>
      <w:r w:rsidRPr="00C42DBD">
        <w:rPr>
          <w:sz w:val="24"/>
          <w:szCs w:val="24"/>
          <w:u w:val="none"/>
        </w:rPr>
        <w:t>.</w:t>
      </w:r>
      <w:r w:rsidRPr="00C42DBD">
        <w:rPr>
          <w:sz w:val="24"/>
          <w:szCs w:val="24"/>
          <w:u w:val="none"/>
        </w:rPr>
        <w:tab/>
        <w:t>5</w:t>
      </w:r>
    </w:p>
    <w:p w14:paraId="4E2EDD39" w14:textId="77777777" w:rsidR="0099202E" w:rsidRDefault="0099202E">
      <w:pPr>
        <w:rPr>
          <w:rFonts w:eastAsiaTheme="majorEastAsia" w:cstheme="majorBidi"/>
          <w:b/>
          <w:sz w:val="32"/>
          <w:szCs w:val="32"/>
          <w:u w:val="single"/>
        </w:rPr>
      </w:pPr>
      <w:bookmarkStart w:id="0" w:name="_Relevant_Theories"/>
      <w:bookmarkEnd w:id="0"/>
      <w:r>
        <w:br w:type="page"/>
      </w:r>
    </w:p>
    <w:p w14:paraId="67597779" w14:textId="04235E96" w:rsidR="002671A9" w:rsidRDefault="00BF1C27" w:rsidP="00590357">
      <w:pPr>
        <w:pStyle w:val="Heading1"/>
        <w:spacing w:line="360" w:lineRule="auto"/>
        <w:ind w:left="-567"/>
      </w:pPr>
      <w:r>
        <w:lastRenderedPageBreak/>
        <w:t>ANSWER</w:t>
      </w:r>
      <w:r w:rsidR="00C42DBD">
        <w:t xml:space="preserve"> 1: SHIPPING OPTIMISATION</w:t>
      </w:r>
    </w:p>
    <w:p w14:paraId="6B61970E" w14:textId="04F3C0F3" w:rsidR="0099202E" w:rsidRPr="00590357" w:rsidRDefault="00B17AD4" w:rsidP="00590357">
      <w:pPr>
        <w:pStyle w:val="ListParagraph"/>
        <w:numPr>
          <w:ilvl w:val="0"/>
          <w:numId w:val="9"/>
        </w:numPr>
        <w:spacing w:after="240" w:line="360" w:lineRule="auto"/>
        <w:ind w:left="-142" w:right="-330"/>
        <w:jc w:val="both"/>
        <w:rPr>
          <w:rFonts w:cstheme="minorHAnsi"/>
          <w:sz w:val="22"/>
          <w:szCs w:val="22"/>
        </w:rPr>
      </w:pPr>
      <w:r w:rsidRPr="00590357">
        <w:rPr>
          <w:rFonts w:cstheme="minorHAnsi"/>
          <w:sz w:val="22"/>
          <w:szCs w:val="22"/>
        </w:rPr>
        <w:t>The lowest shipping cost amounts to $51,510, and this optimal cost is realized in the provided Excel solution</w:t>
      </w:r>
      <w:r w:rsidRPr="00590357">
        <w:rPr>
          <w:rFonts w:cstheme="minorHAnsi"/>
          <w:sz w:val="22"/>
          <w:szCs w:val="22"/>
        </w:rPr>
        <w:t xml:space="preserve"> </w:t>
      </w:r>
      <w:r w:rsidR="0099202E" w:rsidRPr="00590357">
        <w:rPr>
          <w:rFonts w:cstheme="minorHAnsi"/>
          <w:sz w:val="22"/>
          <w:szCs w:val="22"/>
        </w:rPr>
        <w:t>(</w:t>
      </w:r>
      <w:r w:rsidR="00C215AB" w:rsidRPr="00590357">
        <w:rPr>
          <w:rFonts w:cstheme="minorHAnsi"/>
          <w:sz w:val="22"/>
          <w:szCs w:val="22"/>
        </w:rPr>
        <w:t>refer to</w:t>
      </w:r>
      <w:r w:rsidRPr="00590357">
        <w:rPr>
          <w:rFonts w:cstheme="minorHAnsi"/>
          <w:sz w:val="22"/>
          <w:szCs w:val="22"/>
        </w:rPr>
        <w:t xml:space="preserve"> </w:t>
      </w:r>
      <w:r w:rsidR="00227BFA" w:rsidRPr="00590357">
        <w:rPr>
          <w:rFonts w:cstheme="minorHAnsi"/>
          <w:sz w:val="22"/>
          <w:szCs w:val="22"/>
        </w:rPr>
        <w:t>Appendix 1.</w:t>
      </w:r>
      <w:r w:rsidR="00BF1C27" w:rsidRPr="00590357">
        <w:rPr>
          <w:rFonts w:cstheme="minorHAnsi"/>
          <w:sz w:val="22"/>
          <w:szCs w:val="22"/>
        </w:rPr>
        <w:t>1</w:t>
      </w:r>
      <w:r w:rsidR="0099202E" w:rsidRPr="00590357">
        <w:rPr>
          <w:rFonts w:cstheme="minorHAnsi"/>
          <w:sz w:val="22"/>
          <w:szCs w:val="22"/>
        </w:rPr>
        <w:t>)</w:t>
      </w:r>
      <w:r w:rsidRPr="00590357">
        <w:rPr>
          <w:rFonts w:cstheme="minorHAnsi"/>
          <w:sz w:val="22"/>
          <w:szCs w:val="22"/>
        </w:rPr>
        <w:t>.</w:t>
      </w:r>
    </w:p>
    <w:p w14:paraId="415E37D9" w14:textId="068054F1" w:rsidR="0099202E" w:rsidRPr="00590357" w:rsidRDefault="00B17AD4" w:rsidP="00590357">
      <w:pPr>
        <w:pStyle w:val="ListParagraph"/>
        <w:numPr>
          <w:ilvl w:val="0"/>
          <w:numId w:val="9"/>
        </w:numPr>
        <w:spacing w:before="100" w:beforeAutospacing="1" w:after="100" w:afterAutospacing="1" w:line="360" w:lineRule="auto"/>
        <w:ind w:left="-142" w:right="-330"/>
        <w:jc w:val="both"/>
        <w:rPr>
          <w:rFonts w:eastAsia="Times New Roman" w:cstheme="minorHAnsi"/>
          <w:kern w:val="0"/>
          <w:sz w:val="22"/>
          <w:szCs w:val="22"/>
          <w:lang w:eastAsia="en-GB"/>
          <w14:ligatures w14:val="none"/>
        </w:rPr>
      </w:pPr>
      <w:r w:rsidRPr="00590357">
        <w:rPr>
          <w:rFonts w:eastAsia="Times New Roman" w:cstheme="minorHAnsi"/>
          <w:kern w:val="0"/>
          <w:sz w:val="22"/>
          <w:szCs w:val="22"/>
          <w:lang w:eastAsia="en-GB"/>
          <w14:ligatures w14:val="none"/>
        </w:rPr>
        <w:t xml:space="preserve">The optimized solution maximizes the utilization of Milwaukee and Salt Lake City distribution </w:t>
      </w:r>
      <w:r w:rsidR="00590357" w:rsidRPr="00590357">
        <w:rPr>
          <w:rFonts w:eastAsia="Times New Roman" w:cstheme="minorHAnsi"/>
          <w:kern w:val="0"/>
          <w:sz w:val="22"/>
          <w:szCs w:val="22"/>
          <w:lang w:eastAsia="en-GB"/>
          <w14:ligatures w14:val="none"/>
        </w:rPr>
        <w:t>centres’</w:t>
      </w:r>
      <w:r w:rsidRPr="00590357">
        <w:rPr>
          <w:rFonts w:eastAsia="Times New Roman" w:cstheme="minorHAnsi"/>
          <w:kern w:val="0"/>
          <w:sz w:val="22"/>
          <w:szCs w:val="22"/>
          <w:lang w:eastAsia="en-GB"/>
          <w14:ligatures w14:val="none"/>
        </w:rPr>
        <w:t xml:space="preserve"> full capacities. Despite having a high capacity, Atlanta is underutilized, shipping to Tucson (3700), Fayetteville (5000), Birmingham (16000), and Orlando (4200). Lexington, operating at nearly half its unit capacity, ships to Denver (1700), Charlotte (7500), Cleveland (3700), and Philadelphia (4500). Milwaukee fully utilizes its </w:t>
      </w:r>
      <w:proofErr w:type="gramStart"/>
      <w:r w:rsidRPr="00590357">
        <w:rPr>
          <w:rFonts w:eastAsia="Times New Roman" w:cstheme="minorHAnsi"/>
          <w:kern w:val="0"/>
          <w:sz w:val="22"/>
          <w:szCs w:val="22"/>
          <w:lang w:eastAsia="en-GB"/>
          <w14:ligatures w14:val="none"/>
        </w:rPr>
        <w:t>15,000 unit</w:t>
      </w:r>
      <w:proofErr w:type="gramEnd"/>
      <w:r w:rsidRPr="00590357">
        <w:rPr>
          <w:rFonts w:eastAsia="Times New Roman" w:cstheme="minorHAnsi"/>
          <w:kern w:val="0"/>
          <w:sz w:val="22"/>
          <w:szCs w:val="22"/>
          <w:lang w:eastAsia="en-GB"/>
          <w14:ligatures w14:val="none"/>
        </w:rPr>
        <w:t xml:space="preserve"> capacity by shipping 5,000 units to Seattle, 4,200 units to Las Vegas, 2,800 units to Denver, and 3,000 units to Minneapolis. Salt Lake City operates at its full </w:t>
      </w:r>
      <w:proofErr w:type="gramStart"/>
      <w:r w:rsidRPr="00590357">
        <w:rPr>
          <w:rFonts w:eastAsia="Times New Roman" w:cstheme="minorHAnsi"/>
          <w:kern w:val="0"/>
          <w:sz w:val="22"/>
          <w:szCs w:val="22"/>
          <w:lang w:eastAsia="en-GB"/>
          <w14:ligatures w14:val="none"/>
        </w:rPr>
        <w:t>16,000 unit</w:t>
      </w:r>
      <w:proofErr w:type="gramEnd"/>
      <w:r w:rsidRPr="00590357">
        <w:rPr>
          <w:rFonts w:eastAsia="Times New Roman" w:cstheme="minorHAnsi"/>
          <w:kern w:val="0"/>
          <w:sz w:val="22"/>
          <w:szCs w:val="22"/>
          <w:lang w:eastAsia="en-GB"/>
          <w14:ligatures w14:val="none"/>
        </w:rPr>
        <w:t xml:space="preserve"> capacity by shipping 16,000 units to San Francisco. The variance in capacity utilization underscores the significance of certain distribution </w:t>
      </w:r>
      <w:r w:rsidRPr="00590357">
        <w:rPr>
          <w:rFonts w:eastAsia="Times New Roman" w:cstheme="minorHAnsi"/>
          <w:kern w:val="0"/>
          <w:sz w:val="22"/>
          <w:szCs w:val="22"/>
          <w:lang w:eastAsia="en-GB"/>
          <w14:ligatures w14:val="none"/>
        </w:rPr>
        <w:t>centres</w:t>
      </w:r>
      <w:r w:rsidRPr="00590357">
        <w:rPr>
          <w:rFonts w:eastAsia="Times New Roman" w:cstheme="minorHAnsi"/>
          <w:kern w:val="0"/>
          <w:sz w:val="22"/>
          <w:szCs w:val="22"/>
          <w:lang w:eastAsia="en-GB"/>
          <w14:ligatures w14:val="none"/>
        </w:rPr>
        <w:t xml:space="preserve"> in achieving overall cost efficiency based on supply-demand dynamics.</w:t>
      </w:r>
    </w:p>
    <w:p w14:paraId="4960128E" w14:textId="643101A8" w:rsidR="0099202E" w:rsidRPr="00590357" w:rsidRDefault="00C215AB" w:rsidP="00590357">
      <w:pPr>
        <w:pStyle w:val="ListParagraph"/>
        <w:numPr>
          <w:ilvl w:val="0"/>
          <w:numId w:val="9"/>
        </w:numPr>
        <w:spacing w:before="100" w:beforeAutospacing="1" w:after="100" w:afterAutospacing="1" w:line="360" w:lineRule="auto"/>
        <w:ind w:left="-142" w:right="-330"/>
        <w:jc w:val="both"/>
        <w:rPr>
          <w:rFonts w:cstheme="minorHAnsi"/>
          <w:sz w:val="22"/>
          <w:szCs w:val="22"/>
        </w:rPr>
      </w:pPr>
      <w:r w:rsidRPr="00590357">
        <w:rPr>
          <w:rFonts w:cstheme="minorHAnsi"/>
          <w:sz w:val="22"/>
          <w:szCs w:val="22"/>
        </w:rPr>
        <w:t xml:space="preserve">According to the Sensitivity Analysis (refer to Appendix 1.2), the supply constraint in Salt Lake City is associated with the highest shadow price, standing at -$1.3. This substantial negative value implies that enhancing capacity in Salt Lake City would result in a more significant reduction in system-wide shipping costs compared to expanding any other distribution </w:t>
      </w:r>
      <w:r w:rsidRPr="00590357">
        <w:rPr>
          <w:rFonts w:cstheme="minorHAnsi"/>
          <w:sz w:val="22"/>
          <w:szCs w:val="22"/>
        </w:rPr>
        <w:t>centre</w:t>
      </w:r>
      <w:r w:rsidRPr="00590357">
        <w:rPr>
          <w:rFonts w:cstheme="minorHAnsi"/>
          <w:sz w:val="22"/>
          <w:szCs w:val="22"/>
        </w:rPr>
        <w:t>. To be specific, the analysis suggests that incorporating an additional 500 units of capacity in Salt Lake City could lead to an overall cost reduction of 500 * $1.3 = $650. Currently operating at full capacity, shipping 16,000 out of 16,000 available units, Salt Lake City has the potential to efficiently utilize the added capacity. Consequently, the sensitivity analysis clearly highlights that allocating an extra 500 units of supply to Salt Lake City would yield the highest value, producing $650 in cost savings and facilitating additional shipments to the constrained San Francisco market.</w:t>
      </w:r>
      <w:r w:rsidR="0099202E" w:rsidRPr="00590357">
        <w:rPr>
          <w:rFonts w:cstheme="minorHAnsi"/>
          <w:sz w:val="22"/>
          <w:szCs w:val="22"/>
        </w:rPr>
        <w:t xml:space="preserve"> </w:t>
      </w:r>
    </w:p>
    <w:p w14:paraId="349BBFBD" w14:textId="4B789E16" w:rsidR="00C215AB" w:rsidRPr="00590357" w:rsidRDefault="00C215AB" w:rsidP="00590357">
      <w:pPr>
        <w:pStyle w:val="ListParagraph"/>
        <w:numPr>
          <w:ilvl w:val="0"/>
          <w:numId w:val="9"/>
        </w:numPr>
        <w:spacing w:line="360" w:lineRule="auto"/>
        <w:ind w:left="-142" w:right="-330"/>
        <w:jc w:val="both"/>
        <w:rPr>
          <w:rFonts w:cstheme="minorHAnsi"/>
          <w:sz w:val="22"/>
          <w:szCs w:val="22"/>
        </w:rPr>
      </w:pPr>
      <w:r w:rsidRPr="00590357">
        <w:rPr>
          <w:rFonts w:cstheme="minorHAnsi"/>
          <w:sz w:val="22"/>
          <w:szCs w:val="22"/>
        </w:rPr>
        <w:t xml:space="preserve">At present, the most efficient solution involves transporting 16,000 units from the Atlanta distribution </w:t>
      </w:r>
      <w:r w:rsidR="00590357" w:rsidRPr="00590357">
        <w:rPr>
          <w:rFonts w:cstheme="minorHAnsi"/>
          <w:sz w:val="22"/>
          <w:szCs w:val="22"/>
        </w:rPr>
        <w:t>centre</w:t>
      </w:r>
      <w:r w:rsidRPr="00590357">
        <w:rPr>
          <w:rFonts w:cstheme="minorHAnsi"/>
          <w:sz w:val="22"/>
          <w:szCs w:val="22"/>
        </w:rPr>
        <w:t xml:space="preserve"> to the Birmingham retail store, incurring a unit cost of $0.35 and resulting in a total shipping cost of $5,600 for this specific route. According to the sensitivity report, the Atlanta to Birmingham route has an "Allowable Increase" of $0.25, indicating that the shipping cost on this route could rise by up to $0.25 per unit without affecting the optimal shipping quantities. As the actual increase is $0.10 ($0.45 - $0.35), which is below the allowable limit, the optimal quantity shipped from Atlanta to Birmingham remains unchanged.</w:t>
      </w:r>
      <w:r w:rsidRPr="00590357">
        <w:rPr>
          <w:rFonts w:cstheme="minorHAnsi"/>
          <w:sz w:val="22"/>
          <w:szCs w:val="22"/>
        </w:rPr>
        <w:t xml:space="preserve"> </w:t>
      </w:r>
      <w:r w:rsidRPr="00590357">
        <w:rPr>
          <w:rFonts w:cstheme="minorHAnsi"/>
          <w:sz w:val="22"/>
          <w:szCs w:val="22"/>
        </w:rPr>
        <w:t>However, since the rate itself has increased, the new cost for shipping 16,000 units on the Atlanta-Birmingham route is $7,200 ($0.45 per unit). This represents a $1,600 increase from the previous cost of $5,600. In essence, the sensitivity analysis highlights that the cost change has a minimal impact on the optimal shipping quantities, but the higher rate on the 16,000 units shipped results in an additional cost estimated at $1,600.</w:t>
      </w:r>
    </w:p>
    <w:p w14:paraId="05F03969" w14:textId="6EA51414" w:rsidR="00C215AB" w:rsidRPr="00590357" w:rsidRDefault="00C215AB" w:rsidP="00590357">
      <w:pPr>
        <w:pStyle w:val="ListParagraph"/>
        <w:spacing w:line="360" w:lineRule="auto"/>
        <w:ind w:left="-142" w:right="-330"/>
        <w:jc w:val="both"/>
        <w:rPr>
          <w:rFonts w:cstheme="minorHAnsi"/>
          <w:sz w:val="22"/>
          <w:szCs w:val="22"/>
        </w:rPr>
      </w:pPr>
      <w:r w:rsidRPr="00590357">
        <w:rPr>
          <w:rFonts w:cstheme="minorHAnsi"/>
          <w:sz w:val="22"/>
          <w:szCs w:val="22"/>
        </w:rPr>
        <w:t>To summarize, the sensitivity analysis indicates that the optimal shipping quantities are not significantly affected by the cost change. However, the increased rate on the 16,000 units elevates the total cost, leading to an estimated rise in the optimized minimum shipping cost from $51,510 to $53,110 (</w:t>
      </w:r>
      <w:r w:rsidRPr="00590357">
        <w:rPr>
          <w:rFonts w:cstheme="minorHAnsi"/>
          <w:sz w:val="22"/>
          <w:szCs w:val="22"/>
        </w:rPr>
        <w:t>refer to</w:t>
      </w:r>
      <w:r w:rsidRPr="00590357">
        <w:rPr>
          <w:rFonts w:cstheme="minorHAnsi"/>
          <w:sz w:val="22"/>
          <w:szCs w:val="22"/>
        </w:rPr>
        <w:t xml:space="preserve"> Appendix 1.3).</w:t>
      </w:r>
    </w:p>
    <w:p w14:paraId="6E9FEB93" w14:textId="50ED1F83" w:rsidR="00C215AB" w:rsidRPr="00590357" w:rsidRDefault="00C215AB" w:rsidP="00590357">
      <w:pPr>
        <w:pStyle w:val="ListParagraph"/>
        <w:numPr>
          <w:ilvl w:val="0"/>
          <w:numId w:val="9"/>
        </w:numPr>
        <w:spacing w:line="360" w:lineRule="auto"/>
        <w:ind w:left="-142" w:right="-330"/>
        <w:jc w:val="both"/>
        <w:rPr>
          <w:rFonts w:cstheme="minorHAnsi"/>
          <w:sz w:val="22"/>
          <w:szCs w:val="22"/>
        </w:rPr>
      </w:pPr>
      <w:r w:rsidRPr="00590357">
        <w:rPr>
          <w:rFonts w:cstheme="minorHAnsi"/>
          <w:sz w:val="22"/>
          <w:szCs w:val="22"/>
        </w:rPr>
        <w:lastRenderedPageBreak/>
        <w:t xml:space="preserve">In </w:t>
      </w:r>
      <w:r w:rsidRPr="00590357">
        <w:rPr>
          <w:rFonts w:cstheme="minorHAnsi"/>
          <w:sz w:val="22"/>
          <w:szCs w:val="22"/>
        </w:rPr>
        <w:t xml:space="preserve">the revised optimized model aimed at decreasing Greenhouse Gas Emissions, substantial alterations in routes become apparent. </w:t>
      </w:r>
      <w:proofErr w:type="gramStart"/>
      <w:r w:rsidRPr="00590357">
        <w:rPr>
          <w:rFonts w:cstheme="minorHAnsi"/>
          <w:sz w:val="22"/>
          <w:szCs w:val="22"/>
        </w:rPr>
        <w:t>Despite maintaining the consistent total volume of shipments, there</w:t>
      </w:r>
      <w:proofErr w:type="gramEnd"/>
      <w:r w:rsidRPr="00590357">
        <w:rPr>
          <w:rFonts w:cstheme="minorHAnsi"/>
          <w:sz w:val="22"/>
          <w:szCs w:val="22"/>
        </w:rPr>
        <w:t xml:space="preserve"> are notable shifts in the specific paths connecting supply and demand when minimizing emissions, resulting in a minimum emission of 12,758kg CO2e (</w:t>
      </w:r>
      <w:r w:rsidRPr="00590357">
        <w:rPr>
          <w:rFonts w:cstheme="minorHAnsi"/>
          <w:sz w:val="22"/>
          <w:szCs w:val="22"/>
        </w:rPr>
        <w:t>refer to</w:t>
      </w:r>
      <w:r w:rsidRPr="00590357">
        <w:rPr>
          <w:rFonts w:cstheme="minorHAnsi"/>
          <w:sz w:val="22"/>
          <w:szCs w:val="22"/>
        </w:rPr>
        <w:t xml:space="preserve"> Appendix 1.4).</w:t>
      </w:r>
    </w:p>
    <w:p w14:paraId="3DAC224A" w14:textId="53F4EBDE" w:rsidR="002671A9" w:rsidRPr="00590357" w:rsidRDefault="00C215AB" w:rsidP="00590357">
      <w:pPr>
        <w:pStyle w:val="ListParagraph"/>
        <w:numPr>
          <w:ilvl w:val="0"/>
          <w:numId w:val="9"/>
        </w:numPr>
        <w:spacing w:line="360" w:lineRule="auto"/>
        <w:ind w:left="-142" w:right="-330"/>
        <w:jc w:val="both"/>
        <w:rPr>
          <w:rFonts w:cstheme="minorHAnsi"/>
          <w:sz w:val="22"/>
          <w:szCs w:val="22"/>
        </w:rPr>
      </w:pPr>
      <w:r w:rsidRPr="00590357">
        <w:rPr>
          <w:rFonts w:cstheme="minorHAnsi"/>
          <w:sz w:val="22"/>
          <w:szCs w:val="22"/>
        </w:rPr>
        <w:t>In a scenario where the primary focus is on optimizing costs in the supply chain, the routing solution achieves a total cost of $51,510 with associated greenhouse gas emissions amounting to 15,101kg CO2e. On the other hand, if the goal is solely to minimize environmental emissions, the optimized solution reduces total carbon emissions to 12,758kg CO2e but substantially raises shipping costs to $81,790. This translates to a 15.5% decrease in emissions but a notable 58.8% increase in financial costs. For a profit-driven distribution organization like Shafer Office Supplies, prioritizing cost performance aligns strategically with the imperatives of fiscal growth and maximizing shareholder value. Therefore, it is recommended to maintain the emphasis on cost minimization in Shafer Office Supplies' distribution planning rather than shifting to an emissions-focused paradigm, despite the marginal environmental benefits. Unless explicit carbon emission reduction requirements are mandated by regulatory compliance or corporate social responsibility initiatives, the economic burden of over a 50% cost increase is deemed too significant. However, exploring sustainability-oriented distribution optimizations allows for quantitatively informed strategic decisions that consider the diverse interests of stakeholders in future scenarios.</w:t>
      </w:r>
    </w:p>
    <w:p w14:paraId="0285756A" w14:textId="60DC002A" w:rsidR="005F07BA" w:rsidRDefault="00BF1C27" w:rsidP="00590357">
      <w:pPr>
        <w:pStyle w:val="Heading1"/>
        <w:spacing w:line="360" w:lineRule="auto"/>
        <w:ind w:left="-567"/>
      </w:pPr>
      <w:r>
        <w:t>ANSWER 2: DECISION ANALYSIS</w:t>
      </w:r>
    </w:p>
    <w:p w14:paraId="5246B56B" w14:textId="5851547B" w:rsidR="005F07BA" w:rsidRPr="00590357" w:rsidRDefault="00D4558B" w:rsidP="00590357">
      <w:pPr>
        <w:pStyle w:val="ListParagraph"/>
        <w:numPr>
          <w:ilvl w:val="0"/>
          <w:numId w:val="10"/>
        </w:numPr>
        <w:spacing w:line="360" w:lineRule="auto"/>
        <w:ind w:left="-142" w:right="-46"/>
        <w:jc w:val="both"/>
        <w:rPr>
          <w:rFonts w:eastAsia="Times New Roman" w:cstheme="minorHAnsi"/>
          <w:kern w:val="0"/>
          <w:sz w:val="22"/>
          <w:szCs w:val="22"/>
          <w:lang w:eastAsia="en-GB"/>
          <w14:ligatures w14:val="none"/>
        </w:rPr>
      </w:pPr>
      <w:r w:rsidRPr="00590357">
        <w:rPr>
          <w:rFonts w:eastAsia="Times New Roman" w:cstheme="minorHAnsi"/>
          <w:kern w:val="0"/>
          <w:sz w:val="22"/>
          <w:szCs w:val="22"/>
          <w:lang w:eastAsia="en-GB"/>
          <w14:ligatures w14:val="none"/>
        </w:rPr>
        <w:t xml:space="preserve">Generated a </w:t>
      </w:r>
      <w:proofErr w:type="spellStart"/>
      <w:r w:rsidRPr="00590357">
        <w:rPr>
          <w:rFonts w:eastAsia="Times New Roman" w:cstheme="minorHAnsi"/>
          <w:kern w:val="0"/>
          <w:sz w:val="22"/>
          <w:szCs w:val="22"/>
          <w:lang w:eastAsia="en-GB"/>
          <w14:ligatures w14:val="none"/>
        </w:rPr>
        <w:t>Treeplan</w:t>
      </w:r>
      <w:proofErr w:type="spellEnd"/>
      <w:r w:rsidRPr="00590357">
        <w:rPr>
          <w:rFonts w:eastAsia="Times New Roman" w:cstheme="minorHAnsi"/>
          <w:kern w:val="0"/>
          <w:sz w:val="22"/>
          <w:szCs w:val="22"/>
          <w:lang w:eastAsia="en-GB"/>
          <w14:ligatures w14:val="none"/>
        </w:rPr>
        <w:t xml:space="preserve"> model in Excel </w:t>
      </w:r>
      <w:r w:rsidR="00F04A03" w:rsidRPr="00590357">
        <w:rPr>
          <w:rFonts w:eastAsia="Times New Roman" w:cstheme="minorHAnsi"/>
          <w:kern w:val="0"/>
          <w:sz w:val="22"/>
          <w:szCs w:val="22"/>
          <w:lang w:eastAsia="en-GB"/>
          <w14:ligatures w14:val="none"/>
        </w:rPr>
        <w:t>(</w:t>
      </w:r>
      <w:r w:rsidR="00C215AB" w:rsidRPr="00590357">
        <w:rPr>
          <w:rFonts w:eastAsia="Times New Roman" w:cstheme="minorHAnsi"/>
          <w:kern w:val="0"/>
          <w:sz w:val="22"/>
          <w:szCs w:val="22"/>
          <w:lang w:eastAsia="en-GB"/>
          <w14:ligatures w14:val="none"/>
        </w:rPr>
        <w:t>refer to</w:t>
      </w:r>
      <w:r w:rsidR="005F07BA" w:rsidRPr="00590357">
        <w:rPr>
          <w:rFonts w:eastAsia="Times New Roman" w:cstheme="minorHAnsi"/>
          <w:kern w:val="0"/>
          <w:sz w:val="22"/>
          <w:szCs w:val="22"/>
          <w:lang w:eastAsia="en-GB"/>
          <w14:ligatures w14:val="none"/>
        </w:rPr>
        <w:t xml:space="preserve"> appendix 2.</w:t>
      </w:r>
      <w:r w:rsidR="00BF1C27" w:rsidRPr="00590357">
        <w:rPr>
          <w:rFonts w:eastAsia="Times New Roman" w:cstheme="minorHAnsi"/>
          <w:kern w:val="0"/>
          <w:sz w:val="22"/>
          <w:szCs w:val="22"/>
          <w:lang w:eastAsia="en-GB"/>
          <w14:ligatures w14:val="none"/>
        </w:rPr>
        <w:t>1</w:t>
      </w:r>
      <w:r w:rsidR="00F04A03" w:rsidRPr="00590357">
        <w:rPr>
          <w:rFonts w:eastAsia="Times New Roman" w:cstheme="minorHAnsi"/>
          <w:kern w:val="0"/>
          <w:sz w:val="22"/>
          <w:szCs w:val="22"/>
          <w:lang w:eastAsia="en-GB"/>
          <w14:ligatures w14:val="none"/>
        </w:rPr>
        <w:t>)</w:t>
      </w:r>
      <w:r w:rsidR="00BF1C27" w:rsidRPr="00590357">
        <w:rPr>
          <w:rFonts w:eastAsia="Times New Roman" w:cstheme="minorHAnsi"/>
          <w:kern w:val="0"/>
          <w:sz w:val="22"/>
          <w:szCs w:val="22"/>
          <w:lang w:eastAsia="en-GB"/>
          <w14:ligatures w14:val="none"/>
        </w:rPr>
        <w:t>.</w:t>
      </w:r>
    </w:p>
    <w:p w14:paraId="1B135696" w14:textId="09E14A0C" w:rsidR="005F07BA" w:rsidRPr="00590357" w:rsidRDefault="00D4558B" w:rsidP="00590357">
      <w:pPr>
        <w:pStyle w:val="ListParagraph"/>
        <w:numPr>
          <w:ilvl w:val="0"/>
          <w:numId w:val="10"/>
        </w:numPr>
        <w:spacing w:line="360" w:lineRule="auto"/>
        <w:ind w:left="-142" w:right="-330"/>
        <w:jc w:val="both"/>
        <w:rPr>
          <w:rFonts w:eastAsia="Times New Roman" w:cstheme="minorHAnsi"/>
          <w:kern w:val="0"/>
          <w:sz w:val="22"/>
          <w:szCs w:val="22"/>
          <w:lang w:eastAsia="en-GB"/>
          <w14:ligatures w14:val="none"/>
        </w:rPr>
      </w:pPr>
      <w:r w:rsidRPr="00590357">
        <w:rPr>
          <w:rFonts w:eastAsia="Times New Roman" w:cstheme="minorHAnsi"/>
          <w:kern w:val="0"/>
          <w:sz w:val="22"/>
          <w:szCs w:val="22"/>
          <w:lang w:eastAsia="en-GB"/>
          <w14:ligatures w14:val="none"/>
        </w:rPr>
        <w:t xml:space="preserve">According to the Excel model, the recommended course of action is to perform extra animal testing before </w:t>
      </w:r>
      <w:proofErr w:type="gramStart"/>
      <w:r w:rsidRPr="00590357">
        <w:rPr>
          <w:rFonts w:eastAsia="Times New Roman" w:cstheme="minorHAnsi"/>
          <w:kern w:val="0"/>
          <w:sz w:val="22"/>
          <w:szCs w:val="22"/>
          <w:lang w:eastAsia="en-GB"/>
          <w14:ligatures w14:val="none"/>
        </w:rPr>
        <w:t>making a decision</w:t>
      </w:r>
      <w:proofErr w:type="gramEnd"/>
      <w:r w:rsidRPr="00590357">
        <w:rPr>
          <w:rFonts w:eastAsia="Times New Roman" w:cstheme="minorHAnsi"/>
          <w:kern w:val="0"/>
          <w:sz w:val="22"/>
          <w:szCs w:val="22"/>
          <w:lang w:eastAsia="en-GB"/>
          <w14:ligatures w14:val="none"/>
        </w:rPr>
        <w:t xml:space="preserve"> on advancing to human trials.</w:t>
      </w:r>
    </w:p>
    <w:p w14:paraId="50D6C580" w14:textId="12C97A9C" w:rsidR="005F07BA" w:rsidRPr="00590357" w:rsidRDefault="00D4558B" w:rsidP="00590357">
      <w:pPr>
        <w:pStyle w:val="ListParagraph"/>
        <w:numPr>
          <w:ilvl w:val="0"/>
          <w:numId w:val="10"/>
        </w:numPr>
        <w:spacing w:line="360" w:lineRule="auto"/>
        <w:ind w:left="-142" w:right="-46"/>
        <w:jc w:val="both"/>
        <w:rPr>
          <w:rFonts w:eastAsia="Times New Roman" w:cstheme="minorHAnsi"/>
          <w:kern w:val="0"/>
          <w:sz w:val="22"/>
          <w:szCs w:val="22"/>
          <w:lang w:eastAsia="en-GB"/>
          <w14:ligatures w14:val="none"/>
        </w:rPr>
      </w:pPr>
      <w:r w:rsidRPr="00590357">
        <w:rPr>
          <w:sz w:val="22"/>
          <w:szCs w:val="22"/>
        </w:rPr>
        <w:t>Advantages of opting for animal testing prior to conducting human trials.</w:t>
      </w:r>
    </w:p>
    <w:p w14:paraId="7C86CD3E" w14:textId="77777777" w:rsidR="00D4558B" w:rsidRPr="00590357" w:rsidRDefault="00D4558B" w:rsidP="00590357">
      <w:pPr>
        <w:pStyle w:val="ListParagraph"/>
        <w:numPr>
          <w:ilvl w:val="1"/>
          <w:numId w:val="10"/>
        </w:numPr>
        <w:spacing w:line="360" w:lineRule="auto"/>
        <w:ind w:left="426" w:right="-330"/>
        <w:jc w:val="both"/>
        <w:rPr>
          <w:rFonts w:eastAsia="Times New Roman" w:cstheme="minorHAnsi"/>
          <w:kern w:val="0"/>
          <w:sz w:val="22"/>
          <w:szCs w:val="22"/>
          <w:lang w:eastAsia="en-GB"/>
          <w14:ligatures w14:val="none"/>
        </w:rPr>
      </w:pPr>
      <w:r w:rsidRPr="00590357">
        <w:rPr>
          <w:sz w:val="22"/>
          <w:szCs w:val="22"/>
        </w:rPr>
        <w:t>Further validation of vaccine efficacy could mitigate the risk of costly failures in human trials. In cases where animal testing indicates suboptimal results, it has the potential to prevent the expenditure of funds on unsuccessful human trials, avoiding financial waste.</w:t>
      </w:r>
    </w:p>
    <w:p w14:paraId="2BAF2930" w14:textId="77777777" w:rsidR="00D4558B" w:rsidRPr="00590357" w:rsidRDefault="00D4558B" w:rsidP="00590357">
      <w:pPr>
        <w:pStyle w:val="ListParagraph"/>
        <w:numPr>
          <w:ilvl w:val="1"/>
          <w:numId w:val="10"/>
        </w:numPr>
        <w:spacing w:line="360" w:lineRule="auto"/>
        <w:ind w:left="426" w:right="-330"/>
        <w:jc w:val="both"/>
        <w:rPr>
          <w:rFonts w:eastAsia="Times New Roman" w:cstheme="minorHAnsi"/>
          <w:kern w:val="0"/>
          <w:sz w:val="22"/>
          <w:szCs w:val="22"/>
          <w:lang w:eastAsia="en-GB"/>
          <w14:ligatures w14:val="none"/>
        </w:rPr>
      </w:pPr>
      <w:r w:rsidRPr="00590357">
        <w:rPr>
          <w:sz w:val="22"/>
          <w:szCs w:val="22"/>
        </w:rPr>
        <w:t>The likelihood of success in human trials increases to 20% from 10% if positive results are obtained from animal testing, thereby reducing the overall risk.</w:t>
      </w:r>
    </w:p>
    <w:p w14:paraId="3ABD4986" w14:textId="35554D5E" w:rsidR="005F07BA" w:rsidRPr="00590357" w:rsidRDefault="00D4558B" w:rsidP="00590357">
      <w:pPr>
        <w:pStyle w:val="ListParagraph"/>
        <w:numPr>
          <w:ilvl w:val="1"/>
          <w:numId w:val="10"/>
        </w:numPr>
        <w:spacing w:line="360" w:lineRule="auto"/>
        <w:ind w:left="426" w:right="-330"/>
        <w:jc w:val="both"/>
        <w:rPr>
          <w:sz w:val="22"/>
          <w:szCs w:val="22"/>
        </w:rPr>
      </w:pPr>
      <w:r w:rsidRPr="00590357">
        <w:rPr>
          <w:sz w:val="22"/>
          <w:szCs w:val="22"/>
        </w:rPr>
        <w:t>Opting for animal testing requires a lower initial investment of £2 million compared to the £20 million needed for direct human trials, making it a financially less risky choice.</w:t>
      </w:r>
    </w:p>
    <w:p w14:paraId="3CCAB403" w14:textId="5754A4AE" w:rsidR="005F07BA" w:rsidRPr="00590357" w:rsidRDefault="00D4558B" w:rsidP="00590357">
      <w:pPr>
        <w:spacing w:line="360" w:lineRule="auto"/>
        <w:ind w:left="-142" w:right="-46"/>
        <w:jc w:val="both"/>
        <w:rPr>
          <w:sz w:val="22"/>
          <w:szCs w:val="22"/>
        </w:rPr>
      </w:pPr>
      <w:r w:rsidRPr="00590357">
        <w:rPr>
          <w:sz w:val="22"/>
          <w:szCs w:val="22"/>
        </w:rPr>
        <w:t>Disadvantage</w:t>
      </w:r>
      <w:r w:rsidR="005F07BA" w:rsidRPr="00590357">
        <w:rPr>
          <w:sz w:val="22"/>
          <w:szCs w:val="22"/>
        </w:rPr>
        <w:t xml:space="preserve">: </w:t>
      </w:r>
    </w:p>
    <w:p w14:paraId="21E007A9" w14:textId="77777777" w:rsidR="00E02C35" w:rsidRPr="00590357" w:rsidRDefault="00E02C35" w:rsidP="00590357">
      <w:pPr>
        <w:pStyle w:val="ListParagraph"/>
        <w:numPr>
          <w:ilvl w:val="0"/>
          <w:numId w:val="11"/>
        </w:numPr>
        <w:spacing w:line="360" w:lineRule="auto"/>
        <w:ind w:left="426" w:right="-330"/>
        <w:jc w:val="both"/>
        <w:rPr>
          <w:sz w:val="22"/>
          <w:szCs w:val="22"/>
        </w:rPr>
      </w:pPr>
      <w:r w:rsidRPr="00590357">
        <w:rPr>
          <w:sz w:val="22"/>
          <w:szCs w:val="22"/>
        </w:rPr>
        <w:t>The timeline for bringing the vaccine to market is extended due to the necessary additional animal testing, resulting in a delay in realizing profit potential.</w:t>
      </w:r>
    </w:p>
    <w:p w14:paraId="5777E12B" w14:textId="77777777" w:rsidR="00E02C35" w:rsidRPr="00590357" w:rsidRDefault="00E02C35" w:rsidP="00590357">
      <w:pPr>
        <w:pStyle w:val="ListParagraph"/>
        <w:numPr>
          <w:ilvl w:val="0"/>
          <w:numId w:val="11"/>
        </w:numPr>
        <w:spacing w:line="360" w:lineRule="auto"/>
        <w:ind w:left="426" w:right="-330"/>
        <w:jc w:val="both"/>
        <w:rPr>
          <w:sz w:val="22"/>
          <w:szCs w:val="22"/>
        </w:rPr>
      </w:pPr>
      <w:r w:rsidRPr="00590357">
        <w:rPr>
          <w:sz w:val="22"/>
          <w:szCs w:val="22"/>
        </w:rPr>
        <w:t>There remains a 25% probability that animal testing will yield the desired positive efficacy results necessary for advancing to the next stage.</w:t>
      </w:r>
    </w:p>
    <w:p w14:paraId="03C50027" w14:textId="3D6D7D71" w:rsidR="005F07BA" w:rsidRPr="00590357" w:rsidRDefault="00E02C35" w:rsidP="00590357">
      <w:pPr>
        <w:pStyle w:val="ListParagraph"/>
        <w:numPr>
          <w:ilvl w:val="0"/>
          <w:numId w:val="11"/>
        </w:numPr>
        <w:spacing w:line="360" w:lineRule="auto"/>
        <w:ind w:left="426" w:right="-330"/>
        <w:jc w:val="both"/>
        <w:rPr>
          <w:sz w:val="22"/>
          <w:szCs w:val="22"/>
        </w:rPr>
      </w:pPr>
      <w:r w:rsidRPr="00590357">
        <w:rPr>
          <w:sz w:val="22"/>
          <w:szCs w:val="22"/>
        </w:rPr>
        <w:lastRenderedPageBreak/>
        <w:t>The effectiveness observed in animal trials may not consistently align with the actual efficacy demonstrated in human trials. There is a risk that positive outcomes in animal studies may not necessarily translate to successful results in human trials.</w:t>
      </w:r>
    </w:p>
    <w:p w14:paraId="45BE429C" w14:textId="3C3CF30E" w:rsidR="005F07BA" w:rsidRPr="00590357" w:rsidRDefault="00E02C35" w:rsidP="00590357">
      <w:pPr>
        <w:spacing w:line="360" w:lineRule="auto"/>
        <w:ind w:left="-142" w:right="-330"/>
        <w:jc w:val="both"/>
        <w:rPr>
          <w:sz w:val="22"/>
          <w:szCs w:val="22"/>
        </w:rPr>
      </w:pPr>
      <w:r w:rsidRPr="00590357">
        <w:rPr>
          <w:sz w:val="22"/>
          <w:szCs w:val="22"/>
        </w:rPr>
        <w:t xml:space="preserve">In the comparison between the risk associated with animal testing and direct human trials, opting for animal testing entails a lower overall financial risk owing to a reduced initial investment requirement. The likelihood of costly failures in human trials is also diminished when animal testing can validate efficacy based on projected probabilities. Nevertheless, there is no assurance that positive outcomes in animal testing will necessarily translate to successful human trials. Therefore, there remains a risk related to development timelines and regulatory approval when choosing to conduct additional animal testing before proceeding to human studies. Despite the extended timeline, the decreased financial </w:t>
      </w:r>
      <w:proofErr w:type="gramStart"/>
      <w:r w:rsidRPr="00590357">
        <w:rPr>
          <w:sz w:val="22"/>
          <w:szCs w:val="22"/>
        </w:rPr>
        <w:t>risk</w:t>
      </w:r>
      <w:proofErr w:type="gramEnd"/>
      <w:r w:rsidRPr="00590357">
        <w:rPr>
          <w:sz w:val="22"/>
          <w:szCs w:val="22"/>
        </w:rPr>
        <w:t xml:space="preserve"> and the potential to enhance the likelihood of success in human trials support the recommendation for additional animal studies before moving on to human trials.</w:t>
      </w:r>
    </w:p>
    <w:p w14:paraId="2EB7BCD8" w14:textId="7AE5539F" w:rsidR="00E02C35" w:rsidRPr="00590357" w:rsidRDefault="00E02C35" w:rsidP="00590357">
      <w:pPr>
        <w:pStyle w:val="ListParagraph"/>
        <w:numPr>
          <w:ilvl w:val="0"/>
          <w:numId w:val="10"/>
        </w:numPr>
        <w:spacing w:line="360" w:lineRule="auto"/>
        <w:ind w:left="-142" w:right="-330"/>
        <w:jc w:val="both"/>
        <w:rPr>
          <w:sz w:val="22"/>
          <w:szCs w:val="22"/>
        </w:rPr>
      </w:pPr>
      <w:r w:rsidRPr="00590357">
        <w:rPr>
          <w:sz w:val="22"/>
          <w:szCs w:val="22"/>
        </w:rPr>
        <w:t xml:space="preserve">According to the sensitivity analysis </w:t>
      </w:r>
      <w:r w:rsidR="00590357" w:rsidRPr="00590357">
        <w:rPr>
          <w:sz w:val="22"/>
          <w:szCs w:val="22"/>
        </w:rPr>
        <w:t xml:space="preserve">(refer to </w:t>
      </w:r>
      <w:r w:rsidRPr="00590357">
        <w:rPr>
          <w:sz w:val="22"/>
          <w:szCs w:val="22"/>
        </w:rPr>
        <w:t>Appendix 2.2</w:t>
      </w:r>
      <w:r w:rsidR="00590357" w:rsidRPr="00590357">
        <w:rPr>
          <w:sz w:val="22"/>
          <w:szCs w:val="22"/>
        </w:rPr>
        <w:t>)</w:t>
      </w:r>
      <w:r w:rsidRPr="00590357">
        <w:rPr>
          <w:sz w:val="22"/>
          <w:szCs w:val="22"/>
        </w:rPr>
        <w:t xml:space="preserve">, when the likelihood of success in animal testing is less than 15%, opting for immediate human trials yields a higher expected value compared to additional animal testing. Within the range of 15% to 22.5% probability of success in animal testing, the preferable decision with the highest expected value shifts towards conducting extra animal testing. Specifically, at a 17.5% probability of success, animal testing emerges as the </w:t>
      </w:r>
      <w:r w:rsidR="00590357" w:rsidRPr="00590357">
        <w:rPr>
          <w:sz w:val="22"/>
          <w:szCs w:val="22"/>
        </w:rPr>
        <w:t>favoured</w:t>
      </w:r>
      <w:r w:rsidRPr="00590357">
        <w:rPr>
          <w:sz w:val="22"/>
          <w:szCs w:val="22"/>
        </w:rPr>
        <w:t xml:space="preserve"> option, with an expected value of £2.025 million compared to £1.5 million for direct human trials. As the probability surpasses 22.5%, the expected value of choosing animal testing consistently increases, reaching £21 million at a 100% probability of success.</w:t>
      </w:r>
    </w:p>
    <w:p w14:paraId="5A3D77CA" w14:textId="72660494" w:rsidR="00E02C35" w:rsidRPr="00590357" w:rsidRDefault="00E02C35" w:rsidP="00590357">
      <w:pPr>
        <w:pStyle w:val="ListParagraph"/>
        <w:spacing w:line="360" w:lineRule="auto"/>
        <w:ind w:left="-142" w:right="-330"/>
        <w:jc w:val="both"/>
        <w:rPr>
          <w:sz w:val="22"/>
          <w:szCs w:val="22"/>
        </w:rPr>
      </w:pPr>
      <w:r w:rsidRPr="00590357">
        <w:rPr>
          <w:sz w:val="22"/>
          <w:szCs w:val="22"/>
        </w:rPr>
        <w:t xml:space="preserve">The recommendation to prioritize animal testing before human trials holds strong for probabilities between 15-25%. In line with the original analysis assumptions, there exists a substantial range where the inclusion of animal testing adds value over opting for immediate human trials. However, if the probability of success in animal testing drops below 15%, then direct trials become the more </w:t>
      </w:r>
      <w:r w:rsidR="00590357" w:rsidRPr="00590357">
        <w:rPr>
          <w:sz w:val="22"/>
          <w:szCs w:val="22"/>
        </w:rPr>
        <w:t>favourable</w:t>
      </w:r>
      <w:r w:rsidRPr="00590357">
        <w:rPr>
          <w:sz w:val="22"/>
          <w:szCs w:val="22"/>
        </w:rPr>
        <w:t xml:space="preserve"> choice.</w:t>
      </w:r>
    </w:p>
    <w:p w14:paraId="59B46035" w14:textId="5CF048B2" w:rsidR="00F04694" w:rsidRDefault="00E02C35" w:rsidP="00590357">
      <w:pPr>
        <w:pStyle w:val="ListParagraph"/>
        <w:numPr>
          <w:ilvl w:val="0"/>
          <w:numId w:val="10"/>
        </w:numPr>
        <w:spacing w:line="360" w:lineRule="auto"/>
        <w:ind w:left="-142" w:right="-330" w:hanging="432"/>
        <w:jc w:val="both"/>
      </w:pPr>
      <w:r w:rsidRPr="00590357">
        <w:rPr>
          <w:sz w:val="22"/>
          <w:szCs w:val="22"/>
        </w:rPr>
        <w:t>The company's choice depends on its risk tolerance and strategic considerations. While pursuing independent vaccine development could yield positive expected values, the rival company's offer emerges as an enticing opportunity. Accepting this offer enables cost and risk sharing, coupled with higher expected values in both human trials and additional animal testing scenarios. Collaborating with the rival company allows for the mitigation of financial exposure and an improvement in the overall risk-return profile. Ultimately, the decision to accept the offer hinges on the company's risk management strategy, financial standing, and willingness to share the outcomes of the venture. Finding the right equilibrium between risk and reward through collaboration may prove advantageous, showcasing a pragmatic approach to navigating the complexities of Variant vaccine development (</w:t>
      </w:r>
      <w:r w:rsidRPr="00590357">
        <w:rPr>
          <w:sz w:val="22"/>
          <w:szCs w:val="22"/>
        </w:rPr>
        <w:t>refer to</w:t>
      </w:r>
      <w:r w:rsidRPr="00590357">
        <w:rPr>
          <w:sz w:val="22"/>
          <w:szCs w:val="22"/>
        </w:rPr>
        <w:t xml:space="preserve"> Appendix 2.3).</w:t>
      </w:r>
      <w:r w:rsidR="00227BFA">
        <w:br w:type="page"/>
      </w:r>
      <w:proofErr w:type="gramStart"/>
      <w:r w:rsidR="00227BFA">
        <w:lastRenderedPageBreak/>
        <w:t>APPENDICES</w:t>
      </w:r>
      <w:proofErr w:type="gramEnd"/>
    </w:p>
    <w:p w14:paraId="61877B6C" w14:textId="77777777" w:rsidR="00227BFA" w:rsidRDefault="00227BFA" w:rsidP="00227BFA"/>
    <w:p w14:paraId="652FA1C2" w14:textId="7847D9A2" w:rsidR="00227BFA" w:rsidRPr="00227BFA" w:rsidRDefault="00BF1C27" w:rsidP="00227BFA">
      <w:pPr>
        <w:rPr>
          <w:b/>
          <w:bCs/>
        </w:rPr>
      </w:pPr>
      <w:r w:rsidRPr="00227BFA">
        <w:rPr>
          <w:b/>
          <w:bCs/>
        </w:rPr>
        <w:t xml:space="preserve">APPENDIX </w:t>
      </w:r>
      <w:r w:rsidR="00227BFA" w:rsidRPr="00227BFA">
        <w:rPr>
          <w:b/>
          <w:bCs/>
        </w:rPr>
        <w:t>1</w:t>
      </w:r>
      <w:r w:rsidR="007E6729">
        <w:rPr>
          <w:b/>
          <w:bCs/>
        </w:rPr>
        <w:t>.1</w:t>
      </w:r>
    </w:p>
    <w:p w14:paraId="07BA9BA4" w14:textId="679BACE8" w:rsidR="00227BFA" w:rsidRDefault="007E6729" w:rsidP="00227BFA">
      <w:pPr>
        <w:jc w:val="center"/>
      </w:pPr>
      <w:r w:rsidRPr="007E6729">
        <w:drawing>
          <wp:inline distT="0" distB="0" distL="0" distR="0" wp14:anchorId="5A4531CC" wp14:editId="0A2AF39D">
            <wp:extent cx="5731510" cy="2478405"/>
            <wp:effectExtent l="0" t="0" r="0" b="0"/>
            <wp:docPr id="1336737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73767" name=""/>
                    <pic:cNvPicPr/>
                  </pic:nvPicPr>
                  <pic:blipFill>
                    <a:blip r:embed="rId7"/>
                    <a:stretch>
                      <a:fillRect/>
                    </a:stretch>
                  </pic:blipFill>
                  <pic:spPr>
                    <a:xfrm>
                      <a:off x="0" y="0"/>
                      <a:ext cx="5731510" cy="2478405"/>
                    </a:xfrm>
                    <a:prstGeom prst="rect">
                      <a:avLst/>
                    </a:prstGeom>
                  </pic:spPr>
                </pic:pic>
              </a:graphicData>
            </a:graphic>
          </wp:inline>
        </w:drawing>
      </w:r>
    </w:p>
    <w:p w14:paraId="1A4CE778" w14:textId="77777777" w:rsidR="007C2B84" w:rsidRDefault="007C2B84" w:rsidP="00227BFA">
      <w:pPr>
        <w:rPr>
          <w:b/>
          <w:bCs/>
        </w:rPr>
      </w:pPr>
    </w:p>
    <w:p w14:paraId="52097EED" w14:textId="608EB02E" w:rsidR="00227BFA" w:rsidRDefault="00BF1C27" w:rsidP="00227BFA">
      <w:r w:rsidRPr="00227BFA">
        <w:rPr>
          <w:b/>
          <w:bCs/>
        </w:rPr>
        <w:t xml:space="preserve">APPENDIX </w:t>
      </w:r>
      <w:r w:rsidR="007E6729">
        <w:rPr>
          <w:b/>
          <w:bCs/>
        </w:rPr>
        <w:t>1.2</w:t>
      </w:r>
    </w:p>
    <w:p w14:paraId="21311669" w14:textId="4C34CA6E" w:rsidR="00227BFA" w:rsidRDefault="007E6729" w:rsidP="00227BFA">
      <w:r w:rsidRPr="007E6729">
        <w:drawing>
          <wp:inline distT="0" distB="0" distL="0" distR="0" wp14:anchorId="2046AE83" wp14:editId="52A1952E">
            <wp:extent cx="5638800" cy="3911600"/>
            <wp:effectExtent l="0" t="0" r="0" b="0"/>
            <wp:docPr id="10174292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429226" name=""/>
                    <pic:cNvPicPr/>
                  </pic:nvPicPr>
                  <pic:blipFill>
                    <a:blip r:embed="rId8"/>
                    <a:stretch>
                      <a:fillRect/>
                    </a:stretch>
                  </pic:blipFill>
                  <pic:spPr>
                    <a:xfrm>
                      <a:off x="0" y="0"/>
                      <a:ext cx="5638800" cy="3911600"/>
                    </a:xfrm>
                    <a:prstGeom prst="rect">
                      <a:avLst/>
                    </a:prstGeom>
                  </pic:spPr>
                </pic:pic>
              </a:graphicData>
            </a:graphic>
          </wp:inline>
        </w:drawing>
      </w:r>
    </w:p>
    <w:p w14:paraId="6EF14AD6" w14:textId="77777777" w:rsidR="00227BFA" w:rsidRDefault="00227BFA" w:rsidP="00227BFA"/>
    <w:p w14:paraId="04CDF201" w14:textId="77777777" w:rsidR="00227BFA" w:rsidRDefault="00227BFA">
      <w:pPr>
        <w:rPr>
          <w:b/>
          <w:bCs/>
        </w:rPr>
      </w:pPr>
      <w:r>
        <w:rPr>
          <w:b/>
          <w:bCs/>
        </w:rPr>
        <w:br w:type="page"/>
      </w:r>
    </w:p>
    <w:p w14:paraId="5BE5DB8E" w14:textId="58C799E4" w:rsidR="00227BFA" w:rsidRDefault="00BF1C27" w:rsidP="00227BFA">
      <w:pPr>
        <w:rPr>
          <w:b/>
          <w:bCs/>
        </w:rPr>
      </w:pPr>
      <w:r w:rsidRPr="00227BFA">
        <w:rPr>
          <w:b/>
          <w:bCs/>
        </w:rPr>
        <w:lastRenderedPageBreak/>
        <w:t xml:space="preserve">APPENDIX </w:t>
      </w:r>
      <w:r w:rsidR="007E6729">
        <w:rPr>
          <w:b/>
          <w:bCs/>
        </w:rPr>
        <w:t>1.3</w:t>
      </w:r>
    </w:p>
    <w:p w14:paraId="471B1110" w14:textId="3AA8A16B" w:rsidR="00227BFA" w:rsidRDefault="007E6729" w:rsidP="00B829D1">
      <w:pPr>
        <w:jc w:val="center"/>
        <w:rPr>
          <w:b/>
          <w:bCs/>
        </w:rPr>
      </w:pPr>
      <w:r w:rsidRPr="007E6729">
        <w:rPr>
          <w:b/>
          <w:bCs/>
        </w:rPr>
        <w:drawing>
          <wp:inline distT="0" distB="0" distL="0" distR="0" wp14:anchorId="7245615B" wp14:editId="480C2E67">
            <wp:extent cx="5731510" cy="2454910"/>
            <wp:effectExtent l="0" t="0" r="0" b="0"/>
            <wp:docPr id="15949312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931274" name=""/>
                    <pic:cNvPicPr/>
                  </pic:nvPicPr>
                  <pic:blipFill>
                    <a:blip r:embed="rId9"/>
                    <a:stretch>
                      <a:fillRect/>
                    </a:stretch>
                  </pic:blipFill>
                  <pic:spPr>
                    <a:xfrm>
                      <a:off x="0" y="0"/>
                      <a:ext cx="5731510" cy="2454910"/>
                    </a:xfrm>
                    <a:prstGeom prst="rect">
                      <a:avLst/>
                    </a:prstGeom>
                  </pic:spPr>
                </pic:pic>
              </a:graphicData>
            </a:graphic>
          </wp:inline>
        </w:drawing>
      </w:r>
    </w:p>
    <w:p w14:paraId="40BCE562" w14:textId="77777777" w:rsidR="00227BFA" w:rsidRDefault="00227BFA" w:rsidP="00227BFA">
      <w:pPr>
        <w:rPr>
          <w:b/>
          <w:bCs/>
        </w:rPr>
      </w:pPr>
    </w:p>
    <w:p w14:paraId="2F708BBE" w14:textId="308723E0" w:rsidR="00227BFA" w:rsidRDefault="00BF1C27" w:rsidP="00227BFA">
      <w:pPr>
        <w:rPr>
          <w:b/>
          <w:bCs/>
        </w:rPr>
      </w:pPr>
      <w:r w:rsidRPr="00227BFA">
        <w:rPr>
          <w:b/>
          <w:bCs/>
        </w:rPr>
        <w:t xml:space="preserve">APPENDIX </w:t>
      </w:r>
      <w:r w:rsidR="007E6729">
        <w:rPr>
          <w:b/>
          <w:bCs/>
        </w:rPr>
        <w:t>1.4</w:t>
      </w:r>
    </w:p>
    <w:p w14:paraId="3F6FF3EB" w14:textId="26D78EF8" w:rsidR="007C2B84" w:rsidRDefault="007E6729" w:rsidP="007C2B84">
      <w:pPr>
        <w:jc w:val="center"/>
        <w:rPr>
          <w:b/>
          <w:bCs/>
        </w:rPr>
      </w:pPr>
      <w:r w:rsidRPr="007E6729">
        <w:rPr>
          <w:b/>
          <w:bCs/>
        </w:rPr>
        <w:drawing>
          <wp:inline distT="0" distB="0" distL="0" distR="0" wp14:anchorId="36947A8A" wp14:editId="3DB4A449">
            <wp:extent cx="5731510" cy="2322830"/>
            <wp:effectExtent l="0" t="0" r="0" b="1270"/>
            <wp:docPr id="13729974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997443" name=""/>
                    <pic:cNvPicPr/>
                  </pic:nvPicPr>
                  <pic:blipFill>
                    <a:blip r:embed="rId10"/>
                    <a:stretch>
                      <a:fillRect/>
                    </a:stretch>
                  </pic:blipFill>
                  <pic:spPr>
                    <a:xfrm>
                      <a:off x="0" y="0"/>
                      <a:ext cx="5731510" cy="2322830"/>
                    </a:xfrm>
                    <a:prstGeom prst="rect">
                      <a:avLst/>
                    </a:prstGeom>
                  </pic:spPr>
                </pic:pic>
              </a:graphicData>
            </a:graphic>
          </wp:inline>
        </w:drawing>
      </w:r>
    </w:p>
    <w:p w14:paraId="432F0B20" w14:textId="77777777" w:rsidR="00AF3BB1" w:rsidRDefault="00AF3BB1" w:rsidP="007C2B84">
      <w:pPr>
        <w:jc w:val="center"/>
        <w:rPr>
          <w:b/>
          <w:bCs/>
        </w:rPr>
      </w:pPr>
    </w:p>
    <w:p w14:paraId="5915D818" w14:textId="77777777" w:rsidR="00C42DBD" w:rsidRDefault="00C42DBD">
      <w:pPr>
        <w:rPr>
          <w:b/>
          <w:bCs/>
        </w:rPr>
      </w:pPr>
      <w:r>
        <w:rPr>
          <w:b/>
          <w:bCs/>
        </w:rPr>
        <w:br w:type="page"/>
      </w:r>
    </w:p>
    <w:p w14:paraId="3F6D56E5" w14:textId="5AAE6AB0" w:rsidR="00AF3BB1" w:rsidRDefault="00BF1C27" w:rsidP="00AF3BB1">
      <w:pPr>
        <w:rPr>
          <w:b/>
          <w:bCs/>
        </w:rPr>
      </w:pPr>
      <w:r w:rsidRPr="00227BFA">
        <w:rPr>
          <w:b/>
          <w:bCs/>
        </w:rPr>
        <w:lastRenderedPageBreak/>
        <w:t xml:space="preserve">APPENDIX </w:t>
      </w:r>
      <w:r w:rsidR="007E6729">
        <w:rPr>
          <w:b/>
          <w:bCs/>
        </w:rPr>
        <w:t>2.1</w:t>
      </w:r>
    </w:p>
    <w:p w14:paraId="603D51EF" w14:textId="284C82F8" w:rsidR="00AF3BB1" w:rsidRDefault="00AF3BB1" w:rsidP="00AF3BB1">
      <w:pPr>
        <w:jc w:val="center"/>
        <w:rPr>
          <w:b/>
          <w:bCs/>
        </w:rPr>
      </w:pPr>
      <w:r>
        <w:rPr>
          <w:b/>
          <w:bCs/>
          <w:noProof/>
        </w:rPr>
        <w:drawing>
          <wp:inline distT="0" distB="0" distL="0" distR="0" wp14:anchorId="1A492476" wp14:editId="79370F4E">
            <wp:extent cx="5731510" cy="4762500"/>
            <wp:effectExtent l="25400" t="25400" r="21590" b="25400"/>
            <wp:docPr id="484" name="Picture 484"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 name="Picture 484" descr="A diagram of a diagram&#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4762500"/>
                    </a:xfrm>
                    <a:prstGeom prst="rect">
                      <a:avLst/>
                    </a:prstGeom>
                    <a:ln w="19050">
                      <a:solidFill>
                        <a:sysClr val="windowText" lastClr="000000"/>
                      </a:solidFill>
                    </a:ln>
                  </pic:spPr>
                </pic:pic>
              </a:graphicData>
            </a:graphic>
          </wp:inline>
        </w:drawing>
      </w:r>
    </w:p>
    <w:p w14:paraId="1D4C6263" w14:textId="77777777" w:rsidR="00F04A03" w:rsidRDefault="00F04A03" w:rsidP="00F04A03">
      <w:pPr>
        <w:rPr>
          <w:b/>
          <w:bCs/>
        </w:rPr>
      </w:pPr>
    </w:p>
    <w:p w14:paraId="126AA250" w14:textId="57335D0D" w:rsidR="00F04A03" w:rsidRDefault="00BF1C27" w:rsidP="00F04A03">
      <w:pPr>
        <w:rPr>
          <w:b/>
          <w:bCs/>
        </w:rPr>
      </w:pPr>
      <w:r w:rsidRPr="00227BFA">
        <w:rPr>
          <w:b/>
          <w:bCs/>
        </w:rPr>
        <w:t xml:space="preserve">APPENDIX </w:t>
      </w:r>
      <w:r w:rsidR="007E6729">
        <w:rPr>
          <w:b/>
          <w:bCs/>
        </w:rPr>
        <w:t>2.2</w:t>
      </w:r>
    </w:p>
    <w:p w14:paraId="59F720FE" w14:textId="04C4E353" w:rsidR="00F04A03" w:rsidRDefault="007E6729" w:rsidP="00F04A03">
      <w:pPr>
        <w:jc w:val="center"/>
        <w:rPr>
          <w:b/>
          <w:bCs/>
        </w:rPr>
      </w:pPr>
      <w:r>
        <w:rPr>
          <w:noProof/>
        </w:rPr>
        <w:drawing>
          <wp:inline distT="0" distB="0" distL="0" distR="0" wp14:anchorId="1051ABB7" wp14:editId="58AEA227">
            <wp:extent cx="4638502" cy="3669278"/>
            <wp:effectExtent l="0" t="0" r="0" b="1270"/>
            <wp:docPr id="17012743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274310" name=""/>
                    <pic:cNvPicPr/>
                  </pic:nvPicPr>
                  <pic:blipFill>
                    <a:blip r:embed="rId12"/>
                    <a:stretch>
                      <a:fillRect/>
                    </a:stretch>
                  </pic:blipFill>
                  <pic:spPr>
                    <a:xfrm>
                      <a:off x="0" y="0"/>
                      <a:ext cx="4706547" cy="3723105"/>
                    </a:xfrm>
                    <a:prstGeom prst="rect">
                      <a:avLst/>
                    </a:prstGeom>
                  </pic:spPr>
                </pic:pic>
              </a:graphicData>
            </a:graphic>
          </wp:inline>
        </w:drawing>
      </w:r>
    </w:p>
    <w:p w14:paraId="231DA45C" w14:textId="77777777" w:rsidR="00C42DBD" w:rsidRDefault="00C42DBD">
      <w:pPr>
        <w:rPr>
          <w:b/>
          <w:bCs/>
        </w:rPr>
      </w:pPr>
      <w:r>
        <w:rPr>
          <w:b/>
          <w:bCs/>
        </w:rPr>
        <w:br w:type="page"/>
      </w:r>
    </w:p>
    <w:p w14:paraId="79F7D28D" w14:textId="69E3EEAB" w:rsidR="000029DE" w:rsidRDefault="00BF1C27" w:rsidP="000029DE">
      <w:pPr>
        <w:rPr>
          <w:b/>
          <w:bCs/>
        </w:rPr>
      </w:pPr>
      <w:r w:rsidRPr="00227BFA">
        <w:rPr>
          <w:b/>
          <w:bCs/>
        </w:rPr>
        <w:lastRenderedPageBreak/>
        <w:t xml:space="preserve">APPENDIX </w:t>
      </w:r>
      <w:r w:rsidR="007E6729">
        <w:rPr>
          <w:b/>
          <w:bCs/>
        </w:rPr>
        <w:t>2.3</w:t>
      </w:r>
    </w:p>
    <w:p w14:paraId="4D4C6A36" w14:textId="6D29DE37" w:rsidR="000029DE" w:rsidRPr="00227BFA" w:rsidRDefault="000029DE" w:rsidP="000029DE">
      <w:pPr>
        <w:rPr>
          <w:b/>
          <w:bCs/>
        </w:rPr>
      </w:pPr>
      <w:r w:rsidRPr="000029DE">
        <w:rPr>
          <w:b/>
          <w:bCs/>
          <w:noProof/>
        </w:rPr>
        <w:drawing>
          <wp:inline distT="0" distB="0" distL="0" distR="0" wp14:anchorId="7A3EDBDD" wp14:editId="3AD254A2">
            <wp:extent cx="5731510" cy="4991735"/>
            <wp:effectExtent l="25400" t="25400" r="21590" b="24765"/>
            <wp:docPr id="561" name="Picture 5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991735"/>
                    </a:xfrm>
                    <a:prstGeom prst="rect">
                      <a:avLst/>
                    </a:prstGeom>
                    <a:ln w="19050">
                      <a:solidFill>
                        <a:sysClr val="windowText" lastClr="000000"/>
                      </a:solidFill>
                    </a:ln>
                  </pic:spPr>
                </pic:pic>
              </a:graphicData>
            </a:graphic>
          </wp:inline>
        </w:drawing>
      </w:r>
    </w:p>
    <w:sectPr w:rsidR="000029DE" w:rsidRPr="00227BFA" w:rsidSect="0055509B">
      <w:footerReference w:type="even" r:id="rId14"/>
      <w:footerReference w:type="default" r:id="rId15"/>
      <w:pgSz w:w="11906" w:h="16838"/>
      <w:pgMar w:top="1188" w:right="1440" w:bottom="1073" w:left="1440" w:header="708" w:footer="708" w:gutter="0"/>
      <w:pgBorders w:offsetFrom="page">
        <w:top w:val="single" w:sz="4" w:space="30" w:color="auto"/>
        <w:left w:val="single" w:sz="4" w:space="30" w:color="auto"/>
        <w:bottom w:val="single" w:sz="4" w:space="30" w:color="auto"/>
        <w:right w:val="single" w:sz="4" w:space="30" w:color="auto"/>
      </w:pgBorders>
      <w:pgNumType w:fmt="numberInDash"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4CBEEC" w14:textId="77777777" w:rsidR="007A1145" w:rsidRDefault="007A1145">
      <w:r>
        <w:separator/>
      </w:r>
    </w:p>
  </w:endnote>
  <w:endnote w:type="continuationSeparator" w:id="0">
    <w:p w14:paraId="2E999C92" w14:textId="77777777" w:rsidR="007A1145" w:rsidRDefault="007A11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35472500"/>
      <w:docPartObj>
        <w:docPartGallery w:val="Page Numbers (Bottom of Page)"/>
        <w:docPartUnique/>
      </w:docPartObj>
    </w:sdtPr>
    <w:sdtContent>
      <w:p w14:paraId="395734C0" w14:textId="77777777" w:rsidR="00CD4B66" w:rsidRDefault="00000000" w:rsidP="005F4D9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618F6CF5" w14:textId="77777777" w:rsidR="00CD4B66" w:rsidRDefault="00CD4B66" w:rsidP="004A402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04268544"/>
      <w:docPartObj>
        <w:docPartGallery w:val="Page Numbers (Bottom of Page)"/>
        <w:docPartUnique/>
      </w:docPartObj>
    </w:sdtPr>
    <w:sdtContent>
      <w:p w14:paraId="6D416E73" w14:textId="77777777" w:rsidR="00CD4B66" w:rsidRDefault="00000000" w:rsidP="00ED08B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- 14 -</w:t>
        </w:r>
        <w:r>
          <w:rPr>
            <w:rStyle w:val="PageNumber"/>
          </w:rPr>
          <w:fldChar w:fldCharType="end"/>
        </w:r>
      </w:p>
    </w:sdtContent>
  </w:sdt>
  <w:p w14:paraId="02372851" w14:textId="77777777" w:rsidR="00CD4B66" w:rsidRDefault="00CD4B66" w:rsidP="004A402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C78A45" w14:textId="77777777" w:rsidR="007A1145" w:rsidRDefault="007A1145">
      <w:r>
        <w:separator/>
      </w:r>
    </w:p>
  </w:footnote>
  <w:footnote w:type="continuationSeparator" w:id="0">
    <w:p w14:paraId="40379E33" w14:textId="77777777" w:rsidR="007A1145" w:rsidRDefault="007A11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2752F"/>
    <w:multiLevelType w:val="hybridMultilevel"/>
    <w:tmpl w:val="1E16A826"/>
    <w:lvl w:ilvl="0" w:tplc="08090017">
      <w:start w:val="1"/>
      <w:numFmt w:val="lowerLetter"/>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0ED5FF0"/>
    <w:multiLevelType w:val="multilevel"/>
    <w:tmpl w:val="9D30B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8110AE"/>
    <w:multiLevelType w:val="multilevel"/>
    <w:tmpl w:val="09DA737C"/>
    <w:styleLink w:val="CurrentList1"/>
    <w:lvl w:ilvl="0">
      <w:start w:val="1"/>
      <w:numFmt w:val="decimal"/>
      <w:lvlText w:val="%1"/>
      <w:lvlJc w:val="left"/>
      <w:pPr>
        <w:ind w:left="432" w:hanging="432"/>
      </w:pPr>
      <w:rPr>
        <w:rFonts w:hint="default"/>
        <w:u w:val="none"/>
      </w:rPr>
    </w:lvl>
    <w:lvl w:ilvl="1">
      <w:start w:val="1"/>
      <w:numFmt w:val="decimal"/>
      <w:lvlText w:val="%1.%2"/>
      <w:lvlJc w:val="left"/>
      <w:pPr>
        <w:ind w:left="576" w:hanging="576"/>
      </w:pPr>
    </w:lvl>
    <w:lvl w:ilvl="2">
      <w:start w:val="1"/>
      <w:numFmt w:val="bullet"/>
      <w:lvlText w:val=""/>
      <w:lvlJc w:val="left"/>
      <w:pPr>
        <w:ind w:left="360" w:hanging="36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26F117FD"/>
    <w:multiLevelType w:val="multilevel"/>
    <w:tmpl w:val="7B3AC2C2"/>
    <w:lvl w:ilvl="0">
      <w:start w:val="1"/>
      <w:numFmt w:val="decimal"/>
      <w:lvlText w:val="%1"/>
      <w:lvlJc w:val="left"/>
      <w:pPr>
        <w:ind w:left="432" w:hanging="432"/>
      </w:pPr>
      <w:rPr>
        <w:rFonts w:hint="default"/>
        <w:u w:val="none"/>
      </w:rPr>
    </w:lvl>
    <w:lvl w:ilvl="1">
      <w:start w:val="1"/>
      <w:numFmt w:val="decimal"/>
      <w:lvlText w:val="%1.%2"/>
      <w:lvlJc w:val="left"/>
      <w:pPr>
        <w:ind w:left="576" w:hanging="576"/>
      </w:pPr>
    </w:lvl>
    <w:lvl w:ilvl="2">
      <w:start w:val="1"/>
      <w:numFmt w:val="bullet"/>
      <w:lvlText w:val=""/>
      <w:lvlJc w:val="left"/>
      <w:pPr>
        <w:ind w:left="360" w:hanging="36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3892074A"/>
    <w:multiLevelType w:val="hybridMultilevel"/>
    <w:tmpl w:val="83D4E038"/>
    <w:lvl w:ilvl="0" w:tplc="6108CD52">
      <w:start w:val="1"/>
      <w:numFmt w:val="lowerLetter"/>
      <w:pStyle w:val="Heading2"/>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9E05396"/>
    <w:multiLevelType w:val="multilevel"/>
    <w:tmpl w:val="B1BAC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F604D5"/>
    <w:multiLevelType w:val="hybridMultilevel"/>
    <w:tmpl w:val="FC96B1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D935296"/>
    <w:multiLevelType w:val="multilevel"/>
    <w:tmpl w:val="DEE6D160"/>
    <w:lvl w:ilvl="0">
      <w:start w:val="1"/>
      <w:numFmt w:val="decimal"/>
      <w:lvlText w:val="%1."/>
      <w:lvlJc w:val="left"/>
      <w:pPr>
        <w:ind w:left="720" w:hanging="360"/>
      </w:pPr>
      <w:rPr>
        <w:rFonts w:hint="default"/>
      </w:rPr>
    </w:lvl>
    <w:lvl w:ilvl="1">
      <w:start w:val="1"/>
      <w:numFmt w:val="decimal"/>
      <w:isLgl/>
      <w:lvlText w:val="%1.%2"/>
      <w:lvlJc w:val="left"/>
      <w:pPr>
        <w:ind w:left="1211"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630344B5"/>
    <w:multiLevelType w:val="hybridMultilevel"/>
    <w:tmpl w:val="2C3665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58F3B39"/>
    <w:multiLevelType w:val="hybridMultilevel"/>
    <w:tmpl w:val="9AAA096E"/>
    <w:lvl w:ilvl="0" w:tplc="08090017">
      <w:start w:val="1"/>
      <w:numFmt w:val="lowerLetter"/>
      <w:lvlText w:val="%1)"/>
      <w:lvlJc w:val="left"/>
      <w:pPr>
        <w:ind w:left="720" w:hanging="360"/>
      </w:pPr>
    </w:lvl>
    <w:lvl w:ilvl="1" w:tplc="0809001B">
      <w:start w:val="1"/>
      <w:numFmt w:val="lowerRoman"/>
      <w:lvlText w:val="%2."/>
      <w:lvlJc w:val="righ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6F273E5"/>
    <w:multiLevelType w:val="hybridMultilevel"/>
    <w:tmpl w:val="052235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9AC0B7D"/>
    <w:multiLevelType w:val="hybridMultilevel"/>
    <w:tmpl w:val="FFEC9136"/>
    <w:lvl w:ilvl="0" w:tplc="0809001B">
      <w:start w:val="1"/>
      <w:numFmt w:val="lowerRoman"/>
      <w:lvlText w:val="%1."/>
      <w:lvlJc w:val="right"/>
      <w:pPr>
        <w:ind w:left="144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74981116">
    <w:abstractNumId w:val="7"/>
  </w:num>
  <w:num w:numId="2" w16cid:durableId="1508061326">
    <w:abstractNumId w:val="3"/>
  </w:num>
  <w:num w:numId="3" w16cid:durableId="689570065">
    <w:abstractNumId w:val="8"/>
  </w:num>
  <w:num w:numId="4" w16cid:durableId="854002336">
    <w:abstractNumId w:val="6"/>
  </w:num>
  <w:num w:numId="5" w16cid:durableId="232203947">
    <w:abstractNumId w:val="2"/>
  </w:num>
  <w:num w:numId="6" w16cid:durableId="666640547">
    <w:abstractNumId w:val="4"/>
  </w:num>
  <w:num w:numId="7" w16cid:durableId="678428951">
    <w:abstractNumId w:val="1"/>
  </w:num>
  <w:num w:numId="8" w16cid:durableId="1813019945">
    <w:abstractNumId w:val="5"/>
  </w:num>
  <w:num w:numId="9" w16cid:durableId="319042462">
    <w:abstractNumId w:val="0"/>
  </w:num>
  <w:num w:numId="10" w16cid:durableId="264777556">
    <w:abstractNumId w:val="9"/>
  </w:num>
  <w:num w:numId="11" w16cid:durableId="637149815">
    <w:abstractNumId w:val="11"/>
  </w:num>
  <w:num w:numId="12" w16cid:durableId="1223059758">
    <w:abstractNumId w:val="3"/>
  </w:num>
  <w:num w:numId="13" w16cid:durableId="112478964">
    <w:abstractNumId w:val="3"/>
  </w:num>
  <w:num w:numId="14" w16cid:durableId="12200458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05A"/>
    <w:rsid w:val="000029DE"/>
    <w:rsid w:val="0003546F"/>
    <w:rsid w:val="001C3128"/>
    <w:rsid w:val="00227BFA"/>
    <w:rsid w:val="00230DDA"/>
    <w:rsid w:val="002671A9"/>
    <w:rsid w:val="002E505A"/>
    <w:rsid w:val="003F1E6C"/>
    <w:rsid w:val="004655FF"/>
    <w:rsid w:val="0049462B"/>
    <w:rsid w:val="005420E9"/>
    <w:rsid w:val="0055509B"/>
    <w:rsid w:val="00590357"/>
    <w:rsid w:val="005C5FFB"/>
    <w:rsid w:val="005F07BA"/>
    <w:rsid w:val="006F72B2"/>
    <w:rsid w:val="007A1145"/>
    <w:rsid w:val="007C2B84"/>
    <w:rsid w:val="007E6729"/>
    <w:rsid w:val="008177DE"/>
    <w:rsid w:val="0099202E"/>
    <w:rsid w:val="00A16228"/>
    <w:rsid w:val="00AF3BB1"/>
    <w:rsid w:val="00B01A49"/>
    <w:rsid w:val="00B17AD4"/>
    <w:rsid w:val="00B829D1"/>
    <w:rsid w:val="00BB5087"/>
    <w:rsid w:val="00BF1C27"/>
    <w:rsid w:val="00C11F13"/>
    <w:rsid w:val="00C215AB"/>
    <w:rsid w:val="00C3185C"/>
    <w:rsid w:val="00C42DBD"/>
    <w:rsid w:val="00CD4B66"/>
    <w:rsid w:val="00D4558B"/>
    <w:rsid w:val="00DA0012"/>
    <w:rsid w:val="00E02C35"/>
    <w:rsid w:val="00EC1A43"/>
    <w:rsid w:val="00F04694"/>
    <w:rsid w:val="00F04A03"/>
    <w:rsid w:val="00FA6C60"/>
    <w:rsid w:val="00FF54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11A39"/>
  <w15:chartTrackingRefBased/>
  <w15:docId w15:val="{C8BD8156-F4EA-C44C-A949-410580B40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71A9"/>
    <w:rPr>
      <w:color w:val="000000" w:themeColor="text1"/>
    </w:rPr>
  </w:style>
  <w:style w:type="paragraph" w:styleId="Heading1">
    <w:name w:val="heading 1"/>
    <w:basedOn w:val="Normal"/>
    <w:next w:val="Normal"/>
    <w:link w:val="Heading1Char"/>
    <w:uiPriority w:val="9"/>
    <w:qFormat/>
    <w:rsid w:val="002671A9"/>
    <w:pPr>
      <w:keepNext/>
      <w:keepLines/>
      <w:spacing w:before="240"/>
      <w:outlineLvl w:val="0"/>
    </w:pPr>
    <w:rPr>
      <w:rFonts w:eastAsiaTheme="majorEastAsia" w:cstheme="majorBidi"/>
      <w:b/>
      <w:sz w:val="32"/>
      <w:szCs w:val="32"/>
      <w:u w:val="single"/>
    </w:rPr>
  </w:style>
  <w:style w:type="paragraph" w:styleId="Heading2">
    <w:name w:val="heading 2"/>
    <w:basedOn w:val="Normal"/>
    <w:next w:val="Normal"/>
    <w:link w:val="Heading2Char"/>
    <w:uiPriority w:val="9"/>
    <w:unhideWhenUsed/>
    <w:qFormat/>
    <w:rsid w:val="002671A9"/>
    <w:pPr>
      <w:keepNext/>
      <w:keepLines/>
      <w:numPr>
        <w:numId w:val="6"/>
      </w:numPr>
      <w:spacing w:before="40"/>
      <w:outlineLvl w:val="1"/>
    </w:pPr>
    <w:rPr>
      <w:rFonts w:ascii="Calibri" w:eastAsiaTheme="majorEastAsia" w:hAnsi="Calibri" w:cstheme="majorBidi"/>
      <w:b/>
      <w:sz w:val="28"/>
      <w:szCs w:val="26"/>
    </w:rPr>
  </w:style>
  <w:style w:type="paragraph" w:styleId="Heading3">
    <w:name w:val="heading 3"/>
    <w:basedOn w:val="Normal"/>
    <w:next w:val="Normal"/>
    <w:link w:val="Heading3Char"/>
    <w:uiPriority w:val="9"/>
    <w:unhideWhenUsed/>
    <w:qFormat/>
    <w:rsid w:val="002671A9"/>
    <w:pPr>
      <w:keepNext/>
      <w:keepLines/>
      <w:spacing w:before="40"/>
      <w:outlineLvl w:val="2"/>
    </w:pPr>
    <w:rPr>
      <w:rFonts w:asciiTheme="majorHAnsi" w:eastAsiaTheme="majorEastAsia" w:hAnsiTheme="majorHAnsi" w:cstheme="majorBidi"/>
      <w:b/>
    </w:rPr>
  </w:style>
  <w:style w:type="paragraph" w:styleId="Heading4">
    <w:name w:val="heading 4"/>
    <w:basedOn w:val="Normal"/>
    <w:next w:val="Normal"/>
    <w:link w:val="Heading4Char"/>
    <w:uiPriority w:val="9"/>
    <w:unhideWhenUsed/>
    <w:qFormat/>
    <w:rsid w:val="002671A9"/>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671A9"/>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2671A9"/>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671A9"/>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671A9"/>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671A9"/>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71A9"/>
    <w:rPr>
      <w:rFonts w:eastAsiaTheme="majorEastAsia" w:cstheme="majorBidi"/>
      <w:b/>
      <w:color w:val="000000" w:themeColor="text1"/>
      <w:sz w:val="32"/>
      <w:szCs w:val="32"/>
      <w:u w:val="single"/>
    </w:rPr>
  </w:style>
  <w:style w:type="character" w:customStyle="1" w:styleId="Heading2Char">
    <w:name w:val="Heading 2 Char"/>
    <w:basedOn w:val="DefaultParagraphFont"/>
    <w:link w:val="Heading2"/>
    <w:uiPriority w:val="9"/>
    <w:rsid w:val="002671A9"/>
    <w:rPr>
      <w:rFonts w:ascii="Calibri" w:eastAsiaTheme="majorEastAsia" w:hAnsi="Calibri" w:cstheme="majorBidi"/>
      <w:b/>
      <w:color w:val="000000" w:themeColor="text1"/>
      <w:sz w:val="28"/>
      <w:szCs w:val="26"/>
    </w:rPr>
  </w:style>
  <w:style w:type="character" w:customStyle="1" w:styleId="Heading3Char">
    <w:name w:val="Heading 3 Char"/>
    <w:basedOn w:val="DefaultParagraphFont"/>
    <w:link w:val="Heading3"/>
    <w:uiPriority w:val="9"/>
    <w:rsid w:val="002671A9"/>
    <w:rPr>
      <w:rFonts w:asciiTheme="majorHAnsi" w:eastAsiaTheme="majorEastAsia" w:hAnsiTheme="majorHAnsi" w:cstheme="majorBidi"/>
      <w:b/>
      <w:color w:val="000000" w:themeColor="text1"/>
    </w:rPr>
  </w:style>
  <w:style w:type="character" w:customStyle="1" w:styleId="Heading4Char">
    <w:name w:val="Heading 4 Char"/>
    <w:basedOn w:val="DefaultParagraphFont"/>
    <w:link w:val="Heading4"/>
    <w:uiPriority w:val="9"/>
    <w:rsid w:val="002671A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2671A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2671A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671A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671A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671A9"/>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2671A9"/>
    <w:pPr>
      <w:ind w:left="720"/>
      <w:contextualSpacing/>
    </w:pPr>
  </w:style>
  <w:style w:type="paragraph" w:styleId="NormalWeb">
    <w:name w:val="Normal (Web)"/>
    <w:basedOn w:val="Normal"/>
    <w:uiPriority w:val="99"/>
    <w:unhideWhenUsed/>
    <w:rsid w:val="002671A9"/>
    <w:pPr>
      <w:spacing w:before="100" w:beforeAutospacing="1" w:after="100" w:afterAutospacing="1"/>
    </w:pPr>
    <w:rPr>
      <w:rFonts w:ascii="Times New Roman" w:eastAsia="Times New Roman" w:hAnsi="Times New Roman" w:cs="Times New Roman"/>
      <w:kern w:val="0"/>
      <w:lang w:eastAsia="en-GB"/>
      <w14:ligatures w14:val="none"/>
    </w:rPr>
  </w:style>
  <w:style w:type="paragraph" w:styleId="Footer">
    <w:name w:val="footer"/>
    <w:basedOn w:val="Normal"/>
    <w:link w:val="FooterChar"/>
    <w:uiPriority w:val="99"/>
    <w:unhideWhenUsed/>
    <w:rsid w:val="002671A9"/>
    <w:pPr>
      <w:tabs>
        <w:tab w:val="center" w:pos="4513"/>
        <w:tab w:val="right" w:pos="9026"/>
      </w:tabs>
    </w:pPr>
  </w:style>
  <w:style w:type="character" w:customStyle="1" w:styleId="FooterChar">
    <w:name w:val="Footer Char"/>
    <w:basedOn w:val="DefaultParagraphFont"/>
    <w:link w:val="Footer"/>
    <w:uiPriority w:val="99"/>
    <w:rsid w:val="002671A9"/>
    <w:rPr>
      <w:color w:val="000000" w:themeColor="text1"/>
    </w:rPr>
  </w:style>
  <w:style w:type="character" w:styleId="PageNumber">
    <w:name w:val="page number"/>
    <w:basedOn w:val="DefaultParagraphFont"/>
    <w:uiPriority w:val="99"/>
    <w:semiHidden/>
    <w:unhideWhenUsed/>
    <w:rsid w:val="002671A9"/>
  </w:style>
  <w:style w:type="paragraph" w:styleId="Caption">
    <w:name w:val="caption"/>
    <w:basedOn w:val="Normal"/>
    <w:next w:val="Normal"/>
    <w:uiPriority w:val="35"/>
    <w:unhideWhenUsed/>
    <w:qFormat/>
    <w:rsid w:val="002671A9"/>
    <w:pPr>
      <w:spacing w:after="200"/>
    </w:pPr>
    <w:rPr>
      <w:i/>
      <w:iCs/>
      <w:color w:val="44546A" w:themeColor="text2"/>
      <w:sz w:val="18"/>
      <w:szCs w:val="18"/>
    </w:rPr>
  </w:style>
  <w:style w:type="numbering" w:customStyle="1" w:styleId="CurrentList1">
    <w:name w:val="Current List1"/>
    <w:uiPriority w:val="99"/>
    <w:rsid w:val="004655FF"/>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523543">
      <w:bodyDiv w:val="1"/>
      <w:marLeft w:val="0"/>
      <w:marRight w:val="0"/>
      <w:marTop w:val="0"/>
      <w:marBottom w:val="0"/>
      <w:divBdr>
        <w:top w:val="none" w:sz="0" w:space="0" w:color="auto"/>
        <w:left w:val="none" w:sz="0" w:space="0" w:color="auto"/>
        <w:bottom w:val="none" w:sz="0" w:space="0" w:color="auto"/>
        <w:right w:val="none" w:sz="0" w:space="0" w:color="auto"/>
      </w:divBdr>
    </w:div>
    <w:div w:id="191043503">
      <w:bodyDiv w:val="1"/>
      <w:marLeft w:val="0"/>
      <w:marRight w:val="0"/>
      <w:marTop w:val="0"/>
      <w:marBottom w:val="0"/>
      <w:divBdr>
        <w:top w:val="none" w:sz="0" w:space="0" w:color="auto"/>
        <w:left w:val="none" w:sz="0" w:space="0" w:color="auto"/>
        <w:bottom w:val="none" w:sz="0" w:space="0" w:color="auto"/>
        <w:right w:val="none" w:sz="0" w:space="0" w:color="auto"/>
      </w:divBdr>
    </w:div>
    <w:div w:id="332144316">
      <w:bodyDiv w:val="1"/>
      <w:marLeft w:val="0"/>
      <w:marRight w:val="0"/>
      <w:marTop w:val="0"/>
      <w:marBottom w:val="0"/>
      <w:divBdr>
        <w:top w:val="none" w:sz="0" w:space="0" w:color="auto"/>
        <w:left w:val="none" w:sz="0" w:space="0" w:color="auto"/>
        <w:bottom w:val="none" w:sz="0" w:space="0" w:color="auto"/>
        <w:right w:val="none" w:sz="0" w:space="0" w:color="auto"/>
      </w:divBdr>
    </w:div>
    <w:div w:id="538664857">
      <w:bodyDiv w:val="1"/>
      <w:marLeft w:val="0"/>
      <w:marRight w:val="0"/>
      <w:marTop w:val="0"/>
      <w:marBottom w:val="0"/>
      <w:divBdr>
        <w:top w:val="none" w:sz="0" w:space="0" w:color="auto"/>
        <w:left w:val="none" w:sz="0" w:space="0" w:color="auto"/>
        <w:bottom w:val="none" w:sz="0" w:space="0" w:color="auto"/>
        <w:right w:val="none" w:sz="0" w:space="0" w:color="auto"/>
      </w:divBdr>
    </w:div>
    <w:div w:id="587887179">
      <w:bodyDiv w:val="1"/>
      <w:marLeft w:val="0"/>
      <w:marRight w:val="0"/>
      <w:marTop w:val="0"/>
      <w:marBottom w:val="0"/>
      <w:divBdr>
        <w:top w:val="none" w:sz="0" w:space="0" w:color="auto"/>
        <w:left w:val="none" w:sz="0" w:space="0" w:color="auto"/>
        <w:bottom w:val="none" w:sz="0" w:space="0" w:color="auto"/>
        <w:right w:val="none" w:sz="0" w:space="0" w:color="auto"/>
      </w:divBdr>
    </w:div>
    <w:div w:id="602690026">
      <w:bodyDiv w:val="1"/>
      <w:marLeft w:val="0"/>
      <w:marRight w:val="0"/>
      <w:marTop w:val="0"/>
      <w:marBottom w:val="0"/>
      <w:divBdr>
        <w:top w:val="none" w:sz="0" w:space="0" w:color="auto"/>
        <w:left w:val="none" w:sz="0" w:space="0" w:color="auto"/>
        <w:bottom w:val="none" w:sz="0" w:space="0" w:color="auto"/>
        <w:right w:val="none" w:sz="0" w:space="0" w:color="auto"/>
      </w:divBdr>
    </w:div>
    <w:div w:id="651762948">
      <w:bodyDiv w:val="1"/>
      <w:marLeft w:val="0"/>
      <w:marRight w:val="0"/>
      <w:marTop w:val="0"/>
      <w:marBottom w:val="0"/>
      <w:divBdr>
        <w:top w:val="none" w:sz="0" w:space="0" w:color="auto"/>
        <w:left w:val="none" w:sz="0" w:space="0" w:color="auto"/>
        <w:bottom w:val="none" w:sz="0" w:space="0" w:color="auto"/>
        <w:right w:val="none" w:sz="0" w:space="0" w:color="auto"/>
      </w:divBdr>
    </w:div>
    <w:div w:id="687800720">
      <w:bodyDiv w:val="1"/>
      <w:marLeft w:val="0"/>
      <w:marRight w:val="0"/>
      <w:marTop w:val="0"/>
      <w:marBottom w:val="0"/>
      <w:divBdr>
        <w:top w:val="none" w:sz="0" w:space="0" w:color="auto"/>
        <w:left w:val="none" w:sz="0" w:space="0" w:color="auto"/>
        <w:bottom w:val="none" w:sz="0" w:space="0" w:color="auto"/>
        <w:right w:val="none" w:sz="0" w:space="0" w:color="auto"/>
      </w:divBdr>
    </w:div>
    <w:div w:id="730233939">
      <w:bodyDiv w:val="1"/>
      <w:marLeft w:val="0"/>
      <w:marRight w:val="0"/>
      <w:marTop w:val="0"/>
      <w:marBottom w:val="0"/>
      <w:divBdr>
        <w:top w:val="none" w:sz="0" w:space="0" w:color="auto"/>
        <w:left w:val="none" w:sz="0" w:space="0" w:color="auto"/>
        <w:bottom w:val="none" w:sz="0" w:space="0" w:color="auto"/>
        <w:right w:val="none" w:sz="0" w:space="0" w:color="auto"/>
      </w:divBdr>
    </w:div>
    <w:div w:id="786042299">
      <w:bodyDiv w:val="1"/>
      <w:marLeft w:val="0"/>
      <w:marRight w:val="0"/>
      <w:marTop w:val="0"/>
      <w:marBottom w:val="0"/>
      <w:divBdr>
        <w:top w:val="none" w:sz="0" w:space="0" w:color="auto"/>
        <w:left w:val="none" w:sz="0" w:space="0" w:color="auto"/>
        <w:bottom w:val="none" w:sz="0" w:space="0" w:color="auto"/>
        <w:right w:val="none" w:sz="0" w:space="0" w:color="auto"/>
      </w:divBdr>
    </w:div>
    <w:div w:id="980883772">
      <w:bodyDiv w:val="1"/>
      <w:marLeft w:val="0"/>
      <w:marRight w:val="0"/>
      <w:marTop w:val="0"/>
      <w:marBottom w:val="0"/>
      <w:divBdr>
        <w:top w:val="none" w:sz="0" w:space="0" w:color="auto"/>
        <w:left w:val="none" w:sz="0" w:space="0" w:color="auto"/>
        <w:bottom w:val="none" w:sz="0" w:space="0" w:color="auto"/>
        <w:right w:val="none" w:sz="0" w:space="0" w:color="auto"/>
      </w:divBdr>
    </w:div>
    <w:div w:id="1140344118">
      <w:bodyDiv w:val="1"/>
      <w:marLeft w:val="0"/>
      <w:marRight w:val="0"/>
      <w:marTop w:val="0"/>
      <w:marBottom w:val="0"/>
      <w:divBdr>
        <w:top w:val="none" w:sz="0" w:space="0" w:color="auto"/>
        <w:left w:val="none" w:sz="0" w:space="0" w:color="auto"/>
        <w:bottom w:val="none" w:sz="0" w:space="0" w:color="auto"/>
        <w:right w:val="none" w:sz="0" w:space="0" w:color="auto"/>
      </w:divBdr>
    </w:div>
    <w:div w:id="1171682008">
      <w:bodyDiv w:val="1"/>
      <w:marLeft w:val="0"/>
      <w:marRight w:val="0"/>
      <w:marTop w:val="0"/>
      <w:marBottom w:val="0"/>
      <w:divBdr>
        <w:top w:val="none" w:sz="0" w:space="0" w:color="auto"/>
        <w:left w:val="none" w:sz="0" w:space="0" w:color="auto"/>
        <w:bottom w:val="none" w:sz="0" w:space="0" w:color="auto"/>
        <w:right w:val="none" w:sz="0" w:space="0" w:color="auto"/>
      </w:divBdr>
    </w:div>
    <w:div w:id="1260259157">
      <w:bodyDiv w:val="1"/>
      <w:marLeft w:val="0"/>
      <w:marRight w:val="0"/>
      <w:marTop w:val="0"/>
      <w:marBottom w:val="0"/>
      <w:divBdr>
        <w:top w:val="none" w:sz="0" w:space="0" w:color="auto"/>
        <w:left w:val="none" w:sz="0" w:space="0" w:color="auto"/>
        <w:bottom w:val="none" w:sz="0" w:space="0" w:color="auto"/>
        <w:right w:val="none" w:sz="0" w:space="0" w:color="auto"/>
      </w:divBdr>
    </w:div>
    <w:div w:id="1291353518">
      <w:bodyDiv w:val="1"/>
      <w:marLeft w:val="0"/>
      <w:marRight w:val="0"/>
      <w:marTop w:val="0"/>
      <w:marBottom w:val="0"/>
      <w:divBdr>
        <w:top w:val="none" w:sz="0" w:space="0" w:color="auto"/>
        <w:left w:val="none" w:sz="0" w:space="0" w:color="auto"/>
        <w:bottom w:val="none" w:sz="0" w:space="0" w:color="auto"/>
        <w:right w:val="none" w:sz="0" w:space="0" w:color="auto"/>
      </w:divBdr>
    </w:div>
    <w:div w:id="1300914838">
      <w:bodyDiv w:val="1"/>
      <w:marLeft w:val="0"/>
      <w:marRight w:val="0"/>
      <w:marTop w:val="0"/>
      <w:marBottom w:val="0"/>
      <w:divBdr>
        <w:top w:val="none" w:sz="0" w:space="0" w:color="auto"/>
        <w:left w:val="none" w:sz="0" w:space="0" w:color="auto"/>
        <w:bottom w:val="none" w:sz="0" w:space="0" w:color="auto"/>
        <w:right w:val="none" w:sz="0" w:space="0" w:color="auto"/>
      </w:divBdr>
    </w:div>
    <w:div w:id="1351680083">
      <w:bodyDiv w:val="1"/>
      <w:marLeft w:val="0"/>
      <w:marRight w:val="0"/>
      <w:marTop w:val="0"/>
      <w:marBottom w:val="0"/>
      <w:divBdr>
        <w:top w:val="none" w:sz="0" w:space="0" w:color="auto"/>
        <w:left w:val="none" w:sz="0" w:space="0" w:color="auto"/>
        <w:bottom w:val="none" w:sz="0" w:space="0" w:color="auto"/>
        <w:right w:val="none" w:sz="0" w:space="0" w:color="auto"/>
      </w:divBdr>
    </w:div>
    <w:div w:id="1589461716">
      <w:bodyDiv w:val="1"/>
      <w:marLeft w:val="0"/>
      <w:marRight w:val="0"/>
      <w:marTop w:val="0"/>
      <w:marBottom w:val="0"/>
      <w:divBdr>
        <w:top w:val="none" w:sz="0" w:space="0" w:color="auto"/>
        <w:left w:val="none" w:sz="0" w:space="0" w:color="auto"/>
        <w:bottom w:val="none" w:sz="0" w:space="0" w:color="auto"/>
        <w:right w:val="none" w:sz="0" w:space="0" w:color="auto"/>
      </w:divBdr>
    </w:div>
    <w:div w:id="1833987105">
      <w:bodyDiv w:val="1"/>
      <w:marLeft w:val="0"/>
      <w:marRight w:val="0"/>
      <w:marTop w:val="0"/>
      <w:marBottom w:val="0"/>
      <w:divBdr>
        <w:top w:val="none" w:sz="0" w:space="0" w:color="auto"/>
        <w:left w:val="none" w:sz="0" w:space="0" w:color="auto"/>
        <w:bottom w:val="none" w:sz="0" w:space="0" w:color="auto"/>
        <w:right w:val="none" w:sz="0" w:space="0" w:color="auto"/>
      </w:divBdr>
    </w:div>
    <w:div w:id="1874229523">
      <w:bodyDiv w:val="1"/>
      <w:marLeft w:val="0"/>
      <w:marRight w:val="0"/>
      <w:marTop w:val="0"/>
      <w:marBottom w:val="0"/>
      <w:divBdr>
        <w:top w:val="none" w:sz="0" w:space="0" w:color="auto"/>
        <w:left w:val="none" w:sz="0" w:space="0" w:color="auto"/>
        <w:bottom w:val="none" w:sz="0" w:space="0" w:color="auto"/>
        <w:right w:val="none" w:sz="0" w:space="0" w:color="auto"/>
      </w:divBdr>
    </w:div>
    <w:div w:id="1978993066">
      <w:bodyDiv w:val="1"/>
      <w:marLeft w:val="0"/>
      <w:marRight w:val="0"/>
      <w:marTop w:val="0"/>
      <w:marBottom w:val="0"/>
      <w:divBdr>
        <w:top w:val="none" w:sz="0" w:space="0" w:color="auto"/>
        <w:left w:val="none" w:sz="0" w:space="0" w:color="auto"/>
        <w:bottom w:val="none" w:sz="0" w:space="0" w:color="auto"/>
        <w:right w:val="none" w:sz="0" w:space="0" w:color="auto"/>
      </w:divBdr>
    </w:div>
    <w:div w:id="1991207895">
      <w:bodyDiv w:val="1"/>
      <w:marLeft w:val="0"/>
      <w:marRight w:val="0"/>
      <w:marTop w:val="0"/>
      <w:marBottom w:val="0"/>
      <w:divBdr>
        <w:top w:val="none" w:sz="0" w:space="0" w:color="auto"/>
        <w:left w:val="none" w:sz="0" w:space="0" w:color="auto"/>
        <w:bottom w:val="none" w:sz="0" w:space="0" w:color="auto"/>
        <w:right w:val="none" w:sz="0" w:space="0" w:color="auto"/>
      </w:divBdr>
    </w:div>
    <w:div w:id="2072341194">
      <w:bodyDiv w:val="1"/>
      <w:marLeft w:val="0"/>
      <w:marRight w:val="0"/>
      <w:marTop w:val="0"/>
      <w:marBottom w:val="0"/>
      <w:divBdr>
        <w:top w:val="none" w:sz="0" w:space="0" w:color="auto"/>
        <w:left w:val="none" w:sz="0" w:space="0" w:color="auto"/>
        <w:bottom w:val="none" w:sz="0" w:space="0" w:color="auto"/>
        <w:right w:val="none" w:sz="0" w:space="0" w:color="auto"/>
      </w:divBdr>
    </w:div>
    <w:div w:id="2141921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9</Pages>
  <Words>1476</Words>
  <Characters>8608</Characters>
  <Application>Microsoft Office Word</Application>
  <DocSecurity>0</DocSecurity>
  <Lines>200</Lines>
  <Paragraphs>51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10033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KUMAR SINGH</dc:creator>
  <cp:keywords/>
  <dc:description/>
  <cp:lastModifiedBy>Aman Kumar Singh</cp:lastModifiedBy>
  <cp:revision>3</cp:revision>
  <dcterms:created xsi:type="dcterms:W3CDTF">2024-03-05T19:40:00Z</dcterms:created>
  <dcterms:modified xsi:type="dcterms:W3CDTF">2024-03-05T21:20:00Z</dcterms:modified>
  <cp:category/>
</cp:coreProperties>
</file>