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630"/>
        <w:tblW w:w="9281" w:type="dxa"/>
        <w:tblLook w:val="04A0" w:firstRow="1" w:lastRow="0" w:firstColumn="1" w:lastColumn="0" w:noHBand="0" w:noVBand="1"/>
      </w:tblPr>
      <w:tblGrid>
        <w:gridCol w:w="3093"/>
        <w:gridCol w:w="2969"/>
        <w:gridCol w:w="3219"/>
      </w:tblGrid>
      <w:tr w:rsidR="00B53F64" w:rsidRPr="00D91121" w:rsidTr="00D91121">
        <w:trPr>
          <w:trHeight w:val="288"/>
        </w:trPr>
        <w:tc>
          <w:tcPr>
            <w:tcW w:w="3093" w:type="dxa"/>
          </w:tcPr>
          <w:p w:rsidR="00B53F64" w:rsidRPr="00D91121" w:rsidRDefault="00B53F64" w:rsidP="00D911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1121">
              <w:rPr>
                <w:rFonts w:ascii="Times New Roman" w:hAnsi="Times New Roman" w:cs="Times New Roman"/>
                <w:b/>
              </w:rPr>
              <w:t>Method</w:t>
            </w:r>
          </w:p>
        </w:tc>
        <w:tc>
          <w:tcPr>
            <w:tcW w:w="2969" w:type="dxa"/>
          </w:tcPr>
          <w:p w:rsidR="00B53F64" w:rsidRPr="00D91121" w:rsidRDefault="00B53F64" w:rsidP="00D911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1121">
              <w:rPr>
                <w:rFonts w:ascii="Times New Roman" w:hAnsi="Times New Roman" w:cs="Times New Roman"/>
                <w:b/>
              </w:rPr>
              <w:t>Definition</w:t>
            </w:r>
          </w:p>
        </w:tc>
        <w:tc>
          <w:tcPr>
            <w:tcW w:w="3219" w:type="dxa"/>
          </w:tcPr>
          <w:p w:rsidR="00B53F64" w:rsidRPr="00D91121" w:rsidRDefault="00B53F64" w:rsidP="00D911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91121">
              <w:rPr>
                <w:rFonts w:ascii="Times New Roman" w:hAnsi="Times New Roman" w:cs="Times New Roman"/>
                <w:b/>
              </w:rPr>
              <w:t>Example</w:t>
            </w:r>
          </w:p>
        </w:tc>
      </w:tr>
      <w:tr w:rsidR="00961E1D" w:rsidRPr="00D91121" w:rsidTr="00D91121">
        <w:trPr>
          <w:trHeight w:val="343"/>
        </w:trPr>
        <w:tc>
          <w:tcPr>
            <w:tcW w:w="3093" w:type="dxa"/>
          </w:tcPr>
          <w:p w:rsidR="00961E1D" w:rsidRPr="00D873E8" w:rsidRDefault="00F10A8F" w:rsidP="00D911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anchor="System_Math_Abs_System_Decimal_" w:history="1">
              <w:r w:rsidR="00961E1D"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Abs(Decimal)</w:t>
              </w:r>
            </w:hyperlink>
          </w:p>
        </w:tc>
        <w:tc>
          <w:tcPr>
            <w:tcW w:w="2969" w:type="dxa"/>
          </w:tcPr>
          <w:p w:rsidR="00961E1D" w:rsidRPr="00D873E8" w:rsidRDefault="00961E1D" w:rsidP="00D911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3E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Returns the absolute value of a </w:t>
            </w:r>
            <w:hyperlink r:id="rId8" w:history="1">
              <w:r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Decimal</w:t>
              </w:r>
            </w:hyperlink>
            <w:r w:rsidRPr="00D873E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 number.</w:t>
            </w:r>
          </w:p>
        </w:tc>
        <w:tc>
          <w:tcPr>
            <w:tcW w:w="3219" w:type="dxa"/>
          </w:tcPr>
          <w:p w:rsidR="00961E1D" w:rsidRPr="00D873E8" w:rsidRDefault="00961E1D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Abs(-12.69) = 12.69</w:t>
            </w:r>
          </w:p>
        </w:tc>
      </w:tr>
      <w:tr w:rsidR="00B53F64" w:rsidRPr="00D91121" w:rsidTr="00D91121">
        <w:trPr>
          <w:trHeight w:val="343"/>
        </w:trPr>
        <w:tc>
          <w:tcPr>
            <w:tcW w:w="3093" w:type="dxa"/>
          </w:tcPr>
          <w:p w:rsidR="00B53F64" w:rsidRPr="00D873E8" w:rsidRDefault="00F10A8F" w:rsidP="00D911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anchor="System_Math_Abs_System_Double_" w:history="1">
              <w:r w:rsidR="00961E1D"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Abs(Double)</w:t>
              </w:r>
            </w:hyperlink>
          </w:p>
        </w:tc>
        <w:tc>
          <w:tcPr>
            <w:tcW w:w="2969" w:type="dxa"/>
          </w:tcPr>
          <w:p w:rsidR="00B53F64" w:rsidRPr="00D873E8" w:rsidRDefault="00961E1D" w:rsidP="00D91121">
            <w:pPr>
              <w:pStyle w:val="NormalWeb"/>
              <w:rPr>
                <w:sz w:val="20"/>
                <w:szCs w:val="20"/>
              </w:rPr>
            </w:pPr>
            <w:r w:rsidRPr="00D873E8">
              <w:rPr>
                <w:sz w:val="20"/>
                <w:szCs w:val="20"/>
              </w:rPr>
              <w:t>Returns the absolute value of a double-precision</w:t>
            </w:r>
          </w:p>
        </w:tc>
        <w:tc>
          <w:tcPr>
            <w:tcW w:w="3219" w:type="dxa"/>
          </w:tcPr>
          <w:p w:rsidR="0088522B" w:rsidRPr="0088522B" w:rsidRDefault="0088522B" w:rsidP="00D91121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  <w:lang w:eastAsia="en-IN"/>
              </w:rPr>
            </w:pPr>
            <w:r w:rsidRPr="00D873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  <w:lang w:eastAsia="en-IN"/>
              </w:rPr>
              <w:t>Abs(-19.069713) = 19.069713</w:t>
            </w:r>
          </w:p>
          <w:p w:rsidR="00B53F64" w:rsidRPr="00D873E8" w:rsidRDefault="0088522B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3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  <w:lang w:eastAsia="en-IN"/>
              </w:rPr>
              <w:t>Abs(-1.5058E+19) = 1.5058E+19</w:t>
            </w:r>
          </w:p>
        </w:tc>
      </w:tr>
      <w:tr w:rsidR="00B53F64" w:rsidRPr="00D91121" w:rsidTr="00D91121">
        <w:trPr>
          <w:trHeight w:val="357"/>
        </w:trPr>
        <w:tc>
          <w:tcPr>
            <w:tcW w:w="3093" w:type="dxa"/>
          </w:tcPr>
          <w:p w:rsidR="00B53F64" w:rsidRPr="00D873E8" w:rsidRDefault="00F10A8F" w:rsidP="00D911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anchor="System_Math_Abs_System_Int16_" w:history="1">
              <w:r w:rsidR="00961E1D"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Abs(Int16)</w:t>
              </w:r>
            </w:hyperlink>
          </w:p>
        </w:tc>
        <w:tc>
          <w:tcPr>
            <w:tcW w:w="2969" w:type="dxa"/>
          </w:tcPr>
          <w:p w:rsidR="00B53F64" w:rsidRPr="00D873E8" w:rsidRDefault="001B0D3E" w:rsidP="00D91121">
            <w:pPr>
              <w:pStyle w:val="NormalWeb"/>
              <w:rPr>
                <w:sz w:val="20"/>
                <w:szCs w:val="20"/>
              </w:rPr>
            </w:pPr>
            <w:r w:rsidRPr="00D873E8">
              <w:rPr>
                <w:sz w:val="20"/>
                <w:szCs w:val="20"/>
              </w:rPr>
              <w:t>Returns the absolute value of a 16-bit signed integer.</w:t>
            </w:r>
          </w:p>
        </w:tc>
        <w:tc>
          <w:tcPr>
            <w:tcW w:w="3219" w:type="dxa"/>
          </w:tcPr>
          <w:p w:rsidR="0088522B" w:rsidRPr="00D873E8" w:rsidRDefault="0088522B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Abs(-32768)=#Error</w:t>
            </w:r>
          </w:p>
          <w:p w:rsidR="00B53F64" w:rsidRPr="00D873E8" w:rsidRDefault="0088522B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Abs(-1476) = 1476</w:t>
            </w:r>
          </w:p>
        </w:tc>
      </w:tr>
      <w:tr w:rsidR="00B53F64" w:rsidRPr="00D91121" w:rsidTr="00D91121">
        <w:trPr>
          <w:trHeight w:val="343"/>
        </w:trPr>
        <w:tc>
          <w:tcPr>
            <w:tcW w:w="3093" w:type="dxa"/>
          </w:tcPr>
          <w:p w:rsidR="00B53F64" w:rsidRPr="00D873E8" w:rsidRDefault="00F10A8F" w:rsidP="00D911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anchor="System_Math_Abs_System_Int32_" w:history="1">
              <w:r w:rsidR="00961E1D"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Abs(Int32)</w:t>
              </w:r>
            </w:hyperlink>
          </w:p>
        </w:tc>
        <w:tc>
          <w:tcPr>
            <w:tcW w:w="2969" w:type="dxa"/>
          </w:tcPr>
          <w:p w:rsidR="00B53F64" w:rsidRPr="00D873E8" w:rsidRDefault="001B0D3E" w:rsidP="00D91121">
            <w:pPr>
              <w:pStyle w:val="NormalWeb"/>
              <w:rPr>
                <w:sz w:val="20"/>
                <w:szCs w:val="20"/>
              </w:rPr>
            </w:pPr>
            <w:r w:rsidRPr="00D873E8">
              <w:rPr>
                <w:sz w:val="20"/>
                <w:szCs w:val="20"/>
              </w:rPr>
              <w:t>Returns the absolute value of a 32-bit signed integer.</w:t>
            </w:r>
          </w:p>
        </w:tc>
        <w:tc>
          <w:tcPr>
            <w:tcW w:w="3219" w:type="dxa"/>
          </w:tcPr>
          <w:p w:rsidR="004A7548" w:rsidRPr="00D873E8" w:rsidRDefault="004A7548" w:rsidP="00D9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873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  <w:t>Abs(-</w:t>
            </w:r>
            <w:r w:rsidR="003D29EE" w:rsidRPr="00D873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  <w:t>777777</w:t>
            </w:r>
            <w:r w:rsidRPr="00D873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  <w:t xml:space="preserve">) = </w:t>
            </w:r>
            <w:r w:rsidR="003D29EE" w:rsidRPr="00D873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  <w:t>777777</w:t>
            </w:r>
          </w:p>
          <w:p w:rsidR="004A7548" w:rsidRPr="00D873E8" w:rsidRDefault="004A7548" w:rsidP="00D911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D873E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bdr w:val="none" w:sz="0" w:space="0" w:color="auto" w:frame="1"/>
                <w:lang w:eastAsia="en-IN"/>
              </w:rPr>
              <w:t>Abs (-2147483648)=#Error</w:t>
            </w:r>
          </w:p>
          <w:p w:rsidR="00B53F64" w:rsidRPr="00D873E8" w:rsidRDefault="00B53F64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B53F64" w:rsidRPr="00D91121" w:rsidTr="00D91121">
        <w:trPr>
          <w:trHeight w:val="343"/>
        </w:trPr>
        <w:tc>
          <w:tcPr>
            <w:tcW w:w="3093" w:type="dxa"/>
          </w:tcPr>
          <w:p w:rsidR="00B53F64" w:rsidRPr="00D873E8" w:rsidRDefault="00F10A8F" w:rsidP="00D911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anchor="System_Math_Abs_System_Int64_" w:history="1">
              <w:r w:rsidR="00961E1D"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Abs(Int64)</w:t>
              </w:r>
            </w:hyperlink>
          </w:p>
        </w:tc>
        <w:tc>
          <w:tcPr>
            <w:tcW w:w="2969" w:type="dxa"/>
          </w:tcPr>
          <w:p w:rsidR="00B53F64" w:rsidRPr="00D873E8" w:rsidRDefault="005D1261" w:rsidP="00D911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3E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Returns the absolute value of a 64-bit signed integer.</w:t>
            </w:r>
          </w:p>
        </w:tc>
        <w:tc>
          <w:tcPr>
            <w:tcW w:w="3219" w:type="dxa"/>
          </w:tcPr>
          <w:p w:rsidR="00B53F64" w:rsidRPr="00D873E8" w:rsidRDefault="0002510B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Abs(-5555555) = 5555555</w:t>
            </w:r>
          </w:p>
          <w:p w:rsidR="0002510B" w:rsidRPr="00D873E8" w:rsidRDefault="0002510B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</w:t>
            </w:r>
            <w:r w:rsidR="00474FD6"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-</w:t>
            </w: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9223372036854775808)=#E</w:t>
            </w:r>
            <w:r w:rsidR="00474FD6"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rr</w:t>
            </w:r>
          </w:p>
        </w:tc>
      </w:tr>
      <w:tr w:rsidR="00B53F64" w:rsidRPr="00D91121" w:rsidTr="00D91121">
        <w:trPr>
          <w:trHeight w:val="357"/>
        </w:trPr>
        <w:tc>
          <w:tcPr>
            <w:tcW w:w="3093" w:type="dxa"/>
          </w:tcPr>
          <w:p w:rsidR="00B53F64" w:rsidRPr="00D873E8" w:rsidRDefault="00F10A8F" w:rsidP="00D911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3" w:anchor="System_Math_Abs_System_SByte_" w:history="1">
              <w:r w:rsidR="00961E1D"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Abs(SByte)</w:t>
              </w:r>
            </w:hyperlink>
          </w:p>
        </w:tc>
        <w:tc>
          <w:tcPr>
            <w:tcW w:w="2969" w:type="dxa"/>
          </w:tcPr>
          <w:p w:rsidR="00B53F64" w:rsidRPr="00D873E8" w:rsidRDefault="005D1261" w:rsidP="00D91121">
            <w:pPr>
              <w:pStyle w:val="NormalWeb"/>
              <w:rPr>
                <w:sz w:val="20"/>
                <w:szCs w:val="20"/>
              </w:rPr>
            </w:pPr>
            <w:r w:rsidRPr="00D873E8">
              <w:rPr>
                <w:sz w:val="20"/>
                <w:szCs w:val="20"/>
              </w:rPr>
              <w:t>Returns the absolute value of an 8-bit signed integer.</w:t>
            </w:r>
          </w:p>
        </w:tc>
        <w:tc>
          <w:tcPr>
            <w:tcW w:w="3219" w:type="dxa"/>
          </w:tcPr>
          <w:p w:rsidR="00B53F64" w:rsidRPr="00D873E8" w:rsidRDefault="00CF3BE8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Abs(125) = 125</w:t>
            </w:r>
          </w:p>
          <w:p w:rsidR="00C91AA4" w:rsidRPr="00D873E8" w:rsidRDefault="00C91AA4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Abs(128)=</w:t>
            </w:r>
            <w:r w:rsidR="007941BA"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#Error</w:t>
            </w:r>
          </w:p>
        </w:tc>
      </w:tr>
      <w:tr w:rsidR="00B53F64" w:rsidRPr="00D91121" w:rsidTr="00D91121">
        <w:trPr>
          <w:trHeight w:val="357"/>
        </w:trPr>
        <w:tc>
          <w:tcPr>
            <w:tcW w:w="3093" w:type="dxa"/>
          </w:tcPr>
          <w:p w:rsidR="00B53F64" w:rsidRPr="00D873E8" w:rsidRDefault="00F10A8F" w:rsidP="00D911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anchor="System_Math_Abs_System_Single_" w:history="1">
              <w:r w:rsidR="00961E1D" w:rsidRPr="00D873E8">
                <w:rPr>
                  <w:rStyle w:val="Hyperlink"/>
                  <w:rFonts w:ascii="Times New Roman" w:hAnsi="Times New Roman" w:cs="Times New Roman"/>
                  <w:color w:val="auto"/>
                  <w:sz w:val="20"/>
                  <w:szCs w:val="20"/>
                  <w:u w:val="none"/>
                  <w:shd w:val="clear" w:color="auto" w:fill="FFFFFF"/>
                </w:rPr>
                <w:t>Abs(Single)</w:t>
              </w:r>
            </w:hyperlink>
          </w:p>
        </w:tc>
        <w:tc>
          <w:tcPr>
            <w:tcW w:w="2969" w:type="dxa"/>
          </w:tcPr>
          <w:p w:rsidR="00B53F64" w:rsidRPr="00D873E8" w:rsidRDefault="006221A0" w:rsidP="00D911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73E8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Returns the absolute value of a single-precision floating-point number.</w:t>
            </w:r>
          </w:p>
        </w:tc>
        <w:tc>
          <w:tcPr>
            <w:tcW w:w="3219" w:type="dxa"/>
          </w:tcPr>
          <w:p w:rsidR="00B53F64" w:rsidRPr="00D873E8" w:rsidRDefault="00345C70" w:rsidP="00D91121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73E8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AFAFA"/>
              </w:rPr>
              <w:t>Abs(-3.402823E+38) =3.402823E+38</w:t>
            </w:r>
          </w:p>
        </w:tc>
      </w:tr>
    </w:tbl>
    <w:p w:rsidR="00B53F64" w:rsidRPr="005E1382" w:rsidRDefault="00B53F64" w:rsidP="00B53F6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</w:pPr>
      <w:r w:rsidRPr="00B53F64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  <w:t>Math.Abs Method</w:t>
      </w:r>
      <w:r w:rsidRPr="005E1382"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  <w:t>:</w:t>
      </w:r>
    </w:p>
    <w:p w:rsidR="00D91121" w:rsidRPr="005E1382" w:rsidRDefault="00D91121" w:rsidP="00B53F6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</w:pPr>
    </w:p>
    <w:p w:rsidR="00D91121" w:rsidRPr="00B53F64" w:rsidRDefault="00D91121" w:rsidP="00B53F64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71717"/>
          <w:kern w:val="36"/>
          <w:sz w:val="24"/>
          <w:szCs w:val="24"/>
          <w:u w:val="single"/>
          <w:lang w:eastAsia="en-IN"/>
        </w:rPr>
      </w:pPr>
      <w:r w:rsidRPr="005E138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In </w:t>
      </w:r>
      <w:r w:rsidR="002830FB" w:rsidRPr="005E1382">
        <w:rPr>
          <w:rFonts w:ascii="Times New Roman" w:hAnsi="Times New Roman" w:cs="Times New Roman"/>
          <w:color w:val="222222"/>
          <w:sz w:val="21"/>
          <w:szCs w:val="21"/>
          <w:shd w:val="clear" w:color="auto" w:fill="FFFFFF"/>
        </w:rPr>
        <w:t xml:space="preserve">Mathematics, The Absolute Value Or Modulus Of A Real Number </w:t>
      </w:r>
    </w:p>
    <w:p w:rsidR="00356CD1" w:rsidRDefault="00356CD1"/>
    <w:p w:rsidR="002830FB" w:rsidRDefault="005E1382" w:rsidP="005E138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r w:rsidRPr="00975A53">
        <w:rPr>
          <w:color w:val="171717"/>
          <w:sz w:val="24"/>
          <w:szCs w:val="24"/>
          <w:u w:val="single"/>
        </w:rPr>
        <w:t>Math.Ceiling Method</w:t>
      </w:r>
      <w:r w:rsidR="002830FB">
        <w:rPr>
          <w:color w:val="171717"/>
          <w:sz w:val="24"/>
          <w:szCs w:val="24"/>
          <w:u w:val="single"/>
        </w:rPr>
        <w:t xml:space="preserve"> </w:t>
      </w:r>
    </w:p>
    <w:p w:rsidR="002830FB" w:rsidRDefault="002830FB" w:rsidP="005E138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180"/>
      </w:tblGrid>
      <w:tr w:rsidR="002830FB" w:rsidTr="000E0D2E">
        <w:tc>
          <w:tcPr>
            <w:tcW w:w="2660" w:type="dxa"/>
          </w:tcPr>
          <w:p w:rsidR="002830FB" w:rsidRPr="000E0D2E" w:rsidRDefault="002830FB" w:rsidP="002830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3402" w:type="dxa"/>
          </w:tcPr>
          <w:p w:rsidR="002830FB" w:rsidRPr="000E0D2E" w:rsidRDefault="002830FB" w:rsidP="002830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Definition</w:t>
            </w:r>
          </w:p>
        </w:tc>
        <w:tc>
          <w:tcPr>
            <w:tcW w:w="3180" w:type="dxa"/>
          </w:tcPr>
          <w:p w:rsidR="002830FB" w:rsidRPr="000E0D2E" w:rsidRDefault="002830FB" w:rsidP="002830FB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1C5DC0" w:rsidTr="000E0D2E">
        <w:tc>
          <w:tcPr>
            <w:tcW w:w="2660" w:type="dxa"/>
          </w:tcPr>
          <w:p w:rsidR="001C5DC0" w:rsidRPr="00D873E8" w:rsidRDefault="00F10A8F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hyperlink r:id="rId15" w:anchor="System_Math_Ceiling_System_Double_" w:history="1">
              <w:proofErr w:type="gramStart"/>
              <w:r w:rsidR="001C5DC0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Ceiling(</w:t>
              </w:r>
              <w:proofErr w:type="gramEnd"/>
              <w:r w:rsidR="001C5DC0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Double)</w:t>
              </w:r>
            </w:hyperlink>
          </w:p>
        </w:tc>
        <w:tc>
          <w:tcPr>
            <w:tcW w:w="3402" w:type="dxa"/>
          </w:tcPr>
          <w:p w:rsidR="001C5DC0" w:rsidRPr="00D873E8" w:rsidRDefault="001C5DC0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Returns the smallest integral value based on data type range</w:t>
            </w:r>
          </w:p>
        </w:tc>
        <w:tc>
          <w:tcPr>
            <w:tcW w:w="3180" w:type="dxa"/>
          </w:tcPr>
          <w:p w:rsidR="001C5DC0" w:rsidRPr="00D873E8" w:rsidRDefault="001C5DC0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.03)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=7</w:t>
            </w:r>
          </w:p>
          <w:p w:rsidR="001C5DC0" w:rsidRPr="00D873E8" w:rsidRDefault="001C5DC0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6.64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)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=7</w:t>
            </w:r>
          </w:p>
          <w:p w:rsidR="001C5DC0" w:rsidRPr="00D873E8" w:rsidRDefault="001C5DC0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0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.03)</w:t>
            </w:r>
            <w:r w:rsidR="00F91B09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=1</w:t>
            </w:r>
          </w:p>
          <w:p w:rsidR="001C5DC0" w:rsidRPr="00D873E8" w:rsidRDefault="001C5DC0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.03)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=-6</w:t>
            </w:r>
          </w:p>
          <w:p w:rsidR="001C5DC0" w:rsidRPr="00D873E8" w:rsidRDefault="001C5DC0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-6.9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3)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=-6</w:t>
            </w:r>
          </w:p>
        </w:tc>
      </w:tr>
      <w:tr w:rsidR="001C5DC0" w:rsidTr="000E0D2E">
        <w:tc>
          <w:tcPr>
            <w:tcW w:w="2660" w:type="dxa"/>
          </w:tcPr>
          <w:p w:rsidR="001C5DC0" w:rsidRPr="00D873E8" w:rsidRDefault="00F10A8F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hyperlink r:id="rId16" w:anchor="System_Math_Ceiling_System_Decimal_" w:history="1">
              <w:proofErr w:type="gramStart"/>
              <w:r w:rsidR="001C5DC0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</w:rPr>
                <w:t>Ceiling(</w:t>
              </w:r>
              <w:proofErr w:type="gramEnd"/>
              <w:r w:rsidR="001C5DC0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</w:rPr>
                <w:t>Decimal)</w:t>
              </w:r>
            </w:hyperlink>
          </w:p>
        </w:tc>
        <w:tc>
          <w:tcPr>
            <w:tcW w:w="3402" w:type="dxa"/>
          </w:tcPr>
          <w:p w:rsidR="001C5DC0" w:rsidRPr="00D873E8" w:rsidRDefault="001C5DC0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Returns the smallest integral value based on data type range</w:t>
            </w:r>
          </w:p>
        </w:tc>
        <w:tc>
          <w:tcPr>
            <w:tcW w:w="3180" w:type="dxa"/>
          </w:tcPr>
          <w:p w:rsidR="000E0D2E" w:rsidRPr="00D873E8" w:rsidRDefault="000E0D2E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6.03)=7</w:t>
            </w:r>
          </w:p>
          <w:p w:rsidR="000E0D2E" w:rsidRPr="00D873E8" w:rsidRDefault="000E0D2E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6.64)=7</w:t>
            </w:r>
          </w:p>
          <w:p w:rsidR="000E0D2E" w:rsidRPr="00D873E8" w:rsidRDefault="000E0D2E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0.03)</w:t>
            </w:r>
            <w:r w:rsidR="00F91B09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=1</w:t>
            </w:r>
          </w:p>
          <w:p w:rsidR="000E0D2E" w:rsidRPr="00D873E8" w:rsidRDefault="000E0D2E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-6.03)=-6</w:t>
            </w:r>
          </w:p>
          <w:p w:rsidR="001C5DC0" w:rsidRPr="00D873E8" w:rsidRDefault="000E0D2E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Math.Ceiling(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-6.93)=-6</w:t>
            </w:r>
          </w:p>
        </w:tc>
      </w:tr>
    </w:tbl>
    <w:p w:rsidR="005E1382" w:rsidRDefault="005E1382" w:rsidP="005E138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D873E8" w:rsidRPr="00D873E8" w:rsidRDefault="00D873E8" w:rsidP="00D873E8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  <w:sz w:val="24"/>
          <w:szCs w:val="24"/>
          <w:u w:val="single"/>
        </w:rPr>
      </w:pPr>
      <w:r w:rsidRPr="00D873E8">
        <w:rPr>
          <w:rFonts w:ascii="Segoe UI" w:hAnsi="Segoe UI" w:cs="Segoe UI"/>
          <w:color w:val="171717"/>
          <w:sz w:val="24"/>
          <w:szCs w:val="24"/>
          <w:u w:val="single"/>
        </w:rPr>
        <w:t>Math.Floor Method</w:t>
      </w:r>
    </w:p>
    <w:p w:rsidR="000E0D2E" w:rsidRDefault="000E0D2E" w:rsidP="000E0D2E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180"/>
      </w:tblGrid>
      <w:tr w:rsidR="000E0D2E" w:rsidTr="007D3874">
        <w:tc>
          <w:tcPr>
            <w:tcW w:w="2660" w:type="dxa"/>
          </w:tcPr>
          <w:p w:rsidR="000E0D2E" w:rsidRPr="000E0D2E" w:rsidRDefault="000E0D2E" w:rsidP="007D38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3402" w:type="dxa"/>
          </w:tcPr>
          <w:p w:rsidR="000E0D2E" w:rsidRPr="000E0D2E" w:rsidRDefault="000E0D2E" w:rsidP="007D38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Definition</w:t>
            </w:r>
          </w:p>
        </w:tc>
        <w:tc>
          <w:tcPr>
            <w:tcW w:w="3180" w:type="dxa"/>
          </w:tcPr>
          <w:p w:rsidR="000E0D2E" w:rsidRPr="000E0D2E" w:rsidRDefault="000E0D2E" w:rsidP="007D387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0E0D2E" w:rsidTr="007D3874">
        <w:tc>
          <w:tcPr>
            <w:tcW w:w="2660" w:type="dxa"/>
          </w:tcPr>
          <w:p w:rsidR="000E0D2E" w:rsidRPr="00D873E8" w:rsidRDefault="00F10A8F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hyperlink r:id="rId17" w:anchor="System_Math_Ceiling_System_Double_" w:history="1">
              <w:proofErr w:type="gramStart"/>
              <w:r w:rsid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Floor</w:t>
              </w:r>
              <w:r w:rsidR="000E0D2E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(</w:t>
              </w:r>
              <w:proofErr w:type="gramEnd"/>
              <w:r w:rsidR="000E0D2E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  <w:shd w:val="clear" w:color="auto" w:fill="FFFFFF"/>
                </w:rPr>
                <w:t>Double)</w:t>
              </w:r>
            </w:hyperlink>
          </w:p>
        </w:tc>
        <w:tc>
          <w:tcPr>
            <w:tcW w:w="3402" w:type="dxa"/>
          </w:tcPr>
          <w:p w:rsidR="000E0D2E" w:rsidRPr="00D873E8" w:rsidRDefault="000E0D2E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Returns the </w:t>
            </w:r>
            <w:r w:rsidR="002E6528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largest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integral value based on data type range</w:t>
            </w:r>
          </w:p>
        </w:tc>
        <w:tc>
          <w:tcPr>
            <w:tcW w:w="3180" w:type="dxa"/>
          </w:tcPr>
          <w:p w:rsidR="000E0D2E" w:rsidRPr="00D873E8" w:rsidRDefault="002E6528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6.03)</w:t>
            </w:r>
            <w:r w:rsidR="00F91B09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=6</w:t>
            </w:r>
          </w:p>
          <w:p w:rsidR="000E0D2E" w:rsidRPr="00D873E8" w:rsidRDefault="002E6528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6.64)</w:t>
            </w:r>
            <w:r w:rsidR="00F91B09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=6</w:t>
            </w:r>
          </w:p>
          <w:p w:rsidR="000E0D2E" w:rsidRPr="00D873E8" w:rsidRDefault="002E6528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0.03)</w:t>
            </w:r>
            <w:r w:rsidR="00C828AD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=0</w:t>
            </w:r>
          </w:p>
          <w:p w:rsidR="000E0D2E" w:rsidRPr="00D873E8" w:rsidRDefault="002E6528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-6.03)</w:t>
            </w:r>
            <w:r w:rsidR="00C828AD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=-7</w:t>
            </w:r>
          </w:p>
          <w:p w:rsidR="000E0D2E" w:rsidRPr="00D873E8" w:rsidRDefault="002E6528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-6.93)</w:t>
            </w:r>
            <w:r w:rsidR="00C828AD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=-7</w:t>
            </w:r>
          </w:p>
        </w:tc>
      </w:tr>
      <w:tr w:rsidR="000E0D2E" w:rsidTr="007D3874">
        <w:tc>
          <w:tcPr>
            <w:tcW w:w="2660" w:type="dxa"/>
          </w:tcPr>
          <w:p w:rsidR="000E0D2E" w:rsidRPr="00D873E8" w:rsidRDefault="00F10A8F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hyperlink r:id="rId18" w:anchor="System_Math_Ceiling_System_Decimal_" w:history="1">
              <w:proofErr w:type="gramStart"/>
              <w:r w:rsid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</w:rPr>
                <w:t>Floor</w:t>
              </w:r>
              <w:r w:rsidR="000E0D2E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</w:rPr>
                <w:t>(</w:t>
              </w:r>
              <w:proofErr w:type="gramEnd"/>
              <w:r w:rsidR="000E0D2E" w:rsidRPr="00D873E8">
                <w:rPr>
                  <w:rStyle w:val="Hyperlink"/>
                  <w:b w:val="0"/>
                  <w:color w:val="000000" w:themeColor="text1"/>
                  <w:sz w:val="20"/>
                  <w:szCs w:val="20"/>
                  <w:u w:val="none"/>
                </w:rPr>
                <w:t>Decimal)</w:t>
              </w:r>
            </w:hyperlink>
          </w:p>
        </w:tc>
        <w:tc>
          <w:tcPr>
            <w:tcW w:w="3402" w:type="dxa"/>
          </w:tcPr>
          <w:p w:rsidR="000E0D2E" w:rsidRPr="00D873E8" w:rsidRDefault="002E6528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Returns the largest</w:t>
            </w:r>
            <w:r w:rsidR="000E0D2E" w:rsidRPr="00D873E8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integral value based on data type range</w:t>
            </w:r>
          </w:p>
        </w:tc>
        <w:tc>
          <w:tcPr>
            <w:tcW w:w="3180" w:type="dxa"/>
          </w:tcPr>
          <w:p w:rsidR="00C828AD" w:rsidRPr="00D873E8" w:rsidRDefault="00C828AD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6.03)</w:t>
            </w:r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=6</w:t>
            </w:r>
          </w:p>
          <w:p w:rsidR="00C828AD" w:rsidRPr="00D873E8" w:rsidRDefault="00C828AD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6.64)</w:t>
            </w:r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=6</w:t>
            </w:r>
          </w:p>
          <w:p w:rsidR="00C828AD" w:rsidRPr="00D873E8" w:rsidRDefault="00C828AD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0.03)</w:t>
            </w:r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=0</w:t>
            </w:r>
          </w:p>
          <w:p w:rsidR="00C828AD" w:rsidRPr="00D873E8" w:rsidRDefault="00C828AD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-6.03)</w:t>
            </w:r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=-7</w:t>
            </w:r>
          </w:p>
          <w:p w:rsidR="000E0D2E" w:rsidRPr="00D873E8" w:rsidRDefault="00C828AD" w:rsidP="00C76E2D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Math.Floor</w:t>
            </w:r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(</w:t>
            </w:r>
            <w:proofErr w:type="gramEnd"/>
            <w:r w:rsidRPr="00D873E8"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-6.93)</w:t>
            </w:r>
            <w:r>
              <w:rPr>
                <w:b w:val="0"/>
                <w:color w:val="000000" w:themeColor="text1"/>
                <w:sz w:val="20"/>
                <w:szCs w:val="20"/>
                <w:shd w:val="clear" w:color="auto" w:fill="FAFAFA"/>
              </w:rPr>
              <w:t>=-7</w:t>
            </w:r>
          </w:p>
        </w:tc>
      </w:tr>
    </w:tbl>
    <w:p w:rsidR="002830FB" w:rsidRPr="00975A53" w:rsidRDefault="002830FB" w:rsidP="005E138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466072" w:rsidRDefault="00466072" w:rsidP="0046607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466072" w:rsidRDefault="00466072" w:rsidP="0046607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466072" w:rsidRDefault="00466072" w:rsidP="0046607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C54575" w:rsidRDefault="00C54575" w:rsidP="0046607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</w:p>
    <w:p w:rsidR="00466072" w:rsidRDefault="00466072" w:rsidP="00466072">
      <w:pPr>
        <w:pStyle w:val="Heading1"/>
        <w:shd w:val="clear" w:color="auto" w:fill="FFFFFF"/>
        <w:spacing w:before="0" w:beforeAutospacing="0" w:after="0" w:afterAutospacing="0"/>
        <w:rPr>
          <w:color w:val="171717"/>
          <w:sz w:val="24"/>
          <w:szCs w:val="24"/>
          <w:u w:val="single"/>
        </w:rPr>
      </w:pPr>
      <w:proofErr w:type="gramStart"/>
      <w:r w:rsidRPr="00466072">
        <w:rPr>
          <w:color w:val="171717"/>
          <w:sz w:val="24"/>
          <w:szCs w:val="24"/>
          <w:u w:val="single"/>
        </w:rPr>
        <w:lastRenderedPageBreak/>
        <w:t>Math.Exp(</w:t>
      </w:r>
      <w:proofErr w:type="gramEnd"/>
      <w:r w:rsidRPr="00466072">
        <w:rPr>
          <w:color w:val="171717"/>
          <w:sz w:val="24"/>
          <w:szCs w:val="24"/>
          <w:u w:val="single"/>
        </w:rPr>
        <w:t>Double) Method</w:t>
      </w:r>
      <w:r w:rsidR="00C54575">
        <w:rPr>
          <w:color w:val="171717"/>
          <w:sz w:val="24"/>
          <w:szCs w:val="24"/>
          <w:u w:val="single"/>
        </w:rPr>
        <w:t>:</w:t>
      </w:r>
    </w:p>
    <w:p w:rsidR="00E169D9" w:rsidRDefault="00C54575" w:rsidP="00E169D9">
      <w:pPr>
        <w:pStyle w:val="NormalWeb"/>
        <w:shd w:val="clear" w:color="auto" w:fill="FFFFFF"/>
        <w:rPr>
          <w:rStyle w:val="Header"/>
          <w:rFonts w:ascii="Consolas" w:hAnsi="Consolas" w:cs="Consolas"/>
          <w:color w:val="171717"/>
        </w:rPr>
      </w:pPr>
      <w:r w:rsidRPr="00C54575">
        <w:rPr>
          <w:color w:val="171717"/>
          <w:sz w:val="20"/>
          <w:szCs w:val="20"/>
          <w:shd w:val="clear" w:color="auto" w:fill="FFFFFF"/>
        </w:rPr>
        <w:t>Returns </w:t>
      </w:r>
      <w:r w:rsidRPr="00C54575">
        <w:rPr>
          <w:rStyle w:val="HTMLCode"/>
          <w:rFonts w:ascii="Times New Roman" w:hAnsi="Times New Roman" w:cs="Times New Roman"/>
          <w:color w:val="171717"/>
        </w:rPr>
        <w:t>e</w:t>
      </w:r>
      <w:r w:rsidRPr="00C54575">
        <w:rPr>
          <w:color w:val="171717"/>
          <w:sz w:val="20"/>
          <w:szCs w:val="20"/>
          <w:shd w:val="clear" w:color="auto" w:fill="FFFFFF"/>
        </w:rPr>
        <w:t> </w:t>
      </w:r>
      <w:proofErr w:type="gramStart"/>
      <w:r w:rsidRPr="00C54575">
        <w:rPr>
          <w:color w:val="171717"/>
          <w:sz w:val="20"/>
          <w:szCs w:val="20"/>
          <w:shd w:val="clear" w:color="auto" w:fill="FFFFFF"/>
        </w:rPr>
        <w:t>raised</w:t>
      </w:r>
      <w:proofErr w:type="gramEnd"/>
      <w:r w:rsidRPr="00C54575">
        <w:rPr>
          <w:color w:val="171717"/>
          <w:sz w:val="20"/>
          <w:szCs w:val="20"/>
          <w:shd w:val="clear" w:color="auto" w:fill="FFFFFF"/>
        </w:rPr>
        <w:t xml:space="preserve"> to the specified power.</w:t>
      </w:r>
      <w:r w:rsidRPr="00C54575">
        <w:rPr>
          <w:color w:val="000000" w:themeColor="text1"/>
          <w:sz w:val="20"/>
          <w:szCs w:val="20"/>
          <w:shd w:val="clear" w:color="auto" w:fill="FFFFFF"/>
        </w:rPr>
        <w:t>The number </w:t>
      </w:r>
      <w:r w:rsidRPr="00C54575">
        <w:rPr>
          <w:rStyle w:val="HTMLCode"/>
          <w:rFonts w:ascii="Times New Roman" w:hAnsi="Times New Roman" w:cs="Times New Roman"/>
          <w:color w:val="000000" w:themeColor="text1"/>
        </w:rPr>
        <w:t>e</w:t>
      </w:r>
      <w:r w:rsidRPr="00C54575">
        <w:rPr>
          <w:color w:val="000000" w:themeColor="text1"/>
          <w:sz w:val="20"/>
          <w:szCs w:val="20"/>
          <w:shd w:val="clear" w:color="auto" w:fill="FFFFFF"/>
        </w:rPr>
        <w:t> raised to the power </w:t>
      </w:r>
      <w:r w:rsidRPr="00C54575">
        <w:rPr>
          <w:rStyle w:val="HTMLCode"/>
          <w:rFonts w:ascii="Times New Roman" w:hAnsi="Times New Roman" w:cs="Times New Roman"/>
          <w:color w:val="000000" w:themeColor="text1"/>
        </w:rPr>
        <w:t>d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C54575">
        <w:rPr>
          <w:color w:val="000000" w:themeColor="text1"/>
          <w:sz w:val="20"/>
          <w:szCs w:val="20"/>
          <w:shd w:val="clear" w:color="auto" w:fill="FFFFFF"/>
        </w:rPr>
        <w:t>If </w:t>
      </w:r>
      <w:r w:rsidRPr="00C54575">
        <w:rPr>
          <w:rStyle w:val="HTMLCode"/>
          <w:rFonts w:ascii="Times New Roman" w:hAnsi="Times New Roman" w:cs="Times New Roman"/>
          <w:color w:val="000000" w:themeColor="text1"/>
        </w:rPr>
        <w:t>d</w:t>
      </w:r>
      <w:r w:rsidRPr="00C54575">
        <w:rPr>
          <w:color w:val="000000" w:themeColor="text1"/>
          <w:sz w:val="20"/>
          <w:szCs w:val="20"/>
          <w:shd w:val="clear" w:color="auto" w:fill="FFFFFF"/>
        </w:rPr>
        <w:t> equals </w:t>
      </w:r>
      <w:hyperlink r:id="rId19" w:history="1">
        <w:r w:rsidRPr="00C54575">
          <w:rPr>
            <w:rStyle w:val="Hyperlink"/>
            <w:color w:val="000000" w:themeColor="text1"/>
            <w:sz w:val="20"/>
            <w:szCs w:val="20"/>
            <w:u w:val="none"/>
            <w:shd w:val="clear" w:color="auto" w:fill="FFFFFF"/>
          </w:rPr>
          <w:t>NaN</w:t>
        </w:r>
      </w:hyperlink>
      <w:r w:rsidRPr="00C54575">
        <w:rPr>
          <w:color w:val="000000" w:themeColor="text1"/>
          <w:sz w:val="20"/>
          <w:szCs w:val="20"/>
          <w:shd w:val="clear" w:color="auto" w:fill="FFFFFF"/>
        </w:rPr>
        <w:t> or </w:t>
      </w:r>
      <w:hyperlink r:id="rId20" w:history="1">
        <w:r w:rsidRPr="00C54575">
          <w:rPr>
            <w:rStyle w:val="Hyperlink"/>
            <w:color w:val="000000" w:themeColor="text1"/>
            <w:sz w:val="20"/>
            <w:szCs w:val="20"/>
            <w:u w:val="none"/>
            <w:shd w:val="clear" w:color="auto" w:fill="FFFFFF"/>
          </w:rPr>
          <w:t>PositiveInfinity</w:t>
        </w:r>
      </w:hyperlink>
      <w:r w:rsidRPr="00C54575">
        <w:rPr>
          <w:color w:val="000000" w:themeColor="text1"/>
          <w:sz w:val="20"/>
          <w:szCs w:val="20"/>
          <w:shd w:val="clear" w:color="auto" w:fill="FFFFFF"/>
        </w:rPr>
        <w:t>, that value is returned. If </w:t>
      </w:r>
      <w:r w:rsidRPr="00C54575">
        <w:rPr>
          <w:rStyle w:val="HTMLCode"/>
          <w:rFonts w:ascii="Times New Roman" w:hAnsi="Times New Roman" w:cs="Times New Roman"/>
          <w:color w:val="000000" w:themeColor="text1"/>
        </w:rPr>
        <w:t>d</w:t>
      </w:r>
      <w:r w:rsidRPr="00C54575">
        <w:rPr>
          <w:color w:val="000000" w:themeColor="text1"/>
          <w:sz w:val="20"/>
          <w:szCs w:val="20"/>
          <w:shd w:val="clear" w:color="auto" w:fill="FFFFFF"/>
        </w:rPr>
        <w:t> equals </w:t>
      </w:r>
      <w:hyperlink r:id="rId21" w:history="1">
        <w:r w:rsidRPr="00C54575">
          <w:rPr>
            <w:rStyle w:val="Hyperlink"/>
            <w:color w:val="000000" w:themeColor="text1"/>
            <w:sz w:val="20"/>
            <w:szCs w:val="20"/>
            <w:u w:val="none"/>
            <w:shd w:val="clear" w:color="auto" w:fill="FFFFFF"/>
          </w:rPr>
          <w:t>NegativeInfinity</w:t>
        </w:r>
      </w:hyperlink>
      <w:r w:rsidRPr="00C54575">
        <w:rPr>
          <w:color w:val="000000" w:themeColor="text1"/>
          <w:sz w:val="20"/>
          <w:szCs w:val="20"/>
          <w:shd w:val="clear" w:color="auto" w:fill="FFFFFF"/>
        </w:rPr>
        <w:t>, 0 is returned.</w:t>
      </w:r>
      <w:r w:rsidRPr="00C54575">
        <w:rPr>
          <w:rStyle w:val="HTMLCode"/>
          <w:rFonts w:ascii="Times New Roman" w:hAnsi="Times New Roman" w:cs="Times New Roman"/>
          <w:color w:val="171717"/>
        </w:rPr>
        <w:t>e</w:t>
      </w:r>
      <w:r w:rsidRPr="00C54575">
        <w:rPr>
          <w:color w:val="171717"/>
          <w:sz w:val="20"/>
          <w:szCs w:val="20"/>
          <w:shd w:val="clear" w:color="auto" w:fill="FFFFFF"/>
        </w:rPr>
        <w:t> is a mathematical constant whose value is approximately 2.71828.</w:t>
      </w:r>
      <w:r w:rsidR="00E169D9" w:rsidRPr="00E169D9">
        <w:rPr>
          <w:rStyle w:val="Header"/>
          <w:rFonts w:ascii="Consolas" w:hAnsi="Consolas" w:cs="Consolas"/>
          <w:color w:val="171717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3402"/>
        <w:gridCol w:w="3180"/>
      </w:tblGrid>
      <w:tr w:rsidR="00186C69" w:rsidRPr="000E0D2E" w:rsidTr="00263825">
        <w:tc>
          <w:tcPr>
            <w:tcW w:w="2660" w:type="dxa"/>
          </w:tcPr>
          <w:p w:rsidR="00186C69" w:rsidRPr="000E0D2E" w:rsidRDefault="00186C69" w:rsidP="0026382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Method</w:t>
            </w:r>
          </w:p>
        </w:tc>
        <w:tc>
          <w:tcPr>
            <w:tcW w:w="3402" w:type="dxa"/>
          </w:tcPr>
          <w:p w:rsidR="00186C69" w:rsidRPr="000E0D2E" w:rsidRDefault="00186C69" w:rsidP="0026382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Definition</w:t>
            </w:r>
          </w:p>
        </w:tc>
        <w:tc>
          <w:tcPr>
            <w:tcW w:w="3180" w:type="dxa"/>
          </w:tcPr>
          <w:p w:rsidR="00186C69" w:rsidRPr="000E0D2E" w:rsidRDefault="00186C69" w:rsidP="0026382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E0D2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186C69" w:rsidRPr="00D873E8" w:rsidTr="00263825">
        <w:tc>
          <w:tcPr>
            <w:tcW w:w="2660" w:type="dxa"/>
          </w:tcPr>
          <w:p w:rsidR="00186C69" w:rsidRPr="00D873E8" w:rsidRDefault="00186C69" w:rsidP="00263825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Style w:val="hljs-title"/>
                <w:rFonts w:ascii="Consolas" w:hAnsi="Consolas" w:cs="Consolas"/>
                <w:color w:val="007D9A"/>
                <w:sz w:val="21"/>
                <w:szCs w:val="21"/>
                <w:shd w:val="clear" w:color="auto" w:fill="FAFAFA"/>
              </w:rPr>
              <w:t>Exp</w:t>
            </w:r>
            <w:proofErr w:type="spellEnd"/>
            <w:r>
              <w:rPr>
                <w:rStyle w:val="hljs-function"/>
                <w:rFonts w:ascii="Consolas" w:hAnsi="Consolas" w:cs="Consolas"/>
                <w:color w:val="171717"/>
                <w:sz w:val="21"/>
                <w:szCs w:val="21"/>
                <w:shd w:val="clear" w:color="auto" w:fill="FAFAFA"/>
              </w:rPr>
              <w:t xml:space="preserve"> (</w:t>
            </w:r>
            <w:r>
              <w:rPr>
                <w:rStyle w:val="hljs-keyword"/>
                <w:rFonts w:ascii="Consolas" w:hAnsi="Consolas" w:cs="Consolas"/>
                <w:color w:val="0101FD"/>
                <w:sz w:val="21"/>
                <w:szCs w:val="21"/>
                <w:shd w:val="clear" w:color="auto" w:fill="FAFAFA"/>
              </w:rPr>
              <w:t>double</w:t>
            </w:r>
            <w:r>
              <w:rPr>
                <w:rStyle w:val="hljs-params"/>
                <w:rFonts w:ascii="Consolas" w:hAnsi="Consolas" w:cs="Consolas"/>
                <w:color w:val="171717"/>
                <w:sz w:val="21"/>
                <w:szCs w:val="21"/>
                <w:shd w:val="clear" w:color="auto" w:fill="FAFAFA"/>
              </w:rPr>
              <w:t xml:space="preserve"> d</w:t>
            </w:r>
            <w:r>
              <w:rPr>
                <w:rStyle w:val="hljs-function"/>
                <w:rFonts w:ascii="Consolas" w:hAnsi="Consolas" w:cs="Consolas"/>
                <w:color w:val="171717"/>
                <w:sz w:val="21"/>
                <w:szCs w:val="21"/>
                <w:shd w:val="clear" w:color="auto" w:fill="FAFAFA"/>
              </w:rPr>
              <w:t>)</w:t>
            </w:r>
            <w:r>
              <w:rPr>
                <w:rFonts w:ascii="Consolas" w:hAnsi="Consolas" w:cs="Consolas"/>
                <w:color w:val="171717"/>
                <w:sz w:val="21"/>
                <w:szCs w:val="21"/>
                <w:shd w:val="clear" w:color="auto" w:fill="FAFAFA"/>
              </w:rPr>
              <w:t>;</w:t>
            </w:r>
            <w:bookmarkStart w:id="0" w:name="_GoBack"/>
            <w:bookmarkEnd w:id="0"/>
          </w:p>
        </w:tc>
        <w:tc>
          <w:tcPr>
            <w:tcW w:w="3402" w:type="dxa"/>
          </w:tcPr>
          <w:p w:rsidR="00186C69" w:rsidRPr="00D873E8" w:rsidRDefault="00186C69" w:rsidP="00263825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20"/>
                <w:szCs w:val="20"/>
              </w:rPr>
            </w:pPr>
            <w:r w:rsidRPr="00186C69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Returns </w:t>
            </w:r>
            <w:proofErr w:type="spellStart"/>
            <w:r w:rsidRPr="00186C69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e</w:t>
            </w:r>
            <w:proofErr w:type="spellEnd"/>
            <w:r w:rsidRPr="00186C69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 w:rsidRPr="00186C69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>raised</w:t>
            </w:r>
            <w:proofErr w:type="gramEnd"/>
            <w:r w:rsidRPr="00186C69">
              <w:rPr>
                <w:b w:val="0"/>
                <w:color w:val="000000" w:themeColor="text1"/>
                <w:sz w:val="20"/>
                <w:szCs w:val="20"/>
                <w:shd w:val="clear" w:color="auto" w:fill="FFFFFF"/>
              </w:rPr>
              <w:t xml:space="preserve"> to the specified power.</w:t>
            </w:r>
          </w:p>
        </w:tc>
        <w:tc>
          <w:tcPr>
            <w:tcW w:w="3180" w:type="dxa"/>
          </w:tcPr>
          <w:p w:rsidR="00186C69" w:rsidRPr="00186C69" w:rsidRDefault="00186C69" w:rsidP="00263825">
            <w:pPr>
              <w:pStyle w:val="Heading1"/>
              <w:spacing w:before="0" w:beforeAutospacing="0" w:after="0" w:afterAutospacing="0"/>
              <w:jc w:val="center"/>
              <w:outlineLvl w:val="0"/>
              <w:rPr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186C69">
              <w:rPr>
                <w:b w:val="0"/>
                <w:color w:val="000000" w:themeColor="text1"/>
                <w:sz w:val="18"/>
                <w:szCs w:val="18"/>
                <w:shd w:val="clear" w:color="auto" w:fill="FAFAFA"/>
              </w:rPr>
              <w:t>Math.Exp</w:t>
            </w:r>
            <w:proofErr w:type="spellEnd"/>
            <w:r w:rsidRPr="00186C69">
              <w:rPr>
                <w:b w:val="0"/>
                <w:color w:val="000000" w:themeColor="text1"/>
                <w:sz w:val="18"/>
                <w:szCs w:val="18"/>
                <w:shd w:val="clear" w:color="auto" w:fill="FAFAFA"/>
              </w:rPr>
              <w:t>(</w:t>
            </w:r>
            <w:proofErr w:type="gramEnd"/>
            <w:r w:rsidRPr="00186C69">
              <w:rPr>
                <w:b w:val="0"/>
                <w:color w:val="000000" w:themeColor="text1"/>
                <w:sz w:val="18"/>
                <w:szCs w:val="18"/>
                <w:shd w:val="clear" w:color="auto" w:fill="FAFAFA"/>
              </w:rPr>
              <w:t>0.1 + 1.2) == 3.6692966676192444E+000</w:t>
            </w:r>
          </w:p>
        </w:tc>
      </w:tr>
    </w:tbl>
    <w:p w:rsidR="00186C69" w:rsidRDefault="00186C69" w:rsidP="00E169D9">
      <w:pPr>
        <w:pStyle w:val="NormalWeb"/>
        <w:shd w:val="clear" w:color="auto" w:fill="FFFFFF"/>
        <w:rPr>
          <w:rFonts w:ascii="Segoe UI" w:hAnsi="Segoe UI" w:cs="Segoe UI"/>
          <w:color w:val="171717"/>
        </w:rPr>
      </w:pPr>
    </w:p>
    <w:p w:rsidR="00C54575" w:rsidRPr="00C54575" w:rsidRDefault="00C54575" w:rsidP="00C54575">
      <w:pPr>
        <w:pStyle w:val="Heading1"/>
        <w:shd w:val="clear" w:color="auto" w:fill="FFFFFF"/>
        <w:spacing w:before="0" w:beforeAutospacing="0" w:after="0" w:afterAutospacing="0"/>
        <w:rPr>
          <w:b w:val="0"/>
          <w:color w:val="000000" w:themeColor="text1"/>
          <w:sz w:val="20"/>
          <w:szCs w:val="20"/>
        </w:rPr>
      </w:pPr>
    </w:p>
    <w:p w:rsidR="005E1382" w:rsidRDefault="005E1382"/>
    <w:sectPr w:rsidR="005E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8F" w:rsidRDefault="00F10A8F" w:rsidP="00B53F64">
      <w:pPr>
        <w:spacing w:after="0" w:line="240" w:lineRule="auto"/>
      </w:pPr>
      <w:r>
        <w:separator/>
      </w:r>
    </w:p>
  </w:endnote>
  <w:endnote w:type="continuationSeparator" w:id="0">
    <w:p w:rsidR="00F10A8F" w:rsidRDefault="00F10A8F" w:rsidP="00B53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8F" w:rsidRDefault="00F10A8F" w:rsidP="00B53F64">
      <w:pPr>
        <w:spacing w:after="0" w:line="240" w:lineRule="auto"/>
      </w:pPr>
      <w:r>
        <w:separator/>
      </w:r>
    </w:p>
  </w:footnote>
  <w:footnote w:type="continuationSeparator" w:id="0">
    <w:p w:rsidR="00F10A8F" w:rsidRDefault="00F10A8F" w:rsidP="00B53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F64"/>
    <w:rsid w:val="0002510B"/>
    <w:rsid w:val="000C392F"/>
    <w:rsid w:val="000E0D2E"/>
    <w:rsid w:val="00186C69"/>
    <w:rsid w:val="001B0D3E"/>
    <w:rsid w:val="001C5DC0"/>
    <w:rsid w:val="002830FB"/>
    <w:rsid w:val="002E6528"/>
    <w:rsid w:val="003425B5"/>
    <w:rsid w:val="00345C70"/>
    <w:rsid w:val="00356CD1"/>
    <w:rsid w:val="003D29EE"/>
    <w:rsid w:val="00466072"/>
    <w:rsid w:val="00474FD6"/>
    <w:rsid w:val="004A7548"/>
    <w:rsid w:val="00572833"/>
    <w:rsid w:val="005A2B89"/>
    <w:rsid w:val="005D1261"/>
    <w:rsid w:val="005E1382"/>
    <w:rsid w:val="006221A0"/>
    <w:rsid w:val="007941BA"/>
    <w:rsid w:val="0088522B"/>
    <w:rsid w:val="00961E1D"/>
    <w:rsid w:val="00975A53"/>
    <w:rsid w:val="00B53F64"/>
    <w:rsid w:val="00BC1002"/>
    <w:rsid w:val="00BD36CC"/>
    <w:rsid w:val="00BD514E"/>
    <w:rsid w:val="00BE3FF6"/>
    <w:rsid w:val="00C233E9"/>
    <w:rsid w:val="00C54575"/>
    <w:rsid w:val="00C76E2D"/>
    <w:rsid w:val="00C828AD"/>
    <w:rsid w:val="00C91AA4"/>
    <w:rsid w:val="00CF3BE8"/>
    <w:rsid w:val="00D873E8"/>
    <w:rsid w:val="00D91121"/>
    <w:rsid w:val="00E169D9"/>
    <w:rsid w:val="00F10A8F"/>
    <w:rsid w:val="00F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64"/>
  </w:style>
  <w:style w:type="paragraph" w:styleId="Footer">
    <w:name w:val="footer"/>
    <w:basedOn w:val="Normal"/>
    <w:link w:val="FooterChar"/>
    <w:uiPriority w:val="99"/>
    <w:unhideWhenUsed/>
    <w:rsid w:val="00B5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64"/>
  </w:style>
  <w:style w:type="character" w:customStyle="1" w:styleId="Heading1Char">
    <w:name w:val="Heading 1 Char"/>
    <w:basedOn w:val="DefaultParagraphFont"/>
    <w:link w:val="Heading1"/>
    <w:uiPriority w:val="9"/>
    <w:rsid w:val="00B53F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1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8852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5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75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D514E"/>
  </w:style>
  <w:style w:type="character" w:customStyle="1" w:styleId="hljs-function">
    <w:name w:val="hljs-function"/>
    <w:basedOn w:val="DefaultParagraphFont"/>
    <w:rsid w:val="00186C69"/>
  </w:style>
  <w:style w:type="character" w:customStyle="1" w:styleId="hljs-title">
    <w:name w:val="hljs-title"/>
    <w:basedOn w:val="DefaultParagraphFont"/>
    <w:rsid w:val="00186C69"/>
  </w:style>
  <w:style w:type="character" w:customStyle="1" w:styleId="hljs-params">
    <w:name w:val="hljs-params"/>
    <w:basedOn w:val="DefaultParagraphFont"/>
    <w:rsid w:val="00186C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F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3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5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F64"/>
  </w:style>
  <w:style w:type="paragraph" w:styleId="Footer">
    <w:name w:val="footer"/>
    <w:basedOn w:val="Normal"/>
    <w:link w:val="FooterChar"/>
    <w:uiPriority w:val="99"/>
    <w:unhideWhenUsed/>
    <w:rsid w:val="00B53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F64"/>
  </w:style>
  <w:style w:type="character" w:customStyle="1" w:styleId="Heading1Char">
    <w:name w:val="Heading 1 Char"/>
    <w:basedOn w:val="DefaultParagraphFont"/>
    <w:link w:val="Heading1"/>
    <w:uiPriority w:val="9"/>
    <w:rsid w:val="00B53F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61E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61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comment">
    <w:name w:val="hljs-comment"/>
    <w:basedOn w:val="DefaultParagraphFont"/>
    <w:rsid w:val="008852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5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A75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D514E"/>
  </w:style>
  <w:style w:type="character" w:customStyle="1" w:styleId="hljs-function">
    <w:name w:val="hljs-function"/>
    <w:basedOn w:val="DefaultParagraphFont"/>
    <w:rsid w:val="00186C69"/>
  </w:style>
  <w:style w:type="character" w:customStyle="1" w:styleId="hljs-title">
    <w:name w:val="hljs-title"/>
    <w:basedOn w:val="DefaultParagraphFont"/>
    <w:rsid w:val="00186C69"/>
  </w:style>
  <w:style w:type="character" w:customStyle="1" w:styleId="hljs-params">
    <w:name w:val="hljs-params"/>
    <w:basedOn w:val="DefaultParagraphFont"/>
    <w:rsid w:val="0018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decimal?view=netframework-4.8" TargetMode="External"/><Relationship Id="rId13" Type="http://schemas.openxmlformats.org/officeDocument/2006/relationships/hyperlink" Target="https://docs.microsoft.com/en-us/dotnet/api/system.math.abs?view=netframework-4.8" TargetMode="External"/><Relationship Id="rId18" Type="http://schemas.openxmlformats.org/officeDocument/2006/relationships/hyperlink" Target="https://docs.microsoft.com/en-us/dotnet/api/system.math.ceiling?view=netframework-4.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dotnet/api/system.double.negativeinfinity?view=netframework-4.8" TargetMode="External"/><Relationship Id="rId7" Type="http://schemas.openxmlformats.org/officeDocument/2006/relationships/hyperlink" Target="https://docs.microsoft.com/en-us/dotnet/api/system.math.abs?view=netframework-4.8" TargetMode="External"/><Relationship Id="rId12" Type="http://schemas.openxmlformats.org/officeDocument/2006/relationships/hyperlink" Target="https://docs.microsoft.com/en-us/dotnet/api/system.math.abs?view=netframework-4.8" TargetMode="External"/><Relationship Id="rId17" Type="http://schemas.openxmlformats.org/officeDocument/2006/relationships/hyperlink" Target="https://docs.microsoft.com/en-us/dotnet/api/system.math.ceiling?view=netframework-4.8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microsoft.com/en-us/dotnet/api/system.math.ceiling?view=netframework-4.8" TargetMode="External"/><Relationship Id="rId20" Type="http://schemas.openxmlformats.org/officeDocument/2006/relationships/hyperlink" Target="https://docs.microsoft.com/en-us/dotnet/api/system.double.positiveinfinity?view=netframework-4.8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math.abs?view=netframework-4.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dotnet/api/system.math.ceiling?view=netframework-4.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microsoft.com/en-us/dotnet/api/system.math.abs?view=netframework-4.8" TargetMode="External"/><Relationship Id="rId19" Type="http://schemas.openxmlformats.org/officeDocument/2006/relationships/hyperlink" Target="https://docs.microsoft.com/en-us/dotnet/api/system.double.nan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math.abs?view=netframework-4.8" TargetMode="External"/><Relationship Id="rId14" Type="http://schemas.openxmlformats.org/officeDocument/2006/relationships/hyperlink" Target="https://docs.microsoft.com/en-us/dotnet/api/system.math.abs?view=netframework-4.8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Punith</dc:creator>
  <cp:lastModifiedBy>Punith</cp:lastModifiedBy>
  <cp:revision>37</cp:revision>
  <dcterms:created xsi:type="dcterms:W3CDTF">2020-01-12T14:35:00Z</dcterms:created>
  <dcterms:modified xsi:type="dcterms:W3CDTF">2020-01-12T17:44:00Z</dcterms:modified>
</cp:coreProperties>
</file>