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Relationship Id="rId6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Caldova New Market Launch Plan</w:t>
      </w:r>
    </w:p>
    <w:p>
      <w:r>
        <w:rPr>
          <w:b/>
          <w:sz w:val="24"/>
        </w:rPr>
        <w:t>Purpose</w:t>
      </w:r>
    </w:p>
    <w:p>
      <w:r>
        <w:t>Caldova Pharmaceuticals has six months to enter a new market. This plan defines the operational readiness requirements that must be considered before the launch.</w:t>
      </w:r>
    </w:p>
    <w:p>
      <w:r>
        <w:rPr>
          <w:b/>
          <w:sz w:val="24"/>
        </w:rPr>
        <w:t>Launch Readiness Requirements</w:t>
      </w:r>
    </w:p>
    <w:p>
      <w:pPr>
        <w:pStyle w:val="ListBullet"/>
      </w:pPr>
      <w:r>
        <w:t>Priority products must have sufficient inventory to support the planned launch.</w:t>
      </w:r>
    </w:p>
    <w:p>
      <w:pPr>
        <w:pStyle w:val="ListBullet"/>
      </w:pPr>
      <w:r>
        <w:t>Production plans must complete the required batches before the launch date.</w:t>
      </w:r>
    </w:p>
    <w:p>
      <w:pPr>
        <w:pStyle w:val="ListBullet"/>
      </w:pPr>
      <w:r>
        <w:t>Manufacturing plants must have sufficient available capacity for planned production.</w:t>
      </w:r>
    </w:p>
    <w:p>
      <w:pPr>
        <w:pStyle w:val="ListBullet"/>
      </w:pPr>
      <w:r>
        <w:t>New-market products should maintain at least 10% contingency capacity.</w:t>
      </w:r>
    </w:p>
    <w:p>
      <w:pPr>
        <w:pStyle w:val="ListBullet"/>
      </w:pPr>
      <w:r>
        <w:t>Equipment used for a planned batch must remain qualified for the complete batch execution period.</w:t>
      </w:r>
    </w:p>
    <w:p>
      <w:r>
        <w:rPr>
          <w:b/>
          <w:sz w:val="24"/>
        </w:rPr>
        <w:t>Launch Risk Assessment</w:t>
      </w:r>
    </w:p>
    <w:p>
      <w:pPr>
        <w:pStyle w:val="ListBullet"/>
      </w:pPr>
      <w:r>
        <w:t>A launch should be considered at risk when required inventory is below the planned requirement.</w:t>
      </w:r>
    </w:p>
    <w:p>
      <w:pPr>
        <w:pStyle w:val="ListBullet"/>
      </w:pPr>
      <w:r>
        <w:t>A launch should be considered at risk when plant capacity leaves less than the required contingency.</w:t>
      </w:r>
    </w:p>
    <w:p>
      <w:pPr>
        <w:pStyle w:val="ListBullet"/>
      </w:pPr>
      <w:r>
        <w:t>A launch should be considered at risk when a production batch cannot complete before the planned launch date.</w:t>
      </w:r>
    </w:p>
    <w:p>
      <w:pPr>
        <w:pStyle w:val="ListBullet"/>
      </w:pPr>
      <w:r>
        <w:t>A launch should be considered at risk when equipment qualification expires before the batch is completed.</w:t>
      </w:r>
    </w:p>
    <w:p>
      <w:r>
        <w:rPr>
          <w:b/>
          <w:sz w:val="24"/>
        </w:rPr>
        <w:t>Priority Product</w:t>
      </w:r>
    </w:p>
    <w:p>
      <w:r>
        <w:t>Product P0001 is a priority new-market product with a planned launch date of 15-Nov-2026. The final production batch is planned at plant PL01 from 08-Nov-2026 to 16-Nov-2026.</w:t>
      </w:r>
    </w:p>
    <w:p>
      <w:r>
        <w:rPr>
          <w:b/>
          <w:sz w:val="24"/>
        </w:rPr>
        <w:t>Decision and Escalation</w:t>
      </w:r>
    </w:p>
    <w:p>
      <w:r>
        <w:t>When a launch risk is identified, responsible teams should assess the issue, determine mitigation options, and escalate launch-critical risks according to the Launch Escalation Procedure. Consequential production actions require appropriate human approval when evidence is incomplete or the risk remains unresolved.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F8456C9A37174F9697FEE05264687A" ma:contentTypeVersion="18" ma:contentTypeDescription="Create a new document." ma:contentTypeScope="" ma:versionID="b8d2bb19dbae375176ebef2634d5ea68">
  <xsd:schema xmlns:xsd="http://www.w3.org/2001/XMLSchema" xmlns:xs="http://www.w3.org/2001/XMLSchema" xmlns:p="http://schemas.microsoft.com/office/2006/metadata/properties" xmlns:ns1="http://schemas.microsoft.com/sharepoint/v3" xmlns:ns2="ec089a45-ad55-4cc4-90af-853a1b422875" xmlns:ns3="f865f6a1-6f03-42c9-afc9-64084d4c4919" targetNamespace="http://schemas.microsoft.com/office/2006/metadata/properties" ma:root="true" ma:fieldsID="ba5bc1514cfe21d7903162f75a6c2de2" ns1:_="" ns2:_="" ns3:_="">
    <xsd:import namespace="http://schemas.microsoft.com/sharepoint/v3"/>
    <xsd:import namespace="ec089a45-ad55-4cc4-90af-853a1b422875"/>
    <xsd:import namespace="f865f6a1-6f03-42c9-afc9-64084d4c4919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DocTags" minOccurs="0"/>
                <xsd:element ref="ns2:HasDigitalSignature" minOccurs="0"/>
                <xsd:element ref="ns2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89a45-ad55-4cc4-90af-853a1b422875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3" nillable="true" ma:displayName="MediaServiceDocTags" ma:hidden="true" ma:internalName="MediaServiceDocTags" ma:readOnly="true">
      <xsd:simpleType>
        <xsd:restriction base="dms:Note"/>
      </xsd:simpleType>
    </xsd:element>
    <xsd:element name="HasDigitalSignature" ma:index="24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25" nillable="true" ma:displayName="Signature provider" ma:internalName="DigitalSignatureProvider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5f6a1-6f03-42c9-afc9-64084d4c491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bc3eab0-eaef-4277-95e6-cf36de915a0b}" ma:internalName="TaxCatchAll" ma:showField="CatchAllData" ma:web="f865f6a1-6f03-42c9-afc9-64084d4c4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865f6a1-6f03-42c9-afc9-64084d4c4919" xsi:nil="true"/>
    <_ip_UnifiedCompliancePolicyProperties xmlns="http://schemas.microsoft.com/sharepoint/v3" xsi:nil="true"/>
    <lcf76f155ced4ddcb4097134ff3c332f xmlns="ec089a45-ad55-4cc4-90af-853a1b4228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A8384B-6867-4DDA-BC4A-F8CF3B50D7A1}"/>
</file>

<file path=customXml/itemProps3.xml><?xml version="1.0" encoding="utf-8"?>
<ds:datastoreItem xmlns:ds="http://schemas.openxmlformats.org/officeDocument/2006/customXml" ds:itemID="{43D7F75B-6574-4C48-A3C9-1099A59C730C}"/>
</file>

<file path=customXml/itemProps4.xml><?xml version="1.0" encoding="utf-8"?>
<ds:datastoreItem xmlns:ds="http://schemas.openxmlformats.org/officeDocument/2006/customXml" ds:itemID="{4C5BB2FA-08BA-4B1A-AEA4-6B56B6DB1104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0x0101002EF8456C9A37174F9697FEE05264687A</vt:lpwstr>
  </property>
  <property fmtid="{D5CDD505-2E9C-101B-9397-08002B2CF9AE}" pid="3" name="MediaServiceImageTags">
    <vt:lpwstr/>
  </property>
</Properties>
</file>