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 Id="rId6" Type="http://schemas.microsoft.com/office/2020/02/relationships/classificationlabels" Target="docMetadata/LabelInfo.xml"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4"/>
        </w:rPr>
        <w:t>Caldova Business Roles and Responsibilities</w:t>
      </w:r>
    </w:p>
    <w:p>
      <w:pPr>
        <w:jc w:val="center"/>
      </w:pPr>
      <w:r>
        <w:rPr>
          <w:i/>
          <w:sz w:val="20"/>
        </w:rPr>
        <w:t>Cross-functional ownership for launch-readiness decisions</w:t>
      </w:r>
    </w:p>
    <w:p/>
    <w:p>
      <w:pPr>
        <w:pStyle w:val="Heading1"/>
      </w:pPr>
      <w:r>
        <w:t>1. Purpose</w:t>
      </w:r>
    </w:p>
    <w:p>
      <w:pPr/>
      <w:r>
        <w:t>This document describes typical responsibilities of teams involved in resolving issues that may affect Caldova’s planned product launch. It helps the agent explain who should be involved without claiming it can approve decisions on their behalf.</w:t>
      </w:r>
    </w:p>
    <w:p>
      <w:pPr>
        <w:pStyle w:val="Heading1"/>
      </w:pPr>
      <w:r>
        <w:t>2. Manufacturing and Production Planning</w:t>
      </w:r>
    </w:p>
    <w:p>
      <w:pPr/>
      <w:r>
        <w:t>Review plant capacity, production plans, batch schedules, line availability, and scheduling conflicts.</w:t>
      </w:r>
    </w:p>
    <w:p>
      <w:pPr/>
      <w:r>
        <w:t>Identify feasible recovery options and provide evidence for proposed schedule changes.</w:t>
      </w:r>
    </w:p>
    <w:p>
      <w:pPr/>
      <w:r>
        <w:t>Confirm operational assumptions with planning owners before communicating revised commitments.</w:t>
      </w:r>
    </w:p>
    <w:p>
      <w:pPr>
        <w:pStyle w:val="Heading1"/>
      </w:pPr>
      <w:r>
        <w:t>3. Supply Chain and Inventory Planning</w:t>
      </w:r>
    </w:p>
    <w:p>
      <w:pPr/>
      <w:r>
        <w:t>Review inventory availability, material constraints, replenishment timing, and supply dependencies.</w:t>
      </w:r>
    </w:p>
    <w:p>
      <w:pPr/>
      <w:r>
        <w:t>Assess whether a shortage could affect planned production or launch supply.</w:t>
      </w:r>
    </w:p>
    <w:p>
      <w:pPr/>
      <w:r>
        <w:t>Coordinate supply alternatives and communicate inventory risks to the launch team.</w:t>
      </w:r>
    </w:p>
    <w:p>
      <w:pPr>
        <w:pStyle w:val="Heading1"/>
      </w:pPr>
      <w:r>
        <w:t>4. Quality and Equipment Qualification</w:t>
      </w:r>
    </w:p>
    <w:p>
      <w:pPr/>
      <w:r>
        <w:t>Review applicable quality procedures, qualification status, and quality risks.</w:t>
      </w:r>
    </w:p>
    <w:p>
      <w:pPr/>
      <w:r>
        <w:t>Determine whether quality reviews or approvals are needed before a batch or equipment can be used.</w:t>
      </w:r>
    </w:p>
    <w:p>
      <w:pPr/>
      <w:r>
        <w:t>Do not treat a schedule benefit as permission to bypass qualification, batch-release, or other applicable quality requirements.</w:t>
      </w:r>
    </w:p>
    <w:p>
      <w:pPr>
        <w:pStyle w:val="Heading1"/>
      </w:pPr>
      <w:r>
        <w:t>5. Launch Management</w:t>
      </w:r>
    </w:p>
    <w:p>
      <w:pPr/>
      <w:r>
        <w:t>Maintain visibility of launch milestones, cross-functional dependencies, and material risks.</w:t>
      </w:r>
    </w:p>
    <w:p>
      <w:pPr/>
      <w:r>
        <w:t>Coordinate decisions when manufacturing, inventory, quality, and delivery priorities conflict.</w:t>
      </w:r>
    </w:p>
    <w:p>
      <w:pPr/>
      <w:r>
        <w:t>Escalate unresolved risks through the established business process and communicate agreed status to stakeholders.</w:t>
      </w:r>
    </w:p>
    <w:p>
      <w:pPr>
        <w:pStyle w:val="Heading1"/>
      </w:pPr>
      <w:r>
        <w:t>6. Agent response guidance</w:t>
      </w:r>
    </w:p>
    <w:p>
      <w:pPr/>
      <w:r>
        <w:t>Identify the likely responsible function based on the issue type.</w:t>
      </w:r>
    </w:p>
    <w:p>
      <w:pPr/>
      <w:r>
        <w:t>Distinguish a recommended stakeholder from a confirmed named owner. Do not invent individual names, approval authority, or contact details.</w:t>
      </w:r>
    </w:p>
    <w:p>
      <w:pPr/>
      <w:r>
        <w:t>If formal ownership or escalation routing is needed, refer to an approved organizational directory or escalation procedure if connected.</w:t>
      </w:r>
    </w:p>
    <w:p>
      <w:pPr>
        <w:pStyle w:val="Heading1"/>
      </w:pPr>
      <w:r>
        <w:t>7. Scope and assumptions</w:t>
      </w:r>
    </w:p>
    <w:p>
      <w:pPr/>
      <w:r>
        <w:t>These roles are illustrative workshop guidance, not a verified Caldova organization chart or formal delegation of authority. Actual approvals and escalation paths must be confirmed from approved Caldova sources.</w:t>
      </w:r>
    </w:p>
    <w:p>
      <w:pPr>
        <w:jc w:val="center"/>
      </w:pPr>
      <w:r>
        <w:rPr>
          <w:i/>
          <w:sz w:val="16"/>
        </w:rPr>
        <w:t>Workshop scenario document — illustrative business context; not an approved corporate policy.</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EF8456C9A37174F9697FEE05264687A" ma:contentTypeVersion="18" ma:contentTypeDescription="Create a new document." ma:contentTypeScope="" ma:versionID="b8d2bb19dbae375176ebef2634d5ea68">
  <xsd:schema xmlns:xsd="http://www.w3.org/2001/XMLSchema" xmlns:xs="http://www.w3.org/2001/XMLSchema" xmlns:p="http://schemas.microsoft.com/office/2006/metadata/properties" xmlns:ns1="http://schemas.microsoft.com/sharepoint/v3" xmlns:ns2="ec089a45-ad55-4cc4-90af-853a1b422875" xmlns:ns3="f865f6a1-6f03-42c9-afc9-64084d4c4919" targetNamespace="http://schemas.microsoft.com/office/2006/metadata/properties" ma:root="true" ma:fieldsID="ba5bc1514cfe21d7903162f75a6c2de2" ns1:_="" ns2:_="" ns3:_="">
    <xsd:import namespace="http://schemas.microsoft.com/sharepoint/v3"/>
    <xsd:import namespace="ec089a45-ad55-4cc4-90af-853a1b422875"/>
    <xsd:import namespace="f865f6a1-6f03-42c9-afc9-64084d4c4919"/>
    <xsd:element name="properties">
      <xsd:complexType>
        <xsd:sequence>
          <xsd:element name="documentManagement">
            <xsd:complexType>
              <xsd:all>
                <xsd:element ref="ns2:MediaServiceBillingMetadata" minOccurs="0"/>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DocTags" minOccurs="0"/>
                <xsd:element ref="ns2:HasDigitalSignature" minOccurs="0"/>
                <xsd:element ref="ns2:DigitalSignatureProvid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c089a45-ad55-4cc4-90af-853a1b422875" elementFormDefault="qualified">
    <xsd:import namespace="http://schemas.microsoft.com/office/2006/documentManagement/types"/>
    <xsd:import namespace="http://schemas.microsoft.com/office/infopath/2007/PartnerControls"/>
    <xsd:element name="MediaServiceBillingMetadata" ma:index="8" nillable="true" ma:displayName="MediaServiceBillingMetadata" ma:hidden="true" ma:internalName="MediaServiceBillingMetadata" ma:readOnly="true">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description="" ma:indexed="true" ma:internalName="MediaServiceLocation" ma:readOnly="true">
      <xsd:simpleType>
        <xsd:restriction base="dms:Text"/>
      </xsd:simpleType>
    </xsd:element>
    <xsd:element name="MediaServiceDocTags" ma:index="23" nillable="true" ma:displayName="MediaServiceDocTags" ma:hidden="true" ma:internalName="MediaServiceDocTags" ma:readOnly="true">
      <xsd:simpleType>
        <xsd:restriction base="dms:Note"/>
      </xsd:simpleType>
    </xsd:element>
    <xsd:element name="HasDigitalSignature" ma:index="24" nillable="true" ma:displayName="Signed electronically" ma:internalName="HasDigitalSignature" ma:readOnly="true">
      <xsd:simpleType>
        <xsd:restriction base="dms:Boolean"/>
      </xsd:simpleType>
    </xsd:element>
    <xsd:element name="DigitalSignatureProvider" ma:index="25" nillable="true" ma:displayName="Signature provider" ma:internalName="DigitalSignatureProvider"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865f6a1-6f03-42c9-afc9-64084d4c491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bc3eab0-eaef-4277-95e6-cf36de915a0b}" ma:internalName="TaxCatchAll" ma:showField="CatchAllData" ma:web="f865f6a1-6f03-42c9-afc9-64084d4c49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f865f6a1-6f03-42c9-afc9-64084d4c4919" xsi:nil="true"/>
    <_ip_UnifiedCompliancePolicyProperties xmlns="http://schemas.microsoft.com/sharepoint/v3" xsi:nil="true"/>
    <lcf76f155ced4ddcb4097134ff3c332f xmlns="ec089a45-ad55-4cc4-90af-853a1b42287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7F20A58-CAEA-4A82-94BA-B19395FB2C2C}"/>
</file>

<file path=customXml/itemProps3.xml><?xml version="1.0" encoding="utf-8"?>
<ds:datastoreItem xmlns:ds="http://schemas.openxmlformats.org/officeDocument/2006/customXml" ds:itemID="{188061BA-F222-4BD8-9F45-8A1E42190F88}"/>
</file>

<file path=customXml/itemProps4.xml><?xml version="1.0" encoding="utf-8"?>
<ds:datastoreItem xmlns:ds="http://schemas.openxmlformats.org/officeDocument/2006/customXml" ds:itemID="{FD6EE60B-78C1-48F9-BE51-4948AEF3B6F0}"/>
</file>

<file path=docMetadata/LabelInfo.xml><?xml version="1.0" encoding="utf-8"?>
<clbl:labelList xmlns:clbl="http://schemas.microsoft.com/office/2020/mipLabelMetadata">
  <clbl:label id="{1a19d03a-48bc-4359-8038-5b5f6d5847c3}"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0x0101002EF8456C9A37174F9697FEE05264687A</vt:lpwstr>
  </property>
  <property fmtid="{D5CDD505-2E9C-101B-9397-08002B2CF9AE}" pid="3" name="MediaServiceImageTags">
    <vt:lpwstr/>
  </property>
</Properties>
</file>