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Caldova workshop gap decisions</w:t>
      </w:r>
    </w:p>
    <w:p>
      <w:r>
        <w:t>We can retain the accelerator and most deployment steps. Use this table to agree which story outcomes we must implement and which details we can simplify before editing AYI02.</w:t>
      </w:r>
    </w:p>
    <w:p>
      <w:r>
        <w:rPr>
          <w:b/>
        </w:rPr>
        <w:t xml:space="preserve">Priority reflects story impact. </w:t>
      </w:r>
      <w:r>
        <w:t>High = removing the change would undermine a core story outcome. Low = a small, explicit narrative adjustment can simplify or omit it. These are proposed priorities for discussion, not approved removals or estimates of implementation effort.</w:t>
      </w:r>
    </w:p>
    <w:p>
      <w:pPr>
        <w:spacing w:after="160"/>
      </w:pPr>
      <w:r>
        <w:t>Can simplify or omit means without losing the core story. Discuss each proposal before changing the workshop.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2146"/>
        <w:gridCol w:w="3499"/>
        <w:gridCol w:w="2261"/>
        <w:gridCol w:w="3874"/>
        <w:gridCol w:w="1872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9"/>
              </w:rPr>
              <w:t>Main gap</w:t>
            </w:r>
          </w:p>
        </w:tc>
        <w:tc>
          <w:tcPr>
            <w:tcW w:type="dxa" w:w="21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9"/>
              </w:rPr>
              <w:t>What exists</w:t>
            </w:r>
          </w:p>
        </w:tc>
        <w:tc>
          <w:tcPr>
            <w:tcW w:type="dxa" w:w="349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9"/>
              </w:rPr>
              <w:t>Keep add or update</w:t>
            </w:r>
          </w:p>
        </w:tc>
        <w:tc>
          <w:tcPr>
            <w:tcW w:type="dxa" w:w="22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9"/>
              </w:rPr>
              <w:t>Why</w:t>
            </w:r>
          </w:p>
        </w:tc>
        <w:tc>
          <w:tcPr>
            <w:tcW w:type="dxa" w:w="387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9"/>
              </w:rPr>
              <w:t>Where in the story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7365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9"/>
              </w:rPr>
              <w:t>Can simplify or omit?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/>
                <w:color w:val="000000"/>
                <w:sz w:val="19"/>
              </w:rPr>
              <w:t>Manufacturing capacity</w:t>
            </w:r>
          </w:p>
        </w:tc>
        <w:tc>
          <w:tcPr>
            <w:tcW w:type="dxa" w:w="21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Retail inventory and warehouse capacity.</w:t>
            </w:r>
          </w:p>
        </w:tc>
        <w:tc>
          <w:tcPr>
            <w:tcW w:type="dxa" w:w="349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Keep Fabric; add plant production, schedules and constraints.</w:t>
            </w:r>
          </w:p>
        </w:tc>
        <w:tc>
          <w:tcPr>
            <w:tcW w:type="dxa" w:w="22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Explain the 7% gap and need for external capacity.</w:t>
            </w:r>
          </w:p>
        </w:tc>
        <w:tc>
          <w:tcPr>
            <w:tcW w:type="dxa" w:w="387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M1: “7% network shortfall”; “Plant 3 the binding constraint”.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000000"/>
                <w:sz w:val="19"/>
              </w:rPr>
              <w:t>No — High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8"/>
          </w:tcPr>
          <w:p>
            <w:pPr>
              <w:spacing w:after="0" w:line="245" w:lineRule="auto"/>
            </w:pPr>
            <w:r>
              <w:rPr>
                <w:b/>
                <w:color w:val="000000"/>
                <w:sz w:val="19"/>
              </w:rPr>
              <w:t>GMP knowledge</w:t>
            </w:r>
          </w:p>
        </w:tc>
        <w:tc>
          <w:tcPr>
            <w:tcW w:type="dxa" w:w="21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8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Supplier and operations PDFs; document retrieval.</w:t>
            </w:r>
          </w:p>
        </w:tc>
        <w:tc>
          <w:tcPr>
            <w:tcW w:type="dxa" w:w="349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8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Keep retrieval; add GMP, changeover and regulatory guidance.</w:t>
            </w:r>
          </w:p>
        </w:tc>
        <w:tc>
          <w:tcPr>
            <w:tcW w:type="dxa" w:w="22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8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Ground manufacturing options and required approvals.</w:t>
            </w:r>
          </w:p>
        </w:tc>
        <w:tc>
          <w:tcPr>
            <w:tcW w:type="dxa" w:w="387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8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M1: “Compressed Changeover Guidance”; plant manager and QA sign-offs.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8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000000"/>
                <w:sz w:val="19"/>
              </w:rPr>
              <w:t>No — High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/>
                <w:color w:val="000000"/>
                <w:sz w:val="19"/>
              </w:rPr>
              <w:t>Competitive evidence</w:t>
            </w:r>
          </w:p>
        </w:tc>
        <w:tc>
          <w:tcPr>
            <w:tcW w:type="dxa" w:w="21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Retail product data; no configured Web IQ path in export.</w:t>
            </w:r>
          </w:p>
        </w:tc>
        <w:tc>
          <w:tcPr>
            <w:tcW w:type="dxa" w:w="349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Add competitive records and tested web grounding.</w:t>
            </w:r>
          </w:p>
        </w:tc>
        <w:tc>
          <w:tcPr>
            <w:tcW w:type="dxa" w:w="22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Support the competing launch timeline with evidence.</w:t>
            </w:r>
          </w:p>
        </w:tc>
        <w:tc>
          <w:tcPr>
            <w:tcW w:type="dxa" w:w="387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M1: “Helios Biopharma’s VEXA”; announced November 2026 launch.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000000"/>
                <w:sz w:val="19"/>
              </w:rPr>
              <w:t>No — High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8"/>
          </w:tcPr>
          <w:p>
            <w:pPr>
              <w:spacing w:after="0" w:line="245" w:lineRule="auto"/>
            </w:pPr>
            <w:r>
              <w:rPr>
                <w:b/>
                <w:color w:val="000000"/>
                <w:sz w:val="19"/>
              </w:rPr>
              <w:t>Cited grounded answers</w:t>
            </w:r>
          </w:p>
        </w:tc>
        <w:tc>
          <w:tcPr>
            <w:tcW w:type="dxa" w:w="21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8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Tool routing; exported prompt suppresses references.</w:t>
            </w:r>
          </w:p>
        </w:tc>
        <w:tc>
          <w:tcPr>
            <w:tcW w:type="dxa" w:w="349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8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Update scope and citations; test the same agent before and after grounding.</w:t>
            </w:r>
          </w:p>
        </w:tc>
        <w:tc>
          <w:tcPr>
            <w:tcW w:type="dxa" w:w="22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8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Demonstrate that connected evidence improves answers.</w:t>
            </w:r>
          </w:p>
        </w:tc>
        <w:tc>
          <w:tcPr>
            <w:tcW w:type="dxa" w:w="387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8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M1: agent initially lacks data; later gives a “cited, trustworthy decision”.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8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000000"/>
                <w:sz w:val="19"/>
              </w:rPr>
              <w:t>No — High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/>
                <w:color w:val="000000"/>
                <w:sz w:val="19"/>
              </w:rPr>
              <w:t>Work IQ context</w:t>
            </w:r>
          </w:p>
        </w:tc>
        <w:tc>
          <w:tcPr>
            <w:tcW w:type="dxa" w:w="21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Microsoft 365 connections and tools.</w:t>
            </w:r>
          </w:p>
        </w:tc>
        <w:tc>
          <w:tcPr>
            <w:tcW w:type="dxa" w:w="349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Keep tools; add organization and CMO interaction evidence.</w:t>
            </w:r>
          </w:p>
        </w:tc>
        <w:tc>
          <w:tcPr>
            <w:tcW w:type="dxa" w:w="22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Ground escalation and partner history in actual sources.</w:t>
            </w:r>
          </w:p>
        </w:tc>
        <w:tc>
          <w:tcPr>
            <w:tcW w:type="dxa" w:w="387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M1: Dana Reyes then Morgan Ellis. M2: prior email, Teams and document touchpoints.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000000"/>
                <w:sz w:val="19"/>
              </w:rPr>
              <w:t>No — High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8"/>
          </w:tcPr>
          <w:p>
            <w:pPr>
              <w:spacing w:after="0" w:line="245" w:lineRule="auto"/>
            </w:pPr>
            <w:r>
              <w:rPr>
                <w:b/>
                <w:color w:val="000000"/>
                <w:sz w:val="19"/>
              </w:rPr>
              <w:t>CMO evaluation and reuse</w:t>
            </w:r>
          </w:p>
        </w:tc>
        <w:tc>
          <w:tcPr>
            <w:tcW w:type="dxa" w:w="21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8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Shared Fabric and Foundry foundation; generic agents.</w:t>
            </w:r>
          </w:p>
        </w:tc>
        <w:tc>
          <w:tcPr>
            <w:tcW w:type="dxa" w:w="349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8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Add CMO records and scoring evidence; demonstrate a new agent reusing the foundation.</w:t>
            </w:r>
          </w:p>
        </w:tc>
        <w:tc>
          <w:tcPr>
            <w:tcW w:type="dxa" w:w="22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8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Find external capacity and demonstrate reuse.</w:t>
            </w:r>
          </w:p>
        </w:tc>
        <w:tc>
          <w:tcPr>
            <w:tcW w:type="dxa" w:w="387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8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M2: “same Foundry IQ knowledge base”; score “responsiveness, quality, and speed”.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8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000000"/>
                <w:sz w:val="19"/>
              </w:rPr>
              <w:t>No — High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/>
                <w:color w:val="000000"/>
                <w:sz w:val="19"/>
              </w:rPr>
              <w:t>Scoped access and DLP</w:t>
            </w:r>
          </w:p>
        </w:tc>
        <w:tc>
          <w:tcPr>
            <w:tcW w:type="dxa" w:w="21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Entra authentication and resource RBAC.</w:t>
            </w:r>
          </w:p>
        </w:tc>
        <w:tc>
          <w:tcPr>
            <w:tcW w:type="dxa" w:w="349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Add plant-scoped access, protected content and audit tests.</w:t>
            </w:r>
          </w:p>
        </w:tc>
        <w:tc>
          <w:tcPr>
            <w:tcW w:type="dxa" w:w="22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Preserve the core trust and governance outcome.</w:t>
            </w:r>
          </w:p>
        </w:tc>
        <w:tc>
          <w:tcPr>
            <w:tcW w:type="dxa" w:w="387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M3: Plant 3 manager versus VP; “Purview blocks it”; logged DLP event.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000000"/>
                <w:sz w:val="19"/>
              </w:rPr>
              <w:t>No — High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8"/>
          </w:tcPr>
          <w:p>
            <w:pPr>
              <w:spacing w:after="0" w:line="245" w:lineRule="auto"/>
            </w:pPr>
            <w:r>
              <w:rPr>
                <w:b/>
                <w:color w:val="000000"/>
                <w:sz w:val="19"/>
              </w:rPr>
              <w:t>Live Oracle ingestion</w:t>
            </w:r>
          </w:p>
        </w:tc>
        <w:tc>
          <w:tcPr>
            <w:tcW w:type="dxa" w:w="21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8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Fabric data loading.</w:t>
            </w:r>
          </w:p>
        </w:tc>
        <w:tc>
          <w:tcPr>
            <w:tcW w:type="dxa" w:w="349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8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Keep loading; use an approved CMO extract for the lab if agreed.</w:t>
            </w:r>
          </w:p>
        </w:tc>
        <w:tc>
          <w:tcPr>
            <w:tcW w:type="dxa" w:w="22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8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Source brand can change while pre-qualified CMO data remains.</w:t>
            </w:r>
          </w:p>
        </w:tc>
        <w:tc>
          <w:tcPr>
            <w:tcW w:type="dxa" w:w="387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8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M2: “from an Oracle database into the Fabric Lakehouse”. Label an extract as an adaptation.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8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000000"/>
                <w:sz w:val="19"/>
              </w:rPr>
              <w:t>Yes — Low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/>
                <w:color w:val="000000"/>
                <w:sz w:val="19"/>
              </w:rPr>
              <w:t>Exact agent count and separate RFP agent</w:t>
            </w:r>
          </w:p>
        </w:tc>
        <w:tc>
          <w:tcPr>
            <w:tcW w:type="dxa" w:w="21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Central orchestrator and document/data specialists.</w:t>
            </w:r>
          </w:p>
        </w:tc>
        <w:tc>
          <w:tcPr>
            <w:tcW w:type="dxa" w:w="349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Keep one clear new-agent reuse example; merge RFP status if retained; omit extra fleet agents.</w:t>
            </w:r>
          </w:p>
        </w:tc>
        <w:tc>
          <w:tcPr>
            <w:tcW w:type="dxa" w:w="22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Preserve evaluation and reuse without building every named agent.</w:t>
            </w:r>
          </w:p>
        </w:tc>
        <w:tc>
          <w:tcPr>
            <w:tcW w:type="dxa" w:w="387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M2: Alex’s RFP tracker. M3: four-agent fleet adds demand sensing and manufacturing quality.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000000"/>
                <w:sz w:val="19"/>
              </w:rPr>
              <w:t>Yes — Low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8"/>
          </w:tcPr>
          <w:p>
            <w:pPr>
              <w:spacing w:after="0" w:line="245" w:lineRule="auto"/>
            </w:pPr>
            <w:r>
              <w:rPr>
                <w:b/>
                <w:color w:val="000000"/>
                <w:sz w:val="19"/>
              </w:rPr>
              <w:t>Exact hosting and knowledge layout</w:t>
            </w:r>
          </w:p>
        </w:tc>
        <w:tc>
          <w:tcPr>
            <w:tcW w:type="dxa" w:w="21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8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Copilot Studio orchestrates separate Fabric and Foundry tools.</w:t>
            </w:r>
          </w:p>
        </w:tc>
        <w:tc>
          <w:tcPr>
            <w:tcW w:type="dxa" w:w="349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8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Keep this routing; omit exact Foundry publishing and single-KB screens if agreed.</w:t>
            </w:r>
          </w:p>
        </w:tc>
        <w:tc>
          <w:tcPr>
            <w:tcW w:type="dxa" w:w="22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8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Business answers and shared reuse can remain unchanged.</w:t>
            </w:r>
          </w:p>
        </w:tc>
        <w:tc>
          <w:tcPr>
            <w:tcW w:type="dxa" w:w="387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8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M1–2: Foundry agents, “unified-knowledgebase”, publishing to Microsoft 365 Copilot.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8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000000"/>
                <w:sz w:val="19"/>
              </w:rPr>
              <w:t>Yes — Low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/>
                <w:color w:val="000000"/>
                <w:sz w:val="19"/>
              </w:rPr>
              <w:t>Full fleet admin demonstration</w:t>
            </w:r>
          </w:p>
        </w:tc>
        <w:tc>
          <w:tcPr>
            <w:tcW w:type="dxa" w:w="21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Foundry resources and ordinary diagnostics.</w:t>
            </w:r>
          </w:p>
        </w:tc>
        <w:tc>
          <w:tcPr>
            <w:tcW w:type="dxa" w:w="349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Keep access/DLP evidence; shorten registry, map, blueprint and alert walkthroughs.</w:t>
            </w:r>
          </w:p>
        </w:tc>
        <w:tc>
          <w:tcPr>
            <w:tcW w:type="dxa" w:w="22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A smaller governance demo can preserve the trust lesson.</w:t>
            </w:r>
          </w:p>
        </w:tc>
        <w:tc>
          <w:tcPr>
            <w:tcW w:type="dxa" w:w="387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M3: Agent 365 registry/map, guardrail violation, Entra Agent Blueprint.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000000"/>
                <w:sz w:val="19"/>
              </w:rPr>
              <w:t>Yes — Low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8"/>
          </w:tcPr>
          <w:p>
            <w:pPr>
              <w:spacing w:after="0" w:line="245" w:lineRule="auto"/>
            </w:pPr>
            <w:r>
              <w:rPr>
                <w:b/>
                <w:color w:val="000000"/>
                <w:sz w:val="19"/>
              </w:rPr>
              <w:t>Private network build</w:t>
            </w:r>
          </w:p>
        </w:tc>
        <w:tc>
          <w:tcPr>
            <w:tcW w:type="dxa" w:w="21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8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Managed identities; template enables public networking.</w:t>
            </w:r>
          </w:p>
        </w:tc>
        <w:tc>
          <w:tcPr>
            <w:tcW w:type="dxa" w:w="349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8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Keep identities; defer private endpoints in the lab and remove isolation claims.</w:t>
            </w:r>
          </w:p>
        </w:tc>
        <w:tc>
          <w:tcPr>
            <w:tcW w:type="dxa" w:w="22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8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The perimeter detail can be a future-state discussion.</w:t>
            </w:r>
          </w:p>
        </w:tc>
        <w:tc>
          <w:tcPr>
            <w:tcW w:type="dxa" w:w="387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8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M3: “Private endpoints, managed identities, network isolation”.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8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000000"/>
                <w:sz w:val="19"/>
              </w:rPr>
              <w:t>Yes — Low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/>
                <w:color w:val="000000"/>
                <w:sz w:val="19"/>
              </w:rPr>
              <w:t>Continuous live refresh</w:t>
            </w:r>
          </w:p>
        </w:tc>
        <w:tc>
          <w:tcPr>
            <w:tcW w:type="dxa" w:w="21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Sample-data loading and indexing.</w:t>
            </w:r>
          </w:p>
        </w:tc>
        <w:tc>
          <w:tcPr>
            <w:tcW w:type="dxa" w:w="349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Use dated snapshots and a controlled refresh; remove real-time claims.</w:t>
            </w:r>
          </w:p>
        </w:tc>
        <w:tc>
          <w:tcPr>
            <w:tcW w:type="dxa" w:w="22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Repeatable lab evidence can support the same decision.</w:t>
            </w:r>
          </w:p>
        </w:tc>
        <w:tc>
          <w:tcPr>
            <w:tcW w:type="dxa" w:w="387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9"/>
              </w:rPr>
              <w:t>Overview: “refreshed in real time”. M1: “live manufacturing” and real-time web.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000000"/>
                <w:sz w:val="19"/>
              </w:rPr>
              <w:t>Yes — Low</w:t>
            </w:r>
          </w:p>
        </w:tc>
      </w:tr>
    </w:tbl>
    <w:p>
      <w:pPr>
        <w:pStyle w:val="Heading2"/>
        <w:spacing w:before="180"/>
      </w:pPr>
      <w:r>
        <w:t>Story references</w:t>
      </w:r>
    </w:p>
    <w:p>
      <w:pPr>
        <w:spacing w:after="100"/>
      </w:pPr>
      <w:r>
        <w:t>Story source: Amplify Your Intelligence Demo Script (1).docx. M1 = Section 3, Ground Agents in the business context that compounds. M2 = Section 4, Accelerate Agent Deployment with Shared Intelligence. M3 = Section 5, Trust intelligence that drives scale (Security Deep Dive). Scene phrases in the table are searchable anchors; pagination varies by renderer.</w:t>
      </w:r>
    </w:p>
    <w:p>
      <w:r>
        <w:t>Decision to record for each row: implement, simplify, or remove the scene. Any simplification needs matching changes to the story and architecture. Preserve one clear new-agent reuse example; retain status evidence if RFP tracking remains.</w:t>
      </w:r>
    </w:p>
    <w:p>
      <w:r>
        <w:t>Implementation reference: Microsoft IQ Solution Accelerator, commit 09a1224. Supporting code evidence and architecture notes are in the Gap Analysis folder on dev. Priorities are proposed for team discussion; AYI02 remains unchanged.</w:t>
      </w:r>
    </w:p>
    <w:sectPr w:rsidR="00FC693F" w:rsidRPr="0006063C" w:rsidSect="00034616">
      <w:footerReference w:type="default" r:id="rId9"/>
      <w:pgSz w:w="16848" w:h="11952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30 September 2026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Caldova workshop gap decisions</dc:title>
  <dc:subject>Story impact and proposed workshop adaptations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