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 Id="rId6" Type="http://schemas.microsoft.com/office/2020/02/relationships/classificationlabels" Target="docMetadata/LabelInfo.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Caldova Launch Commitments and Decision Priorities</w:t>
      </w:r>
    </w:p>
    <w:p>
      <w:pPr>
        <w:jc w:val="center"/>
      </w:pPr>
      <w:r>
        <w:rPr>
          <w:i/>
          <w:sz w:val="20"/>
        </w:rPr>
        <w:t>Business priorities for evaluating manufacturing risks</w:t>
      </w:r>
    </w:p>
    <w:p/>
    <w:p>
      <w:pPr>
        <w:pStyle w:val="Heading1"/>
      </w:pPr>
      <w:r>
        <w:t>1. Purpose</w:t>
      </w:r>
    </w:p>
    <w:p>
      <w:pPr/>
      <w:r>
        <w:t>This document explains how the business should frame manufacturing risks and competing priorities during launch preparation. It supplements—but does not replace—operational data and approved quality or scheduling procedures.</w:t>
      </w:r>
    </w:p>
    <w:p>
      <w:pPr>
        <w:pStyle w:val="Heading1"/>
      </w:pPr>
      <w:r>
        <w:t>2. Launch milestones and commitments</w:t>
      </w:r>
    </w:p>
    <w:p>
      <w:pPr/>
      <w:r>
        <w:t>The launch team tracks planned production completion, readiness reviews, inventory availability, and downstream supply milestones.</w:t>
      </w:r>
    </w:p>
    <w:p>
      <w:pPr/>
      <w:r>
        <w:t>The agent should retrieve actual milestone dates and commitments from connected systems or approved documents. If no confirmed date is available, it should state that the date needs validation rather than creating one.</w:t>
      </w:r>
    </w:p>
    <w:p>
      <w:pPr>
        <w:pStyle w:val="Heading1"/>
      </w:pPr>
      <w:r>
        <w:t>3. Decision priorities</w:t>
      </w:r>
    </w:p>
    <w:p>
      <w:pPr>
        <w:pStyle w:val="ListBullet"/>
      </w:pPr>
      <w:r>
        <w:t>First, maintain patient safety, product quality, and compliance with applicable approved procedures.</w:t>
      </w:r>
    </w:p>
    <w:p>
      <w:pPr>
        <w:pStyle w:val="ListBullet"/>
      </w:pPr>
      <w:r>
        <w:t>Second, establish operational facts: capacity, inventory, batch timing, equipment qualification, and dependencies.</w:t>
      </w:r>
    </w:p>
    <w:p>
      <w:pPr>
        <w:pStyle w:val="ListBullet"/>
      </w:pPr>
      <w:r>
        <w:t>Third, assess impact on launch milestones and supply commitments using confirmed dates and quantities.</w:t>
      </w:r>
    </w:p>
    <w:p>
      <w:pPr>
        <w:pStyle w:val="ListBullet"/>
      </w:pPr>
      <w:r>
        <w:t>Fourth, identify feasible options and the teams needed to evaluate them.</w:t>
      </w:r>
    </w:p>
    <w:p>
      <w:pPr>
        <w:pStyle w:val="ListBullet"/>
      </w:pPr>
      <w:r>
        <w:t>Finally, communicate the risk, evidence, assumptions, unresolved questions, and next action clearly.</w:t>
      </w:r>
    </w:p>
    <w:p>
      <w:pPr>
        <w:pStyle w:val="Heading1"/>
      </w:pPr>
      <w:r>
        <w:t>4. When capacity is insufficient</w:t>
      </w:r>
    </w:p>
    <w:p>
      <w:pPr>
        <w:pStyle w:val="ListBullet"/>
      </w:pPr>
      <w:r>
        <w:t>Confirm required production quantity and period, then compare them with committed or available capacity for the same period and units.</w:t>
      </w:r>
    </w:p>
    <w:p>
      <w:pPr>
        <w:pStyle w:val="ListBullet"/>
      </w:pPr>
      <w:r>
        <w:t>Identify whether inventory, schedule adjustments, or other approved supply options could reduce the impact.</w:t>
      </w:r>
    </w:p>
    <w:p>
      <w:pPr>
        <w:pStyle w:val="ListBullet"/>
      </w:pPr>
      <w:r>
        <w:t>Ask Manufacturing, Supply Chain, and Quality to review options where their responsibilities apply.</w:t>
      </w:r>
    </w:p>
    <w:p>
      <w:pPr>
        <w:pStyle w:val="ListBullet"/>
      </w:pPr>
      <w:r>
        <w:t>Use the established escalation procedure when the issue meets a documented escalation condition. Do not invent a threshold if an approved source does not specify one.</w:t>
      </w:r>
    </w:p>
    <w:p>
      <w:pPr>
        <w:pStyle w:val="Heading1"/>
      </w:pPr>
      <w:r>
        <w:t>5. Communicating a launch risk</w:t>
      </w:r>
    </w:p>
    <w:p>
      <w:pPr>
        <w:pStyle w:val="ListBullet"/>
      </w:pPr>
      <w:r>
        <w:t>Summarize the issue in plain language.</w:t>
      </w:r>
    </w:p>
    <w:p>
      <w:pPr>
        <w:pStyle w:val="ListBullet"/>
      </w:pPr>
      <w:r>
        <w:t>Include supporting operational values, units, planning period, and source.</w:t>
      </w:r>
    </w:p>
    <w:p>
      <w:pPr>
        <w:pStyle w:val="ListBullet"/>
      </w:pPr>
      <w:r>
        <w:t>Explain potential business impact only to the extent supported by evidence.</w:t>
      </w:r>
    </w:p>
    <w:p>
      <w:pPr>
        <w:pStyle w:val="ListBullet"/>
      </w:pPr>
      <w:r>
        <w:t>State the relevant documented procedure or business priority and cite the source where available.</w:t>
      </w:r>
    </w:p>
    <w:p>
      <w:pPr>
        <w:pStyle w:val="ListBullet"/>
      </w:pPr>
      <w:r>
        <w:t>List recommended next steps and identify items requiring confirmation or approval.</w:t>
      </w:r>
    </w:p>
    <w:p>
      <w:pPr>
        <w:pStyle w:val="Heading1"/>
      </w:pPr>
      <w:r>
        <w:t>6. Boundaries</w:t>
      </w:r>
    </w:p>
    <w:p>
      <w:pPr/>
      <w:r>
        <w:t>This document does not define numerical contingency thresholds, formal approval limits, or regulatory requirements.</w:t>
      </w:r>
    </w:p>
    <w:p>
      <w:pPr/>
      <w:r>
        <w:t>Formal GMP requirements, qualification rules, and escalation triggers must come from the approved manufacturing knowledge source.</w:t>
      </w:r>
    </w:p>
    <w:p>
      <w:pPr/>
      <w:r>
        <w:t>Operational values must come from the connected Fabric Data Agent or another approved source—not from this document.</w:t>
      </w:r>
    </w:p>
    <w:p>
      <w:pPr>
        <w:pStyle w:val="Heading1"/>
      </w:pPr>
      <w:r>
        <w:t>7. Scope and assumptions</w:t>
      </w:r>
    </w:p>
    <w:p>
      <w:pPr/>
      <w:r>
        <w:t>This is illustrative business context for a workshop scenario involving Caldova and the planned November 2026 launch of P0001. It should be reviewed and adapted if actual business-approved content becomes available.</w:t>
      </w:r>
    </w:p>
    <w:p>
      <w:pPr>
        <w:jc w:val="center"/>
      </w:pPr>
      <w:r>
        <w:rPr>
          <w:i/>
          <w:sz w:val="16"/>
        </w:rPr>
        <w:t>Workshop scenario document — illustrative business context; not an approved corporate policy.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EF8456C9A37174F9697FEE05264687A" ma:contentTypeVersion="18" ma:contentTypeDescription="Create a new document." ma:contentTypeScope="" ma:versionID="b8d2bb19dbae375176ebef2634d5ea68">
  <xsd:schema xmlns:xsd="http://www.w3.org/2001/XMLSchema" xmlns:xs="http://www.w3.org/2001/XMLSchema" xmlns:p="http://schemas.microsoft.com/office/2006/metadata/properties" xmlns:ns1="http://schemas.microsoft.com/sharepoint/v3" xmlns:ns2="ec089a45-ad55-4cc4-90af-853a1b422875" xmlns:ns3="f865f6a1-6f03-42c9-afc9-64084d4c4919" targetNamespace="http://schemas.microsoft.com/office/2006/metadata/properties" ma:root="true" ma:fieldsID="ba5bc1514cfe21d7903162f75a6c2de2" ns1:_="" ns2:_="" ns3:_="">
    <xsd:import namespace="http://schemas.microsoft.com/sharepoint/v3"/>
    <xsd:import namespace="ec089a45-ad55-4cc4-90af-853a1b422875"/>
    <xsd:import namespace="f865f6a1-6f03-42c9-afc9-64084d4c491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DocTag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089a45-ad55-4cc4-90af-853a1b422875"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DocTags" ma:index="23" nillable="true" ma:displayName="MediaServiceDocTags" ma:hidden="true" ma:internalName="MediaServiceDocTags" ma:readOnly="true">
      <xsd:simpleType>
        <xsd:restriction base="dms:Note"/>
      </xsd:simpleType>
    </xsd:element>
    <xsd:element name="HasDigitalSignature" ma:index="24" nillable="true" ma:displayName="Signed electronically" ma:internalName="HasDigitalSignature" ma:readOnly="true">
      <xsd:simpleType>
        <xsd:restriction base="dms:Boolean"/>
      </xsd:simpleType>
    </xsd:element>
    <xsd:element name="DigitalSignatureProvider" ma:index="25"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5f6a1-6f03-42c9-afc9-64084d4c491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c3eab0-eaef-4277-95e6-cf36de915a0b}" ma:internalName="TaxCatchAll" ma:showField="CatchAllData" ma:web="f865f6a1-6f03-42c9-afc9-64084d4c4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865f6a1-6f03-42c9-afc9-64084d4c4919" xsi:nil="true"/>
    <_ip_UnifiedCompliancePolicyProperties xmlns="http://schemas.microsoft.com/sharepoint/v3" xsi:nil="true"/>
    <lcf76f155ced4ddcb4097134ff3c332f xmlns="ec089a45-ad55-4cc4-90af-853a1b4228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72C718-C393-4E27-A099-0A52D2D548D3}"/>
</file>

<file path=customXml/itemProps3.xml><?xml version="1.0" encoding="utf-8"?>
<ds:datastoreItem xmlns:ds="http://schemas.openxmlformats.org/officeDocument/2006/customXml" ds:itemID="{C45F5291-FA7B-4B9E-A59B-F667BDA729F3}"/>
</file>

<file path=customXml/itemProps4.xml><?xml version="1.0" encoding="utf-8"?>
<ds:datastoreItem xmlns:ds="http://schemas.openxmlformats.org/officeDocument/2006/customXml" ds:itemID="{9C5DE242-714C-4061-B52E-3D0A48B56ABF}"/>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0x0101002EF8456C9A37174F9697FEE05264687A</vt:lpwstr>
  </property>
  <property fmtid="{D5CDD505-2E9C-101B-9397-08002B2CF9AE}" pid="3" name="MediaServiceImageTags">
    <vt:lpwstr/>
  </property>
</Properties>
</file>