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6324F"/>
          <w:sz w:val="46"/>
        </w:rPr>
        <w:t>Feasibility Study and Revised Concept Paper</w:t>
      </w:r>
    </w:p>
    <w:p>
      <w:pPr>
        <w:jc w:val="center"/>
      </w:pPr>
      <w:r>
        <w:rPr>
          <w:rFonts w:ascii="Calibri" w:hAnsi="Calibri"/>
          <w:b/>
          <w:color w:val="1F4E79"/>
          <w:sz w:val="32"/>
        </w:rPr>
        <w:t>Orbital Debris Removal and In-Orbit Servicing Platform</w:t>
      </w:r>
    </w:p>
    <w:p>
      <w:pPr>
        <w:jc w:val="center"/>
      </w:pPr>
      <w:r>
        <w:rPr>
          <w:rFonts w:ascii="Calibri" w:hAnsi="Calibri"/>
          <w:i/>
          <w:color w:val="555555"/>
          <w:sz w:val="21"/>
        </w:rPr>
        <w:t>Prepared from “Orbital Defense &amp; Debris Management Platform — Design Specification — Revision 3”</w:t>
      </w:r>
    </w:p>
    <w:tbl>
      <w:tblPr>
        <w:tblW w:type="auto" w:w="0"/>
        <w:jc w:val="center"/>
        <w:tblLayout w:type="fixed"/>
        <w:tblLook w:firstColumn="1" w:firstRow="1" w:lastColumn="0" w:lastRow="0" w:noHBand="0" w:noVBand="1" w:val="04A0"/>
      </w:tblPr>
      <w:tblGrid>
        <w:gridCol w:w="8928"/>
      </w:tblGrid>
      <w:tr>
        <w:tc>
          <w:tcPr>
            <w:tcW w:type="dxa" w:w="9792"/>
            <w:shd w:fill="EAF2F8"/>
          </w:tcPr>
          <w:p>
            <w:pPr>
              <w:spacing w:before="80" w:after="80"/>
            </w:pPr>
            <w:r>
              <w:rPr>
                <w:rFonts w:ascii="Calibri" w:hAnsi="Calibri"/>
                <w:b/>
                <w:color w:val="16324F"/>
                <w:sz w:val="20"/>
              </w:rPr>
              <w:t xml:space="preserve">Scope note. </w:t>
            </w:r>
            <w:r>
              <w:rPr>
                <w:rFonts w:ascii="Calibri" w:hAnsi="Calibri"/>
                <w:color w:val="16324F"/>
                <w:sz w:val="20"/>
              </w:rPr>
              <w:t>The uploaded draft contains missile-defense and directed-energy weapon content. This deliverable does not preserve or further develop those functions. Instead, it (1) evaluates the original concept at a feasibility level and (2) rewrites the paper as a civil, consent-based debris-removal and servicing architecture.</w:t>
            </w:r>
          </w:p>
        </w:tc>
      </w:tr>
    </w:tbl>
    <w:p/>
    <w:p>
      <w:pPr>
        <w:jc w:val="center"/>
      </w:pPr>
      <w:r>
        <w:rPr>
          <w:rFonts w:ascii="Calibri" w:hAnsi="Calibri"/>
          <w:color w:val="666666"/>
          <w:sz w:val="21"/>
        </w:rPr>
        <w:t>Prepared for project screening and concept reset</w:t>
      </w:r>
    </w:p>
    <w:p>
      <w:r>
        <w:br w:type="page"/>
      </w:r>
    </w:p>
    <w:p>
      <w:pPr>
        <w:pStyle w:val="Heading1"/>
      </w:pPr>
      <w:r>
        <w:t>Executive Summary</w:t>
      </w:r>
    </w:p>
    <w:p>
      <w:r>
        <w:t>The original Revision 3 draft is not feasible as written. The underlying mission need is real and growing: ESA reports that about 40,000 objects are currently tracked in Earth orbit, of which roughly 11,000 are active payloads. However, the draft combines one commercially relevant problem—debris removal—with several program-killing assumptions: a 50 MW orbital laser, an on-orbit nuclear reactor baseline in Earth orbit, a speculative zero-resistance structural material, and an undeclared missile-defense mission.</w:t>
      </w:r>
    </w:p>
    <w:p>
      <w:r>
        <w:t>A bankable version of this project exists, but it is a different project. The credible near- to mid-term opportunity is a civil orbital debris-removal and in-orbit servicing system built around space-domain-awareness sensors, autonomous rendezvous and proximity operations, robotic or magnetic capture, deorbit kits, and solar-electric propulsion. That architecture aligns with the direction of current programs such as ESA’s Active Debris Removal effort, ClearSpace-1, and Astroscale’s ELSA-d and ADRAS-J missions.</w:t>
      </w:r>
    </w:p>
    <w:p>
      <w:r>
        <w:t>This study therefore recommends a reset rather than incremental patching. The rewrite in Part II removes the weapon mission entirely, narrows the platform to debris removal and servicing, replaces the single giant platform concept with a layered architecture, and uses technology with credible development paths instead of multiple simultaneous breakthroughs.</w:t>
      </w:r>
    </w:p>
    <w:p>
      <w:pPr>
        <w:pStyle w:val="Heading2"/>
      </w:pPr>
      <w:r>
        <w:t>Overall screening result</w:t>
      </w:r>
    </w:p>
    <w:tbl>
      <w:tblPr>
        <w:tblStyle w:val="TableGrid"/>
        <w:tblW w:type="auto" w:w="0"/>
        <w:jc w:val="center"/>
        <w:tblLayout w:type="fixed"/>
        <w:tblLook w:firstColumn="1" w:firstRow="1" w:lastColumn="0" w:lastRow="0" w:noHBand="0" w:noVBand="1" w:val="04A0"/>
      </w:tblPr>
      <w:tblGrid>
        <w:gridCol w:w="1800"/>
        <w:gridCol w:w="1368"/>
        <w:gridCol w:w="2880"/>
        <w:gridCol w:w="3744"/>
      </w:tblGrid>
      <w:tr>
        <w:tc>
          <w:tcPr>
            <w:tcW w:type="dxa" w:w="2448"/>
            <w:shd w:fill="D9EAF7"/>
            <w:vAlign w:val="center"/>
          </w:tcPr>
          <w:p>
            <w:pPr>
              <w:jc w:val="center"/>
            </w:pPr>
            <w:r/>
            <w:r>
              <w:rPr>
                <w:rFonts w:ascii="Calibri" w:hAnsi="Calibri"/>
                <w:b/>
                <w:color w:val="16324F"/>
                <w:sz w:val="19"/>
              </w:rPr>
              <w:t>Dimension</w:t>
            </w:r>
          </w:p>
        </w:tc>
        <w:tc>
          <w:tcPr>
            <w:tcW w:type="dxa" w:w="2448"/>
            <w:shd w:fill="D9EAF7"/>
            <w:vAlign w:val="center"/>
          </w:tcPr>
          <w:p>
            <w:pPr>
              <w:jc w:val="center"/>
            </w:pPr>
            <w:r/>
            <w:r>
              <w:rPr>
                <w:rFonts w:ascii="Calibri" w:hAnsi="Calibri"/>
                <w:b/>
                <w:color w:val="16324F"/>
                <w:sz w:val="19"/>
              </w:rPr>
              <w:t>Verdict</w:t>
            </w:r>
          </w:p>
        </w:tc>
        <w:tc>
          <w:tcPr>
            <w:tcW w:type="dxa" w:w="2448"/>
            <w:shd w:fill="D9EAF7"/>
            <w:vAlign w:val="center"/>
          </w:tcPr>
          <w:p>
            <w:pPr>
              <w:jc w:val="center"/>
            </w:pPr>
            <w:r/>
            <w:r>
              <w:rPr>
                <w:rFonts w:ascii="Calibri" w:hAnsi="Calibri"/>
                <w:b/>
                <w:color w:val="16324F"/>
                <w:sz w:val="19"/>
              </w:rPr>
              <w:t>Reason</w:t>
            </w:r>
          </w:p>
        </w:tc>
        <w:tc>
          <w:tcPr>
            <w:tcW w:type="dxa" w:w="2448"/>
            <w:shd w:fill="D9EAF7"/>
            <w:vAlign w:val="center"/>
          </w:tcPr>
          <w:p>
            <w:pPr>
              <w:jc w:val="center"/>
            </w:pPr>
            <w:r/>
            <w:r>
              <w:rPr>
                <w:rFonts w:ascii="Calibri" w:hAnsi="Calibri"/>
                <w:b/>
                <w:color w:val="16324F"/>
                <w:sz w:val="19"/>
              </w:rPr>
              <w:t>What changes</w:t>
            </w:r>
          </w:p>
        </w:tc>
      </w:tr>
      <w:tr>
        <w:tc>
          <w:tcPr>
            <w:tcW w:type="dxa" w:w="1800"/>
            <w:vAlign w:val="center"/>
          </w:tcPr>
          <w:p>
            <w:r/>
            <w:r>
              <w:rPr>
                <w:rFonts w:ascii="Calibri" w:hAnsi="Calibri"/>
                <w:b w:val="0"/>
                <w:color w:val="000000"/>
                <w:sz w:val="18"/>
              </w:rPr>
              <w:t>Mission need</w:t>
            </w:r>
          </w:p>
        </w:tc>
        <w:tc>
          <w:tcPr>
            <w:tcW w:type="dxa" w:w="1368"/>
            <w:shd w:fill="EAF5EA"/>
            <w:vAlign w:val="center"/>
          </w:tcPr>
          <w:p>
            <w:pPr>
              <w:jc w:val="center"/>
            </w:pPr>
            <w:r/>
            <w:r>
              <w:rPr>
                <w:rFonts w:ascii="Calibri" w:hAnsi="Calibri"/>
                <w:b/>
                <w:color w:val="16324F"/>
                <w:sz w:val="19"/>
              </w:rPr>
              <w:t>GO</w:t>
            </w:r>
          </w:p>
        </w:tc>
        <w:tc>
          <w:tcPr>
            <w:tcW w:type="dxa" w:w="2880"/>
            <w:vAlign w:val="center"/>
          </w:tcPr>
          <w:p>
            <w:r/>
            <w:r>
              <w:rPr>
                <w:rFonts w:ascii="Calibri" w:hAnsi="Calibri"/>
                <w:b w:val="0"/>
                <w:color w:val="000000"/>
                <w:sz w:val="18"/>
              </w:rPr>
              <w:t>Debris environment is worsening and removal/service demand is real.</w:t>
            </w:r>
          </w:p>
        </w:tc>
        <w:tc>
          <w:tcPr>
            <w:tcW w:type="dxa" w:w="3744"/>
            <w:vAlign w:val="center"/>
          </w:tcPr>
          <w:p>
            <w:r/>
            <w:r>
              <w:rPr>
                <w:rFonts w:ascii="Calibri" w:hAnsi="Calibri"/>
                <w:b w:val="0"/>
                <w:color w:val="000000"/>
                <w:sz w:val="18"/>
              </w:rPr>
              <w:t>Proceed, but only as a civil debris and servicing program.</w:t>
            </w:r>
          </w:p>
        </w:tc>
      </w:tr>
      <w:tr>
        <w:tc>
          <w:tcPr>
            <w:tcW w:type="dxa" w:w="1800"/>
            <w:vAlign w:val="center"/>
          </w:tcPr>
          <w:p>
            <w:r/>
            <w:r>
              <w:rPr>
                <w:rFonts w:ascii="Calibri" w:hAnsi="Calibri"/>
                <w:b w:val="0"/>
                <w:color w:val="000000"/>
                <w:sz w:val="18"/>
              </w:rPr>
              <w:t>Original architecture</w:t>
            </w:r>
          </w:p>
        </w:tc>
        <w:tc>
          <w:tcPr>
            <w:tcW w:type="dxa" w:w="1368"/>
            <w:shd w:fill="FDE9D9"/>
            <w:vAlign w:val="center"/>
          </w:tcPr>
          <w:p>
            <w:pPr>
              <w:jc w:val="center"/>
            </w:pPr>
            <w:r/>
            <w:r>
              <w:rPr>
                <w:rFonts w:ascii="Calibri" w:hAnsi="Calibri"/>
                <w:b/>
                <w:color w:val="16324F"/>
                <w:sz w:val="19"/>
              </w:rPr>
              <w:t>NO-GO</w:t>
            </w:r>
          </w:p>
        </w:tc>
        <w:tc>
          <w:tcPr>
            <w:tcW w:type="dxa" w:w="2880"/>
            <w:vAlign w:val="center"/>
          </w:tcPr>
          <w:p>
            <w:r/>
            <w:r>
              <w:rPr>
                <w:rFonts w:ascii="Calibri" w:hAnsi="Calibri"/>
                <w:b w:val="0"/>
                <w:color w:val="000000"/>
                <w:sz w:val="18"/>
              </w:rPr>
              <w:t>Requires simultaneous breakthroughs in power, optics, materials, law, and geopolitics.</w:t>
            </w:r>
          </w:p>
        </w:tc>
        <w:tc>
          <w:tcPr>
            <w:tcW w:type="dxa" w:w="3744"/>
            <w:vAlign w:val="center"/>
          </w:tcPr>
          <w:p>
            <w:r/>
            <w:r>
              <w:rPr>
                <w:rFonts w:ascii="Calibri" w:hAnsi="Calibri"/>
                <w:b w:val="0"/>
                <w:color w:val="000000"/>
                <w:sz w:val="18"/>
              </w:rPr>
              <w:t>Replace with distributed SSA + servicer vehicles.</w:t>
            </w:r>
          </w:p>
        </w:tc>
      </w:tr>
    </w:tbl>
    <w:p>
      <w:pPr>
        <w:pStyle w:val="Heading1"/>
      </w:pPr>
      <w:r>
        <w:t>Part I — Feasibility Study</w:t>
      </w:r>
    </w:p>
    <w:p>
      <w:pPr>
        <w:pStyle w:val="Heading2"/>
      </w:pPr>
      <w:r>
        <w:t>1. Feasibility conclusion</w:t>
      </w:r>
    </w:p>
    <w:p>
      <w:r>
        <w:rPr>
          <w:rFonts w:ascii="Calibri" w:hAnsi="Calibri"/>
          <w:b/>
          <w:color w:val="16324F"/>
          <w:sz w:val="21"/>
        </w:rPr>
        <w:t xml:space="preserve">Verdict: </w:t>
      </w:r>
      <w:r>
        <w:rPr>
          <w:rFonts w:ascii="Calibri" w:hAnsi="Calibri"/>
          <w:sz w:val="21"/>
        </w:rPr>
        <w:t>infeasible as written; conditionally feasible after major scope reduction and architectural replacement.</w:t>
      </w:r>
    </w:p>
    <w:p>
      <w:r>
        <w:t>The draft correctly identifies a real macro problem—orbital debris and long-term orbital sustainability—but its proposed solution is dominated by elements that are not credible near-term program baselines. The result is not a difficult engineering program; it is several separate moonshots stacked on top of one another, each capable of breaking the business case by itself.</w:t>
      </w:r>
    </w:p>
    <w:p>
      <w:pPr>
        <w:pStyle w:val="Heading2"/>
      </w:pPr>
      <w:r>
        <w:t>2. Subsystem assessment</w:t>
      </w:r>
    </w:p>
    <w:tbl>
      <w:tblPr>
        <w:tblStyle w:val="TableGrid"/>
        <w:tblW w:type="auto" w:w="0"/>
        <w:jc w:val="center"/>
        <w:tblLayout w:type="fixed"/>
        <w:tblLook w:firstColumn="1" w:firstRow="1" w:lastColumn="0" w:lastRow="0" w:noHBand="0" w:noVBand="1" w:val="04A0"/>
      </w:tblPr>
      <w:tblGrid>
        <w:gridCol w:w="2592"/>
        <w:gridCol w:w="1296"/>
        <w:gridCol w:w="5904"/>
      </w:tblGrid>
      <w:tr>
        <w:tc>
          <w:tcPr>
            <w:tcW w:type="dxa" w:w="3264"/>
            <w:shd w:fill="D9EAF7"/>
            <w:vAlign w:val="center"/>
          </w:tcPr>
          <w:p>
            <w:pPr>
              <w:jc w:val="center"/>
            </w:pPr>
            <w:r/>
            <w:r>
              <w:rPr>
                <w:rFonts w:ascii="Calibri" w:hAnsi="Calibri"/>
                <w:b/>
                <w:color w:val="16324F"/>
                <w:sz w:val="18"/>
              </w:rPr>
              <w:t>Topic</w:t>
            </w:r>
          </w:p>
        </w:tc>
        <w:tc>
          <w:tcPr>
            <w:tcW w:type="dxa" w:w="3264"/>
            <w:shd w:fill="D9EAF7"/>
            <w:vAlign w:val="center"/>
          </w:tcPr>
          <w:p>
            <w:pPr>
              <w:jc w:val="center"/>
            </w:pPr>
            <w:r/>
            <w:r>
              <w:rPr>
                <w:rFonts w:ascii="Calibri" w:hAnsi="Calibri"/>
                <w:b/>
                <w:color w:val="16324F"/>
                <w:sz w:val="18"/>
              </w:rPr>
              <w:t>Status</w:t>
            </w:r>
          </w:p>
        </w:tc>
        <w:tc>
          <w:tcPr>
            <w:tcW w:type="dxa" w:w="3264"/>
            <w:shd w:fill="D9EAF7"/>
            <w:vAlign w:val="center"/>
          </w:tcPr>
          <w:p>
            <w:pPr>
              <w:jc w:val="center"/>
            </w:pPr>
            <w:r/>
            <w:r>
              <w:rPr>
                <w:rFonts w:ascii="Calibri" w:hAnsi="Calibri"/>
                <w:b/>
                <w:color w:val="16324F"/>
                <w:sz w:val="18"/>
              </w:rPr>
              <w:t>Assessment</w:t>
            </w:r>
          </w:p>
        </w:tc>
      </w:tr>
      <w:tr>
        <w:tc>
          <w:tcPr>
            <w:tcW w:type="dxa" w:w="2592"/>
            <w:vAlign w:val="center"/>
          </w:tcPr>
          <w:p>
            <w:r/>
            <w:r>
              <w:rPr>
                <w:rFonts w:ascii="Calibri" w:hAnsi="Calibri"/>
                <w:b w:val="0"/>
                <w:color w:val="000000"/>
                <w:sz w:val="18"/>
              </w:rPr>
              <w:t>Debris-removal mission</w:t>
            </w:r>
          </w:p>
        </w:tc>
        <w:tc>
          <w:tcPr>
            <w:tcW w:type="dxa" w:w="1296"/>
            <w:shd w:fill="EAF5EA"/>
            <w:vAlign w:val="center"/>
          </w:tcPr>
          <w:p>
            <w:pPr>
              <w:jc w:val="center"/>
            </w:pPr>
            <w:r/>
            <w:r>
              <w:rPr>
                <w:rFonts w:ascii="Calibri" w:hAnsi="Calibri"/>
                <w:b/>
                <w:color w:val="16324F"/>
                <w:sz w:val="18"/>
              </w:rPr>
              <w:t>Green</w:t>
            </w:r>
          </w:p>
        </w:tc>
        <w:tc>
          <w:tcPr>
            <w:tcW w:type="dxa" w:w="5904"/>
            <w:vAlign w:val="center"/>
          </w:tcPr>
          <w:p>
            <w:r/>
            <w:r>
              <w:rPr>
                <w:rFonts w:ascii="Calibri" w:hAnsi="Calibri"/>
                <w:b w:val="0"/>
                <w:color w:val="000000"/>
                <w:sz w:val="18"/>
              </w:rPr>
              <w:t>Strong mission need and public-interest basis. Current agencies and commercial firms are already funding capture, inspection, and end-of-life servicing.</w:t>
            </w:r>
          </w:p>
        </w:tc>
      </w:tr>
      <w:tr>
        <w:tc>
          <w:tcPr>
            <w:tcW w:type="dxa" w:w="2592"/>
            <w:vAlign w:val="center"/>
          </w:tcPr>
          <w:p>
            <w:r/>
            <w:r>
              <w:rPr>
                <w:rFonts w:ascii="Calibri" w:hAnsi="Calibri"/>
                <w:b w:val="0"/>
                <w:color w:val="000000"/>
                <w:sz w:val="18"/>
              </w:rPr>
              <w:t>Constellation of large disk platforms</w:t>
            </w:r>
          </w:p>
        </w:tc>
        <w:tc>
          <w:tcPr>
            <w:tcW w:type="dxa" w:w="1296"/>
            <w:shd w:fill="FDE9D9"/>
            <w:vAlign w:val="center"/>
          </w:tcPr>
          <w:p>
            <w:pPr>
              <w:jc w:val="center"/>
            </w:pPr>
            <w:r/>
            <w:r>
              <w:rPr>
                <w:rFonts w:ascii="Calibri" w:hAnsi="Calibri"/>
                <w:b/>
                <w:color w:val="16324F"/>
                <w:sz w:val="18"/>
              </w:rPr>
              <w:t>Red</w:t>
            </w:r>
          </w:p>
        </w:tc>
        <w:tc>
          <w:tcPr>
            <w:tcW w:type="dxa" w:w="5904"/>
            <w:vAlign w:val="center"/>
          </w:tcPr>
          <w:p>
            <w:r/>
            <w:r>
              <w:rPr>
                <w:rFonts w:ascii="Calibri" w:hAnsi="Calibri"/>
                <w:b w:val="0"/>
                <w:color w:val="000000"/>
                <w:sz w:val="18"/>
              </w:rPr>
              <w:t>Not the right starting point. It multiplies launch, assembly, thermal, station-keeping, and servicing complexity before the first unit proves value.</w:t>
            </w:r>
          </w:p>
        </w:tc>
      </w:tr>
      <w:tr>
        <w:tc>
          <w:tcPr>
            <w:tcW w:type="dxa" w:w="2592"/>
            <w:vAlign w:val="center"/>
          </w:tcPr>
          <w:p>
            <w:r/>
            <w:r>
              <w:rPr>
                <w:rFonts w:ascii="Calibri" w:hAnsi="Calibri"/>
                <w:b w:val="0"/>
                <w:color w:val="000000"/>
                <w:sz w:val="18"/>
              </w:rPr>
              <w:t>50 MW primary laser</w:t>
            </w:r>
          </w:p>
        </w:tc>
        <w:tc>
          <w:tcPr>
            <w:tcW w:type="dxa" w:w="1296"/>
            <w:shd w:fill="FDE9D9"/>
            <w:vAlign w:val="center"/>
          </w:tcPr>
          <w:p>
            <w:pPr>
              <w:jc w:val="center"/>
            </w:pPr>
            <w:r/>
            <w:r>
              <w:rPr>
                <w:rFonts w:ascii="Calibri" w:hAnsi="Calibri"/>
                <w:b/>
                <w:color w:val="16324F"/>
                <w:sz w:val="18"/>
              </w:rPr>
              <w:t>Red</w:t>
            </w:r>
          </w:p>
        </w:tc>
        <w:tc>
          <w:tcPr>
            <w:tcW w:type="dxa" w:w="5904"/>
            <w:vAlign w:val="center"/>
          </w:tcPr>
          <w:p>
            <w:r/>
            <w:r>
              <w:rPr>
                <w:rFonts w:ascii="Calibri" w:hAnsi="Calibri"/>
                <w:b w:val="0"/>
                <w:color w:val="000000"/>
                <w:sz w:val="18"/>
              </w:rPr>
              <w:t>Not a credible program baseline. Publicly discussed high-energy laser systems are in the hundreds-of-kilowatts class, not tens of megawatts.</w:t>
            </w:r>
          </w:p>
        </w:tc>
      </w:tr>
      <w:tr>
        <w:tc>
          <w:tcPr>
            <w:tcW w:type="dxa" w:w="2592"/>
            <w:vAlign w:val="center"/>
          </w:tcPr>
          <w:p>
            <w:r/>
            <w:r>
              <w:rPr>
                <w:rFonts w:ascii="Calibri" w:hAnsi="Calibri"/>
                <w:b w:val="0"/>
                <w:color w:val="000000"/>
                <w:sz w:val="18"/>
              </w:rPr>
              <w:t>All-diamond optical train</w:t>
            </w:r>
          </w:p>
        </w:tc>
        <w:tc>
          <w:tcPr>
            <w:tcW w:type="dxa" w:w="1296"/>
            <w:shd w:fill="FFF2CC"/>
            <w:vAlign w:val="center"/>
          </w:tcPr>
          <w:p>
            <w:pPr>
              <w:jc w:val="center"/>
            </w:pPr>
            <w:r/>
            <w:r>
              <w:rPr>
                <w:rFonts w:ascii="Calibri" w:hAnsi="Calibri"/>
                <w:b/>
                <w:color w:val="16324F"/>
                <w:sz w:val="18"/>
              </w:rPr>
              <w:t>Amber</w:t>
            </w:r>
          </w:p>
        </w:tc>
        <w:tc>
          <w:tcPr>
            <w:tcW w:type="dxa" w:w="5904"/>
            <w:vAlign w:val="center"/>
          </w:tcPr>
          <w:p>
            <w:r/>
            <w:r>
              <w:rPr>
                <w:rFonts w:ascii="Calibri" w:hAnsi="Calibri"/>
                <w:b w:val="0"/>
                <w:color w:val="000000"/>
                <w:sz w:val="18"/>
              </w:rPr>
              <w:t>Diamond is compelling for selected windows, heat spreaders, and some high-flux optics. It is not a solved path to half-meter-class monolithic single-crystal focusing elements.</w:t>
            </w:r>
          </w:p>
        </w:tc>
      </w:tr>
      <w:tr>
        <w:tc>
          <w:tcPr>
            <w:tcW w:type="dxa" w:w="2592"/>
            <w:vAlign w:val="center"/>
          </w:tcPr>
          <w:p>
            <w:r/>
            <w:r>
              <w:rPr>
                <w:rFonts w:ascii="Calibri" w:hAnsi="Calibri"/>
                <w:b w:val="0"/>
                <w:color w:val="000000"/>
                <w:sz w:val="18"/>
              </w:rPr>
              <w:t>ACM zero-resistance hull</w:t>
            </w:r>
          </w:p>
        </w:tc>
        <w:tc>
          <w:tcPr>
            <w:tcW w:type="dxa" w:w="1296"/>
            <w:shd w:fill="FDE9D9"/>
            <w:vAlign w:val="center"/>
          </w:tcPr>
          <w:p>
            <w:pPr>
              <w:jc w:val="center"/>
            </w:pPr>
            <w:r/>
            <w:r>
              <w:rPr>
                <w:rFonts w:ascii="Calibri" w:hAnsi="Calibri"/>
                <w:b/>
                <w:color w:val="16324F"/>
                <w:sz w:val="18"/>
              </w:rPr>
              <w:t>Red</w:t>
            </w:r>
          </w:p>
        </w:tc>
        <w:tc>
          <w:tcPr>
            <w:tcW w:type="dxa" w:w="5904"/>
            <w:vAlign w:val="center"/>
          </w:tcPr>
          <w:p>
            <w:r/>
            <w:r>
              <w:rPr>
                <w:rFonts w:ascii="Calibri" w:hAnsi="Calibri"/>
                <w:b w:val="0"/>
                <w:color w:val="000000"/>
                <w:sz w:val="18"/>
              </w:rPr>
              <w:t>This is a speculative material/system claim, not an accepted spacecraft engineering baseline. The draft treats it as settled fact without evidence.</w:t>
            </w:r>
          </w:p>
        </w:tc>
      </w:tr>
      <w:tr>
        <w:tc>
          <w:tcPr>
            <w:tcW w:type="dxa" w:w="2592"/>
            <w:vAlign w:val="center"/>
          </w:tcPr>
          <w:p>
            <w:r/>
            <w:r>
              <w:rPr>
                <w:rFonts w:ascii="Calibri" w:hAnsi="Calibri"/>
                <w:b w:val="0"/>
                <w:color w:val="000000"/>
                <w:sz w:val="18"/>
              </w:rPr>
              <w:t>On-orbit nuclear reactor in Earth orbit</w:t>
            </w:r>
          </w:p>
        </w:tc>
        <w:tc>
          <w:tcPr>
            <w:tcW w:type="dxa" w:w="1296"/>
            <w:shd w:fill="FCE4D6"/>
            <w:vAlign w:val="center"/>
          </w:tcPr>
          <w:p>
            <w:pPr>
              <w:jc w:val="center"/>
            </w:pPr>
            <w:r/>
            <w:r>
              <w:rPr>
                <w:rFonts w:ascii="Calibri" w:hAnsi="Calibri"/>
                <w:b/>
                <w:color w:val="16324F"/>
                <w:sz w:val="18"/>
              </w:rPr>
              <w:t>Amber/Red</w:t>
            </w:r>
          </w:p>
        </w:tc>
        <w:tc>
          <w:tcPr>
            <w:tcW w:type="dxa" w:w="5904"/>
            <w:vAlign w:val="center"/>
          </w:tcPr>
          <w:p>
            <w:r/>
            <w:r>
              <w:rPr>
                <w:rFonts w:ascii="Calibri" w:hAnsi="Calibri"/>
                <w:b w:val="0"/>
                <w:color w:val="000000"/>
                <w:sz w:val="18"/>
              </w:rPr>
              <w:t>Possible in principle, but politically, regulatorily, and programmatically poor as a first-generation commercial debris-removal product.</w:t>
            </w:r>
          </w:p>
        </w:tc>
      </w:tr>
      <w:tr>
        <w:tc>
          <w:tcPr>
            <w:tcW w:type="dxa" w:w="2592"/>
            <w:vAlign w:val="center"/>
          </w:tcPr>
          <w:p>
            <w:r/>
            <w:r>
              <w:rPr>
                <w:rFonts w:ascii="Calibri" w:hAnsi="Calibri"/>
                <w:b w:val="0"/>
                <w:color w:val="000000"/>
                <w:sz w:val="18"/>
              </w:rPr>
              <w:t>On-orbit servicing</w:t>
            </w:r>
          </w:p>
        </w:tc>
        <w:tc>
          <w:tcPr>
            <w:tcW w:type="dxa" w:w="1296"/>
            <w:shd w:fill="EAF5EA"/>
            <w:vAlign w:val="center"/>
          </w:tcPr>
          <w:p>
            <w:pPr>
              <w:jc w:val="center"/>
            </w:pPr>
            <w:r/>
            <w:r>
              <w:rPr>
                <w:rFonts w:ascii="Calibri" w:hAnsi="Calibri"/>
                <w:b/>
                <w:color w:val="16324F"/>
                <w:sz w:val="18"/>
              </w:rPr>
              <w:t>Green</w:t>
            </w:r>
          </w:p>
        </w:tc>
        <w:tc>
          <w:tcPr>
            <w:tcW w:type="dxa" w:w="5904"/>
            <w:vAlign w:val="center"/>
          </w:tcPr>
          <w:p>
            <w:r/>
            <w:r>
              <w:rPr>
                <w:rFonts w:ascii="Calibri" w:hAnsi="Calibri"/>
                <w:b w:val="0"/>
                <w:color w:val="000000"/>
                <w:sz w:val="18"/>
              </w:rPr>
              <w:t>Serviceability is a strength. Current market and agency programs already support refueling, inspection, docking, and capture trajectories.</w:t>
            </w:r>
          </w:p>
        </w:tc>
      </w:tr>
      <w:tr>
        <w:tc>
          <w:tcPr>
            <w:tcW w:type="dxa" w:w="2592"/>
            <w:vAlign w:val="center"/>
          </w:tcPr>
          <w:p>
            <w:r/>
            <w:r>
              <w:rPr>
                <w:rFonts w:ascii="Calibri" w:hAnsi="Calibri"/>
                <w:b w:val="0"/>
                <w:color w:val="000000"/>
                <w:sz w:val="18"/>
              </w:rPr>
              <w:t>Debris-cleanup subscription model</w:t>
            </w:r>
          </w:p>
        </w:tc>
        <w:tc>
          <w:tcPr>
            <w:tcW w:type="dxa" w:w="1296"/>
            <w:shd w:fill="FFF2CC"/>
            <w:vAlign w:val="center"/>
          </w:tcPr>
          <w:p>
            <w:pPr>
              <w:jc w:val="center"/>
            </w:pPr>
            <w:r/>
            <w:r>
              <w:rPr>
                <w:rFonts w:ascii="Calibri" w:hAnsi="Calibri"/>
                <w:b/>
                <w:color w:val="16324F"/>
                <w:sz w:val="18"/>
              </w:rPr>
              <w:t>Amber</w:t>
            </w:r>
          </w:p>
        </w:tc>
        <w:tc>
          <w:tcPr>
            <w:tcW w:type="dxa" w:w="5904"/>
            <w:vAlign w:val="center"/>
          </w:tcPr>
          <w:p>
            <w:r/>
            <w:r>
              <w:rPr>
                <w:rFonts w:ascii="Calibri" w:hAnsi="Calibri"/>
                <w:b w:val="0"/>
                <w:color w:val="000000"/>
                <w:sz w:val="18"/>
              </w:rPr>
              <w:t>There is real demand, but current customers usually buy specific missions, disposal services, or protected operations—not blank-check constellation subscriptions.</w:t>
            </w:r>
          </w:p>
        </w:tc>
      </w:tr>
    </w:tbl>
    <w:p>
      <w:pPr>
        <w:pStyle w:val="Heading2"/>
      </w:pPr>
      <w:r>
        <w:t>3. Why the original draft fails</w:t>
      </w:r>
    </w:p>
    <w:p>
      <w:r>
        <w:rPr>
          <w:rFonts w:ascii="Calibri" w:hAnsi="Calibri"/>
          <w:b/>
          <w:color w:val="16324F"/>
          <w:sz w:val="21"/>
        </w:rPr>
        <w:t xml:space="preserve">Too many breakthroughs at once. </w:t>
      </w:r>
      <w:r>
        <w:rPr>
          <w:rFonts w:ascii="Calibri" w:hAnsi="Calibri"/>
          <w:sz w:val="21"/>
        </w:rPr>
        <w:t>The concept assumes concurrent success in megawatt-class orbital directed energy, large-aperture diamond optics, structural zero-resistance conductors, orbital reactor integration, and large-scale crew assembly.</w:t>
      </w:r>
    </w:p>
    <w:p>
      <w:r>
        <w:rPr>
          <w:rFonts w:ascii="Calibri" w:hAnsi="Calibri"/>
          <w:b/>
          <w:color w:val="16324F"/>
          <w:sz w:val="21"/>
        </w:rPr>
        <w:t xml:space="preserve">The power scale is mismatched to current orbital systems. </w:t>
      </w:r>
      <w:r>
        <w:rPr>
          <w:rFonts w:ascii="Calibri" w:hAnsi="Calibri"/>
          <w:sz w:val="21"/>
        </w:rPr>
        <w:t>NASA’s Gateway power-and-propulsion element is a 60 kW-class spacecraft, and the ISS generates roughly 75–90 kW average power. A 50 MW laser architecture sits orders of magnitude above current civil orbital power baselines.</w:t>
      </w:r>
    </w:p>
    <w:p>
      <w:r>
        <w:rPr>
          <w:rFonts w:ascii="Calibri" w:hAnsi="Calibri"/>
          <w:b/>
          <w:color w:val="16324F"/>
          <w:sz w:val="21"/>
        </w:rPr>
        <w:t xml:space="preserve">The legal and financing story collapses under dual-use ambiguity. </w:t>
      </w:r>
      <w:r>
        <w:rPr>
          <w:rFonts w:ascii="Calibri" w:hAnsi="Calibri"/>
          <w:sz w:val="21"/>
        </w:rPr>
        <w:t>Trying to sell debris cleanup while embedding a missile-defense mission is not a subtle governance trick; it is the first thing insurers, export-control authorities, regulators, investors, and foreign governments will focus on.</w:t>
      </w:r>
    </w:p>
    <w:p>
      <w:r>
        <w:rPr>
          <w:rFonts w:ascii="Calibri" w:hAnsi="Calibri"/>
          <w:b/>
          <w:color w:val="16324F"/>
          <w:sz w:val="21"/>
        </w:rPr>
        <w:t xml:space="preserve">The operating concept is backward. </w:t>
      </w:r>
      <w:r>
        <w:rPr>
          <w:rFonts w:ascii="Calibri" w:hAnsi="Calibri"/>
          <w:sz w:val="21"/>
        </w:rPr>
        <w:t>A high-value, reactor-powered super-platform is not how the market is currently proving debris removal. Today’s credible path is smaller servicers, target characterization, consent-based rendezvous, and single-object or small-batch remediation.</w:t>
      </w:r>
    </w:p>
    <w:p>
      <w:pPr>
        <w:pStyle w:val="Heading2"/>
      </w:pPr>
      <w:r>
        <w:t>4. Recommended reset</w:t>
      </w:r>
    </w:p>
    <w:p>
      <w:pPr>
        <w:pStyle w:val="ListBullet"/>
      </w:pPr>
      <w:r>
        <w:t>Keep: the debris-removal mission, serviceability, modularity, strong sensor stack, and revenue focus on orbital sustainability services.</w:t>
      </w:r>
    </w:p>
    <w:p>
      <w:pPr>
        <w:pStyle w:val="ListBullet"/>
      </w:pPr>
      <w:r>
        <w:t>Remove: missile-defense language, directed-energy weapon architecture, nuclear-reactor baseline, speculative ACM claims, and the giant disk-form platform as the starting configuration.</w:t>
      </w:r>
    </w:p>
    <w:p>
      <w:pPr>
        <w:pStyle w:val="ListBullet"/>
      </w:pPr>
      <w:r>
        <w:t>Replace with: a layered civil architecture consisting of surveillance nodes, autonomous servicers, and deorbit/relocation kits, with solar-electric power and consent-based operations.</w:t>
      </w:r>
    </w:p>
    <w:p>
      <w:pPr>
        <w:pStyle w:val="Heading2"/>
      </w:pPr>
      <w:r>
        <w:t>5. Program recommendation</w:t>
      </w:r>
    </w:p>
    <w:p>
      <w:r>
        <w:rPr>
          <w:rFonts w:ascii="Calibri" w:hAnsi="Calibri"/>
          <w:b/>
          <w:color w:val="16324F"/>
          <w:sz w:val="21"/>
        </w:rPr>
        <w:t xml:space="preserve">Recommendation: </w:t>
      </w:r>
      <w:r>
        <w:rPr>
          <w:rFonts w:ascii="Calibri" w:hAnsi="Calibri"/>
          <w:sz w:val="21"/>
        </w:rPr>
        <w:t>advance only as a non-weaponized debris-removal and in-orbit servicing program. Treat the original draft as a concept exploration, not as an executable specification.</w:t>
      </w:r>
    </w:p>
    <w:p>
      <w:r>
        <w:br w:type="page"/>
      </w:r>
    </w:p>
    <w:p>
      <w:pPr>
        <w:pStyle w:val="Heading1"/>
      </w:pPr>
      <w:r>
        <w:t>Part II — Rewritten Paper</w:t>
      </w:r>
    </w:p>
    <w:p>
      <w:pPr>
        <w:pStyle w:val="Heading2"/>
      </w:pPr>
      <w:r>
        <w:t>Orbital Debris Removal and In-Orbit Servicing Platform</w:t>
      </w:r>
    </w:p>
    <w:p>
      <w:r>
        <w:rPr>
          <w:rFonts w:ascii="Calibri" w:hAnsi="Calibri"/>
          <w:i/>
          <w:color w:val="555555"/>
          <w:sz w:val="22"/>
        </w:rPr>
        <w:t>Design Specification — Revised Civil Architecture</w:t>
      </w:r>
    </w:p>
    <w:p>
      <w:pPr>
        <w:pStyle w:val="Heading2"/>
      </w:pPr>
      <w:r>
        <w:t>Executive Summary</w:t>
      </w:r>
    </w:p>
    <w:p>
      <w:r>
        <w:t>This document specifies a civil orbital platform system whose primary mission is the removal, relocation, and end-of-life disposal of space debris, and whose secondary mission is in-orbit servicing for cooperative spacecraft. The revised architecture replaces the prior single massive orbital platform with a layered system: (1) a space-domain-awareness layer for detection and tracking, (2) autonomous servicer vehicles for rendezvous, inspection, capture, and disposal, and (3) optional attachable deorbit or relocation kits for customer spacecraft. The baseline power system is solar-electric rather than reactor-based, and the baseline effectors are robotic, magnetic, tethered, or propulsion-assisted rather than directed-energy.</w:t>
      </w:r>
    </w:p>
    <w:p/>
    <w:p>
      <w:r>
        <w:t>The design goal is not maximal spectacle; it is executable capability. The system is therefore optimized for consent-based operations, regulatory acceptability, and service revenue tied to real customer demand. The revised concept is intentionally compatible with the direction already visible in current industry and agency programs: target characterization, rendezvous and proximity operations, capture of cooperative and later uncooperative objects, and disposal or relocation under transparent rules of engagement.</w:t>
      </w:r>
    </w:p>
    <w:p>
      <w:pPr>
        <w:pStyle w:val="Heading2"/>
      </w:pPr>
      <w:r>
        <w:t>Design Philosophy</w:t>
      </w:r>
    </w:p>
    <w:p>
      <w:r>
        <w:t>1. Civil mission first. The platform exists to reduce debris risk and extend useful orbital capacity.</w:t>
      </w:r>
    </w:p>
    <w:p>
      <w:r>
        <w:t>2. Prove capability incrementally. Start with inspection and cooperative servicing, then expand into uncooperative debris capture.</w:t>
      </w:r>
    </w:p>
    <w:p>
      <w:r>
        <w:t>3. Use known physics and credible manufacturing paths. Do not assume multiple simultaneous breakthroughs.</w:t>
      </w:r>
    </w:p>
    <w:p>
      <w:r>
        <w:t>4. Design for consent, traceability, and auditability. Every removal event must be attributable, authorized, and reconstructable.</w:t>
      </w:r>
    </w:p>
    <w:p>
      <w:r>
        <w:t>5. Minimize irreversible actions. Inspect first; relocate or deorbit only after positive identification and authorization.</w:t>
      </w:r>
    </w:p>
    <w:p>
      <w:r>
        <w:t>6. Build for servicing. The servicer fleet is itself serviceable and upgradeable.</w:t>
      </w:r>
    </w:p>
    <w:p>
      <w:r>
        <w:t>7. Make economics legible. Customers should be able to buy a disposal mission, standby protection, or inspection service without funding an entire constellation.</w:t>
      </w:r>
    </w:p>
    <w:p>
      <w:pPr>
        <w:pStyle w:val="Heading2"/>
      </w:pPr>
      <w:r>
        <w:t>Mission Scope</w:t>
      </w:r>
    </w:p>
    <w:p>
      <w:r>
        <w:t>Primary services:</w:t>
      </w:r>
    </w:p>
    <w:p>
      <w:pPr>
        <w:pStyle w:val="ListBullet"/>
      </w:pPr>
      <w:r>
        <w:t>Removal of failed spacecraft and large debris from congested LEO regimes.</w:t>
      </w:r>
    </w:p>
    <w:p>
      <w:pPr>
        <w:pStyle w:val="ListBullet"/>
      </w:pPr>
      <w:r>
        <w:t>End-of-life disposal support for cooperative customer satellites.</w:t>
      </w:r>
    </w:p>
    <w:p>
      <w:pPr>
        <w:pStyle w:val="ListBullet"/>
      </w:pPr>
      <w:r>
        <w:t>Inspection and characterization of resident space objects.</w:t>
      </w:r>
    </w:p>
    <w:p>
      <w:pPr>
        <w:pStyle w:val="ListBullet"/>
      </w:pPr>
      <w:r>
        <w:t>Attachment of drag sails, propulsion kits, or relocation devices where authorized.</w:t>
      </w:r>
    </w:p>
    <w:p/>
    <w:p>
      <w:r>
        <w:t>Excluded from scope:</w:t>
      </w:r>
    </w:p>
    <w:p>
      <w:pPr>
        <w:pStyle w:val="ListBullet"/>
      </w:pPr>
      <w:r>
        <w:t>Missile defense, counterspace operations, coercive proximity operations, or any undeclared dual-use mission.</w:t>
      </w:r>
    </w:p>
    <w:p>
      <w:pPr>
        <w:pStyle w:val="ListBullet"/>
      </w:pPr>
      <w:r>
        <w:t>Destructive fragmentation as a debris-removal method.</w:t>
      </w:r>
    </w:p>
    <w:p>
      <w:pPr>
        <w:pStyle w:val="ListBullet"/>
      </w:pPr>
      <w:r>
        <w:t>Ground-directed or atmosphere-penetrating directed-energy operations.</w:t>
      </w:r>
    </w:p>
    <w:p>
      <w:pPr>
        <w:pStyle w:val="Heading2"/>
      </w:pPr>
      <w:r>
        <w:t>System Architecture</w:t>
      </w:r>
    </w:p>
    <w:p>
      <w:r>
        <w:t>The revised system uses a distributed architecture rather than a single super-platform.</w:t>
      </w:r>
    </w:p>
    <w:p/>
    <w:p>
      <w:r>
        <w:t>A. Surveillance Layer</w:t>
      </w:r>
    </w:p>
    <w:p>
      <w:r>
        <w:t>A mix of commercial and government tracking data is fused with platform-owned optical and infrared sensors. Small hosted payloads or dedicated surveillance spacecraft improve revisit rate for high-interest objects and refine state vectors before servicer dispatch.</w:t>
      </w:r>
    </w:p>
    <w:p/>
    <w:p>
      <w:r>
        <w:t>B. Servicer Layer</w:t>
      </w:r>
    </w:p>
    <w:p>
      <w:r>
        <w:t>Medium-size servicer spacecraft perform rendezvous, inspection, station-keeping, capture, and disposal. Different servicer variants can specialize for cooperative docking, magnetic docking plates, robotic grappling, or kit attachment.</w:t>
      </w:r>
    </w:p>
    <w:p/>
    <w:p>
      <w:r>
        <w:t>C. Disposal Layer</w:t>
      </w:r>
    </w:p>
    <w:p>
      <w:r>
        <w:t>Once a target is secured, the servicer either: (1) lowers perigee for controlled reentry if allowed, (2) transfers the object to a disposal orbit, or (3) attaches a kit that performs the disposal maneuver autonomously.</w:t>
      </w:r>
    </w:p>
    <w:p/>
    <w:p>
      <w:r>
        <w:t>This architecture scales by adding more servicers and sensor coverage rather than by building larger single vehicles.</w:t>
      </w:r>
    </w:p>
    <w:p>
      <w:pPr>
        <w:pStyle w:val="Heading2"/>
      </w:pPr>
      <w:r>
        <w:t>Orbital Strategy</w:t>
      </w:r>
    </w:p>
    <w:p>
      <w:r>
        <w:t>Phase 1 should focus on LEO because collision density, disposal urgency, and customer demand are strongest there. LEO also offers shorter transfer times and clearer value capture through insured mission protection and disposal services.</w:t>
      </w:r>
    </w:p>
    <w:p/>
    <w:p>
      <w:r>
        <w:t>GEO servicing can be added later through dedicated missions optimized for relocation to graveyard orbit, inspection, and anomaly response. GEO should not share the same vehicle design as LEO by default; propulsion, thermal, communications, and time-on-station assumptions differ too much.</w:t>
      </w:r>
    </w:p>
    <w:p/>
    <w:p>
      <w:r>
        <w:t>The program therefore uses mission-specific vehicle families rather than a single identical platform at all altitudes.</w:t>
      </w:r>
    </w:p>
    <w:p>
      <w:pPr>
        <w:pStyle w:val="Heading2"/>
      </w:pPr>
      <w:r>
        <w:t>Vehicle Configuration</w:t>
      </w:r>
    </w:p>
    <w:p>
      <w:r>
        <w:t>Baseline servicer characteristics:</w:t>
      </w:r>
    </w:p>
    <w:p>
      <w:pPr>
        <w:pStyle w:val="ListBullet"/>
      </w:pPr>
      <w:r>
        <w:t>Bus class sized for autonomous rendezvous and multi-month operations, not for megawatt payloads.</w:t>
      </w:r>
    </w:p>
    <w:p>
      <w:pPr>
        <w:pStyle w:val="ListBullet"/>
      </w:pPr>
      <w:r>
        <w:t>Solar arrays and batteries sized for propulsion, sensors, robotic systems, and communications.</w:t>
      </w:r>
    </w:p>
    <w:p>
      <w:pPr>
        <w:pStyle w:val="ListBullet"/>
      </w:pPr>
      <w:r>
        <w:t>Electric propulsion for efficient transfers and phasing; cold-gas or warm-gas thrusters for fine proximity operations where plume contamination matters.</w:t>
      </w:r>
    </w:p>
    <w:p>
      <w:pPr>
        <w:pStyle w:val="ListBullet"/>
      </w:pPr>
      <w:r>
        <w:t>Docking interfaces and modular mission bay to swap grapples, kits, or inspection payloads.</w:t>
      </w:r>
    </w:p>
    <w:p>
      <w:pPr>
        <w:pStyle w:val="ListBullet"/>
      </w:pPr>
      <w:r>
        <w:t>Radiation-tolerant avionics appropriate to the target orbit and mission duration.</w:t>
      </w:r>
    </w:p>
    <w:p/>
    <w:p>
      <w:r>
        <w:t>The servicer is designed around stability, controllability, and recoverability. It is not a weapons carriage platform.</w:t>
      </w:r>
    </w:p>
    <w:p>
      <w:pPr>
        <w:pStyle w:val="Heading2"/>
      </w:pPr>
      <w:r>
        <w:t>Capture and Disposal Methods</w:t>
      </w:r>
    </w:p>
    <w:p>
      <w:r>
        <w:t>The revised platform uses non-destructive removal methods matched to target condition.</w:t>
      </w:r>
    </w:p>
    <w:p/>
    <w:p>
      <w:r>
        <w:t>1. Cooperative target disposal. If the customer spacecraft has a docking fixture or client plate, the servicer docks, assumes attitude control assistance if needed, and executes the agreed disposal maneuver.</w:t>
      </w:r>
    </w:p>
    <w:p/>
    <w:p>
      <w:r>
        <w:t>2. Magnetic docking to prepared targets. For future customer spacecraft, a standardized docking plate reduces capture risk and operating cost.</w:t>
      </w:r>
    </w:p>
    <w:p/>
    <w:p>
      <w:r>
        <w:t>3. Robotic capture of uncooperative targets. For legacy debris, the servicer performs inspection, tumble characterization, and approach planning before grapple.</w:t>
      </w:r>
    </w:p>
    <w:p/>
    <w:p>
      <w:r>
        <w:t>4. Attachment of disposal kits. Drag devices, propulsion kits, or relocation modules can be left on the target, freeing the servicer for the next job.</w:t>
      </w:r>
    </w:p>
    <w:p/>
    <w:p>
      <w:r>
        <w:t>5. Relocation instead of destruction. The default is to move or dispose of objects intact. Creating new fragments is mission failure, not a valid operating mode.</w:t>
      </w:r>
    </w:p>
    <w:p>
      <w:pPr>
        <w:pStyle w:val="Heading2"/>
      </w:pPr>
      <w:r>
        <w:t>Sensors and Autonomy</w:t>
      </w:r>
    </w:p>
    <w:p>
      <w:r>
        <w:t>The sensor suite combines long-range tracking with close-range relative navigation.</w:t>
      </w:r>
    </w:p>
    <w:p/>
    <w:p>
      <w:pPr>
        <w:pStyle w:val="ListBullet"/>
      </w:pPr>
      <w:r>
        <w:t>Optical and infrared sensors support approach planning, target identification, and anomaly detection.</w:t>
      </w:r>
    </w:p>
    <w:p>
      <w:pPr>
        <w:pStyle w:val="ListBullet"/>
      </w:pPr>
      <w:r>
        <w:t>LIDAR or flash lidar supports range, shape, and closure-rate estimation in final approach.</w:t>
      </w:r>
    </w:p>
    <w:p>
      <w:pPr>
        <w:pStyle w:val="ListBullet"/>
      </w:pPr>
      <w:r>
        <w:t>Onboard autonomy assists with collision avoidance, station-keeping, target pose estimation, and robotic sequencing, but human oversight remains mandatory for irreversible actions such as capture and disposal burn authorization.</w:t>
      </w:r>
    </w:p>
    <w:p/>
    <w:p>
      <w:r>
        <w:t>Autonomy is used to compress reaction time and reduce operator burden, not to hide decision authority.</w:t>
      </w:r>
    </w:p>
    <w:p>
      <w:pPr>
        <w:pStyle w:val="Heading2"/>
      </w:pPr>
      <w:r>
        <w:t>Power, Thermal, and Materials</w:t>
      </w:r>
    </w:p>
    <w:p>
      <w:r>
        <w:t>The baseline power architecture is solar-electric. This is the correct starting point for a first-generation civil system because it aligns with current spacecraft practice, licensing expectations, and manufacturing readiness.</w:t>
      </w:r>
    </w:p>
    <w:p/>
    <w:p>
      <w:r>
        <w:t>High-performance materials still matter, but their use is narrowed to applications with clear value. Diamond and diamond-like materials may be justified for sensor windows, heat spreaders, or other high-flux optical elements where cost is supported by lifetime or thermal performance. They are not assumed as a universal platform material, nor as a prerequisite for core mission success.</w:t>
      </w:r>
    </w:p>
    <w:p/>
    <w:p>
      <w:r>
        <w:t>Thermal design follows standard spacecraft principles: isolate hot subsystems, reject waste heat through deployable radiators, and avoid heroic assumptions about superconducting or zero-loss structural power distribution.</w:t>
      </w:r>
    </w:p>
    <w:p>
      <w:pPr>
        <w:pStyle w:val="Heading2"/>
      </w:pPr>
      <w:r>
        <w:t>Ground Segment and Operations</w:t>
      </w:r>
    </w:p>
    <w:p>
      <w:r>
        <w:t>The ground segment handles mission planning, conjunction assessment, customer authorization, fleet scheduling, and post-mission reporting. Each mission requires a documented chain of authorization covering target identity, ownership or delegated authority, intended disposal action, and post-action verification.</w:t>
      </w:r>
    </w:p>
    <w:p/>
    <w:p>
      <w:r>
        <w:t>Operations follow a staged sequence:</w:t>
      </w:r>
    </w:p>
    <w:p>
      <w:r>
        <w:t>1. Select target and confirm legal authority.</w:t>
      </w:r>
    </w:p>
    <w:p>
      <w:r>
        <w:t>2. Refine orbit and characterize attitude state.</w:t>
      </w:r>
    </w:p>
    <w:p>
      <w:r>
        <w:t>3. Dispatch servicer and conduct long-range approach.</w:t>
      </w:r>
    </w:p>
    <w:p>
      <w:r>
        <w:t>4. Perform close inspection and final go/no-go review.</w:t>
      </w:r>
    </w:p>
    <w:p>
      <w:r>
        <w:t>5. Capture or attach disposal kit.</w:t>
      </w:r>
    </w:p>
    <w:p>
      <w:r>
        <w:t>6. Execute disposal or relocation maneuver.</w:t>
      </w:r>
    </w:p>
    <w:p>
      <w:r>
        <w:t>7. Verify outcome and update catalog records.</w:t>
      </w:r>
    </w:p>
    <w:p>
      <w:pPr>
        <w:pStyle w:val="Heading2"/>
      </w:pPr>
      <w:r>
        <w:t>On-Orbit Servicing</w:t>
      </w:r>
    </w:p>
    <w:p>
      <w:r>
        <w:t>The same platform family can support adjacent commercial services that strengthen the business case:</w:t>
      </w:r>
    </w:p>
    <w:p>
      <w:pPr>
        <w:pStyle w:val="ListBullet"/>
      </w:pPr>
      <w:r>
        <w:t>life-extension docking for cooperative spacecraft,</w:t>
      </w:r>
    </w:p>
    <w:p>
      <w:pPr>
        <w:pStyle w:val="ListBullet"/>
      </w:pPr>
      <w:r>
        <w:t>anomaly inspection,</w:t>
      </w:r>
    </w:p>
    <w:p>
      <w:pPr>
        <w:pStyle w:val="ListBullet"/>
      </w:pPr>
      <w:r>
        <w:t>relocation support,</w:t>
      </w:r>
    </w:p>
    <w:p>
      <w:pPr>
        <w:pStyle w:val="ListBullet"/>
      </w:pPr>
      <w:r>
        <w:t>tug services for hosted payload deployment, and</w:t>
      </w:r>
    </w:p>
    <w:p>
      <w:pPr>
        <w:pStyle w:val="ListBullet"/>
      </w:pPr>
      <w:r>
        <w:t>disposal compliance support at end of mission.</w:t>
      </w:r>
    </w:p>
    <w:p/>
    <w:p>
      <w:r>
        <w:t>These adjacent services matter because a debris-only business can be episodic and procurement-driven. Servicing revenue smooths demand and helps justify fleet utilization between removal campaigns.</w:t>
      </w:r>
    </w:p>
    <w:p>
      <w:pPr>
        <w:pStyle w:val="Heading2"/>
      </w:pPr>
      <w:r>
        <w:t>Legal and Regulatory Basis</w:t>
      </w:r>
    </w:p>
    <w:p>
      <w:r>
        <w:t>The revised civil architecture is designed to align with the existing space-law and debris-mitigation framework rather than test its outer edge. The project should be structured around the Outer Space Treaty, the Liability Convention, national licensing requirements, the UN space-debris mitigation and long-term sustainability framework, and contemporary post-mission-disposal rules such as the FCC’s five-year requirement for many LEO systems.</w:t>
      </w:r>
    </w:p>
    <w:p/>
    <w:p>
      <w:r>
        <w:t>The governing principle is simple: remove or relocate objects only with clear legal authority, full operator transparency, and auditable mission records. The platform should never rely on ambiguity about its purpose.</w:t>
      </w:r>
    </w:p>
    <w:p>
      <w:pPr>
        <w:pStyle w:val="Heading2"/>
      </w:pPr>
      <w:r>
        <w:t>Economic Model</w:t>
      </w:r>
    </w:p>
    <w:p>
      <w:r>
        <w:t>The business model should be transaction-based before it becomes subscription-based.</w:t>
      </w:r>
    </w:p>
    <w:p/>
    <w:p>
      <w:r>
        <w:t>Phase 1 revenue products:</w:t>
      </w:r>
    </w:p>
    <w:p>
      <w:pPr>
        <w:pStyle w:val="ListBullet"/>
      </w:pPr>
      <w:r>
        <w:t>target inspection mission,</w:t>
      </w:r>
    </w:p>
    <w:p>
      <w:pPr>
        <w:pStyle w:val="ListBullet"/>
      </w:pPr>
      <w:r>
        <w:t>cooperative end-of-life disposal mission,</w:t>
      </w:r>
    </w:p>
    <w:p>
      <w:pPr>
        <w:pStyle w:val="ListBullet"/>
      </w:pPr>
      <w:r>
        <w:t>disposal kit delivery and attachment,</w:t>
      </w:r>
    </w:p>
    <w:p>
      <w:pPr>
        <w:pStyle w:val="ListBullet"/>
      </w:pPr>
      <w:r>
        <w:t>fleet standby for high-value customer constellations,</w:t>
      </w:r>
    </w:p>
    <w:p>
      <w:pPr>
        <w:pStyle w:val="ListBullet"/>
      </w:pPr>
      <w:r>
        <w:t>GEO inspection or relocation missions priced separately.</w:t>
      </w:r>
    </w:p>
    <w:p/>
    <w:p>
      <w:r>
        <w:t>Only after a significant flight record should the company offer broader orbital-protection subscriptions. Customers are far more likely to buy a clearly scoped disposal service than to fund a speculative global cleanup infrastructure on day one.</w:t>
      </w:r>
    </w:p>
    <w:p>
      <w:pPr>
        <w:pStyle w:val="Heading2"/>
      </w:pPr>
      <w:r>
        <w:t>Development Roadmap</w:t>
      </w:r>
    </w:p>
    <w:p>
      <w:r>
        <w:t>Phase 0 — Mission design and authority framework</w:t>
      </w:r>
    </w:p>
    <w:p>
      <w:r>
        <w:t>Define customer types, target classes, legal authority workflows, and insurance approach.</w:t>
      </w:r>
    </w:p>
    <w:p/>
    <w:p>
      <w:r>
        <w:t>Phase 1 — Inspection and cooperative servicing demo</w:t>
      </w:r>
    </w:p>
    <w:p>
      <w:r>
        <w:t>Fly a mission that proves rendezvous, inspection, and a low-risk servicing or disposal action on a prepared target.</w:t>
      </w:r>
    </w:p>
    <w:p/>
    <w:p>
      <w:r>
        <w:t>Phase 2 — Uncooperative target capture demo</w:t>
      </w:r>
    </w:p>
    <w:p>
      <w:r>
        <w:t>Demonstrate approach, characterization, and secure attachment to a legacy object under controlled conditions.</w:t>
      </w:r>
    </w:p>
    <w:p/>
    <w:p>
      <w:r>
        <w:t>Phase 3 — Operational fleet entry</w:t>
      </w:r>
    </w:p>
    <w:p>
      <w:r>
        <w:t>Deploy a small servicer fleet focused on LEO disposal and inspection contracts.</w:t>
      </w:r>
    </w:p>
    <w:p/>
    <w:p>
      <w:r>
        <w:t>Phase 4 — GEO servicing expansion</w:t>
      </w:r>
    </w:p>
    <w:p>
      <w:r>
        <w:t>Add specialized GEO missions for relocation, anomaly response, and graveyard-orbit support.</w:t>
      </w:r>
    </w:p>
    <w:p>
      <w:pPr>
        <w:pStyle w:val="Heading2"/>
      </w:pPr>
      <w:r>
        <w:t>Key Risks and Controls</w:t>
      </w:r>
    </w:p>
    <w:p>
      <w:r>
        <w:t>Technical risk: proximity operations around tumbling, uncooperative objects. Control: inspect-first mission design, conservative capture envelopes, and phased target classes.</w:t>
      </w:r>
    </w:p>
    <w:p/>
    <w:p>
      <w:r>
        <w:t>Legal risk: disputed authority to remove or move an object. Control: no-action policy without explicit authority chain and mission log.</w:t>
      </w:r>
    </w:p>
    <w:p/>
    <w:p>
      <w:r>
        <w:t>Program risk: weak demand concentration. Control: combine disposal, inspection, and servicing lines.</w:t>
      </w:r>
    </w:p>
    <w:p/>
    <w:p>
      <w:r>
        <w:t>Financial risk: high cost per removal. Control: standardize interfaces, use attachable kits, and prioritize prepared customer targets early.</w:t>
      </w:r>
    </w:p>
    <w:p/>
    <w:p>
      <w:r>
        <w:t>Reputational risk: perception as a counterspace system. Control: transparent civil charter, published operating doctrine, third-party auditability, and exclusion of destructive or military mission sets.</w:t>
      </w:r>
    </w:p>
    <w:p>
      <w:pPr>
        <w:pStyle w:val="Heading2"/>
      </w:pPr>
      <w:r>
        <w:t>Summary</w:t>
      </w:r>
    </w:p>
    <w:p>
      <w:r>
        <w:t>A feasible version of this project exists, but it is not an orbital weapons platform disguised as debris cleanup. It is a civil debris-removal and servicing business built around inspection, rendezvous, capture, disposal, and transparent governance. The revised architecture deliberately favors what can be demonstrated, licensed, insured, financed, and sold.</w:t>
      </w:r>
    </w:p>
    <w:p/>
    <w:p>
      <w:r>
        <w:t>The strategic value of the program comes from making orbital regimes safer and more usable, not from embedding undeclared military capability. If the project is kept inside that boundary, it can become real.</w:t>
      </w:r>
    </w:p>
    <w:p>
      <w:pPr>
        <w:pStyle w:val="Heading1"/>
      </w:pPr>
      <w:r>
        <w:t>References</w:t>
      </w:r>
    </w:p>
    <w:p>
      <w:pPr>
        <w:pStyle w:val="BodySmall"/>
        <w:ind w:left="216" w:hanging="216"/>
      </w:pPr>
      <w:r>
        <w:t>[1] ESA, Space Environment Report 2025, reporting that about 40,000 objects are tracked in Earth orbit and about 11,000 are active payloads.</w:t>
      </w:r>
    </w:p>
    <w:p>
      <w:pPr>
        <w:pStyle w:val="BodySmall"/>
        <w:ind w:left="216" w:hanging="216"/>
      </w:pPr>
      <w:r>
        <w:t>[2] ESA, Active Debris Removal, describing current agency work on active debris removal and design-for-removal technologies.</w:t>
      </w:r>
    </w:p>
    <w:p>
      <w:pPr>
        <w:pStyle w:val="BodySmall"/>
        <w:ind w:left="216" w:hanging="216"/>
      </w:pPr>
      <w:r>
        <w:t>[3] ESA, ClearSpace-1, describing the first mission to remove an unprepared and uncooperative object from orbit.</w:t>
      </w:r>
    </w:p>
    <w:p>
      <w:pPr>
        <w:pStyle w:val="BodySmall"/>
        <w:ind w:left="216" w:hanging="216"/>
      </w:pPr>
      <w:r>
        <w:t>[4] Astroscale, ELSA-d mission page, describing a commercial demonstration of rendezvous, proximity operations, repeated magnetic capture, and deorbit completion.</w:t>
      </w:r>
    </w:p>
    <w:p>
      <w:pPr>
        <w:pStyle w:val="BodySmall"/>
        <w:ind w:left="216" w:hanging="216"/>
      </w:pPr>
      <w:r>
        <w:t>[5] Astroscale, ADRAS-J mission summary, describing close approach and characterization of an existing large debris object.</w:t>
      </w:r>
    </w:p>
    <w:p>
      <w:pPr>
        <w:pStyle w:val="BodySmall"/>
        <w:ind w:left="216" w:hanging="216"/>
      </w:pPr>
      <w:r>
        <w:t>[6] NASA, Gateway Power and Propulsion Element, stating a 60 kW power level for the spacecraft power system.</w:t>
      </w:r>
    </w:p>
    <w:p>
      <w:pPr>
        <w:pStyle w:val="BodySmall"/>
        <w:ind w:left="216" w:hanging="216"/>
      </w:pPr>
      <w:r>
        <w:t>[7] NASA, International Space Station Facts and Figures, stating that ISS solar arrays provide roughly 75–90 kW of power.</w:t>
      </w:r>
    </w:p>
    <w:p>
      <w:pPr>
        <w:pStyle w:val="BodySmall"/>
        <w:ind w:left="216" w:hanging="216"/>
      </w:pPr>
      <w:r>
        <w:t>[8] Lockheed Martin, 2023 release on a 300 kW-class solid-state laser weapon system, used here only as an external scale reference for currently public high-energy laser baselines.</w:t>
      </w:r>
    </w:p>
    <w:p>
      <w:pPr>
        <w:pStyle w:val="BodySmall"/>
        <w:ind w:left="216" w:hanging="216"/>
      </w:pPr>
      <w:r>
        <w:t>[9] UNOOSA, Outer Space Treaty and associated UN space-law materials.</w:t>
      </w:r>
    </w:p>
    <w:p>
      <w:pPr>
        <w:pStyle w:val="BodySmall"/>
        <w:ind w:left="216" w:hanging="216"/>
      </w:pPr>
      <w:r>
        <w:t>[10] UNOOSA, Principles Relevant to the Use of Nuclear Power Sources in Outer Space.</w:t>
      </w:r>
    </w:p>
    <w:p>
      <w:pPr>
        <w:pStyle w:val="BodySmall"/>
        <w:ind w:left="216" w:hanging="216"/>
      </w:pPr>
      <w:r>
        <w:t>[11] FCC, orbital-debris mitigation rulemakings, including the five-year post-mission disposal requirement for many LEO systems.</w:t>
      </w:r>
    </w:p>
    <w:p>
      <w:pPr>
        <w:pStyle w:val="BodySmall"/>
        <w:ind w:left="216" w:hanging="216"/>
      </w:pPr>
      <w:r>
        <w:t>[12] Diamond optics manufacturing references used only to assess manufacturability assumptions in the original draft: Element Six CVD Diamond Handbook and Coherent CVD Diamond Substrates materials pages.</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Feasibility Study and Revised Concept Paper | April 17,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pPr>
      <w:spacing w:after="8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