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DocTitle"/>
        <w:jc w:val="center"/>
      </w:pPr>
      <w:r>
        <w:rPr>
          <w:rFonts w:ascii="Aptos Display" w:hAnsi="Aptos Display"/>
          <w:b/>
          <w:color w:val="183860"/>
          <w:sz w:val="48"/>
        </w:rPr>
        <w:t>Orbital Platform Design</w:t>
      </w:r>
    </w:p>
    <w:p>
      <w:pPr>
        <w:pStyle w:val="DocSubtitle"/>
        <w:jc w:val="center"/>
      </w:pPr>
      <w:r>
        <w:rPr>
          <w:rFonts w:ascii="Aptos" w:hAnsi="Aptos"/>
          <w:color w:val="4E5C70"/>
          <w:sz w:val="24"/>
        </w:rPr>
        <w:t>Revision 4 - Civil Debris Removal and In-Orbit Servicing Architecture</w:t>
      </w:r>
    </w:p>
    <w:p>
      <w:pPr>
        <w:pStyle w:val="DocSubtitle"/>
        <w:jc w:val="center"/>
      </w:pPr>
      <w:r>
        <w:rPr>
          <w:rFonts w:ascii="Aptos" w:hAnsi="Aptos"/>
          <w:i/>
          <w:color w:val="627387"/>
          <w:sz w:val="21"/>
        </w:rPr>
        <w:t>Updated design specification integrating the feasibility corrections from the companion review</w:t>
      </w:r>
    </w:p>
    <w:tbl>
      <w:tblPr>
        <w:tblW w:type="auto" w:w="0"/>
        <w:jc w:val="center"/>
        <w:tblLayout w:type="fixed"/>
        <w:tblLook w:firstColumn="1" w:firstRow="1" w:lastColumn="0" w:lastRow="0" w:noHBand="0" w:noVBand="1" w:val="04A0"/>
      </w:tblPr>
      <w:tblGrid>
        <w:gridCol w:w="2880"/>
        <w:gridCol w:w="6624"/>
      </w:tblGrid>
      <w:tr>
        <w:tc>
          <w:tcPr>
            <w:tcW w:type="dxa" w:w="4968"/>
            <w:vAlign w:val="center"/>
            <w:tcMar>
              <w:top w:w="80" w:type="dxa"/>
              <w:start w:w="110" w:type="dxa"/>
              <w:bottom w:w="80" w:type="dxa"/>
              <w:end w:w="110" w:type="dxa"/>
            </w:tcMar>
            <w:shd w:fill="DDE6F1"/>
          </w:tcPr>
          <w:p>
            <w:pPr>
              <w:spacing w:before="0" w:after="0" w:line="240" w:lineRule="auto"/>
            </w:pPr>
            <w:r>
              <w:rPr>
                <w:rFonts w:ascii="Aptos" w:hAnsi="Aptos"/>
                <w:b/>
                <w:color w:val="183860"/>
                <w:sz w:val="20"/>
              </w:rPr>
              <w:t>Document</w:t>
            </w:r>
          </w:p>
        </w:tc>
        <w:tc>
          <w:tcPr>
            <w:tcW w:type="dxa" w:w="4968"/>
            <w:vAlign w:val="center"/>
            <w:tcMar>
              <w:top w:w="80" w:type="dxa"/>
              <w:start w:w="110" w:type="dxa"/>
              <w:bottom w:w="80" w:type="dxa"/>
              <w:end w:w="110" w:type="dxa"/>
            </w:tcMar>
            <w:shd w:fill="F7F9FC"/>
          </w:tcPr>
          <w:p>
            <w:pPr>
              <w:spacing w:before="0" w:after="0" w:line="240" w:lineRule="auto"/>
            </w:pPr>
            <w:r>
              <w:rPr>
                <w:rFonts w:ascii="Aptos" w:hAnsi="Aptos"/>
                <w:b w:val="0"/>
                <w:color w:val="222222"/>
                <w:sz w:val="20"/>
              </w:rPr>
              <w:t>Orbital Platform Design - updated rewrite</w:t>
            </w:r>
          </w:p>
        </w:tc>
      </w:tr>
      <w:tr>
        <w:tc>
          <w:tcPr>
            <w:tcW w:type="dxa" w:w="4968"/>
            <w:vAlign w:val="center"/>
            <w:tcMar>
              <w:top w:w="80" w:type="dxa"/>
              <w:start w:w="110" w:type="dxa"/>
              <w:bottom w:w="80" w:type="dxa"/>
              <w:end w:w="110" w:type="dxa"/>
            </w:tcMar>
            <w:shd w:fill="DDE6F1"/>
          </w:tcPr>
          <w:p>
            <w:pPr>
              <w:spacing w:before="0" w:after="0" w:line="240" w:lineRule="auto"/>
            </w:pPr>
            <w:r>
              <w:rPr>
                <w:rFonts w:ascii="Aptos" w:hAnsi="Aptos"/>
                <w:b/>
                <w:color w:val="183860"/>
                <w:sz w:val="20"/>
              </w:rPr>
              <w:t>Revision</w:t>
            </w:r>
          </w:p>
        </w:tc>
        <w:tc>
          <w:tcPr>
            <w:tcW w:type="dxa" w:w="4968"/>
            <w:vAlign w:val="center"/>
            <w:tcMar>
              <w:top w:w="80" w:type="dxa"/>
              <w:start w:w="110" w:type="dxa"/>
              <w:bottom w:w="80" w:type="dxa"/>
              <w:end w:w="110" w:type="dxa"/>
            </w:tcMar>
            <w:shd w:fill="F7F9FC"/>
          </w:tcPr>
          <w:p>
            <w:pPr>
              <w:spacing w:before="0" w:after="0" w:line="240" w:lineRule="auto"/>
            </w:pPr>
            <w:r>
              <w:rPr>
                <w:rFonts w:ascii="Aptos" w:hAnsi="Aptos"/>
                <w:b w:val="0"/>
                <w:color w:val="222222"/>
                <w:sz w:val="20"/>
              </w:rPr>
              <w:t>Revision 4</w:t>
            </w:r>
          </w:p>
        </w:tc>
      </w:tr>
      <w:tr>
        <w:tc>
          <w:tcPr>
            <w:tcW w:type="dxa" w:w="4968"/>
            <w:vAlign w:val="center"/>
            <w:tcMar>
              <w:top w:w="80" w:type="dxa"/>
              <w:start w:w="110" w:type="dxa"/>
              <w:bottom w:w="80" w:type="dxa"/>
              <w:end w:w="110" w:type="dxa"/>
            </w:tcMar>
            <w:shd w:fill="DDE6F1"/>
          </w:tcPr>
          <w:p>
            <w:pPr>
              <w:spacing w:before="0" w:after="0" w:line="240" w:lineRule="auto"/>
            </w:pPr>
            <w:r>
              <w:rPr>
                <w:rFonts w:ascii="Aptos" w:hAnsi="Aptos"/>
                <w:b/>
                <w:color w:val="183860"/>
                <w:sz w:val="20"/>
              </w:rPr>
              <w:t>Status</w:t>
            </w:r>
          </w:p>
        </w:tc>
        <w:tc>
          <w:tcPr>
            <w:tcW w:type="dxa" w:w="4968"/>
            <w:vAlign w:val="center"/>
            <w:tcMar>
              <w:top w:w="80" w:type="dxa"/>
              <w:start w:w="110" w:type="dxa"/>
              <w:bottom w:w="80" w:type="dxa"/>
              <w:end w:w="110" w:type="dxa"/>
            </w:tcMar>
            <w:shd w:fill="F7F9FC"/>
          </w:tcPr>
          <w:p>
            <w:pPr>
              <w:spacing w:before="0" w:after="0" w:line="240" w:lineRule="auto"/>
            </w:pPr>
            <w:r>
              <w:rPr>
                <w:rFonts w:ascii="Aptos" w:hAnsi="Aptos"/>
                <w:b w:val="0"/>
                <w:color w:val="222222"/>
                <w:sz w:val="20"/>
              </w:rPr>
              <w:t>Updated civil architecture</w:t>
            </w:r>
          </w:p>
        </w:tc>
      </w:tr>
      <w:tr>
        <w:tc>
          <w:tcPr>
            <w:tcW w:type="dxa" w:w="4968"/>
            <w:vAlign w:val="center"/>
            <w:tcMar>
              <w:top w:w="80" w:type="dxa"/>
              <w:start w:w="110" w:type="dxa"/>
              <w:bottom w:w="80" w:type="dxa"/>
              <w:end w:w="110" w:type="dxa"/>
            </w:tcMar>
            <w:shd w:fill="DDE6F1"/>
          </w:tcPr>
          <w:p>
            <w:pPr>
              <w:spacing w:before="0" w:after="0" w:line="240" w:lineRule="auto"/>
            </w:pPr>
            <w:r>
              <w:rPr>
                <w:rFonts w:ascii="Aptos" w:hAnsi="Aptos"/>
                <w:b/>
                <w:color w:val="183860"/>
                <w:sz w:val="20"/>
              </w:rPr>
              <w:t>Prepared</w:t>
            </w:r>
          </w:p>
        </w:tc>
        <w:tc>
          <w:tcPr>
            <w:tcW w:type="dxa" w:w="4968"/>
            <w:vAlign w:val="center"/>
            <w:tcMar>
              <w:top w:w="80" w:type="dxa"/>
              <w:start w:w="110" w:type="dxa"/>
              <w:bottom w:w="80" w:type="dxa"/>
              <w:end w:w="110" w:type="dxa"/>
            </w:tcMar>
            <w:shd w:fill="F7F9FC"/>
          </w:tcPr>
          <w:p>
            <w:pPr>
              <w:spacing w:before="0" w:after="0" w:line="240" w:lineRule="auto"/>
            </w:pPr>
            <w:r>
              <w:rPr>
                <w:rFonts w:ascii="Aptos" w:hAnsi="Aptos"/>
                <w:b w:val="0"/>
                <w:color w:val="222222"/>
                <w:sz w:val="20"/>
              </w:rPr>
              <w:t>April 17, 2026</w:t>
            </w:r>
          </w:p>
        </w:tc>
      </w:tr>
    </w:tbl>
    <w:p/>
    <w:tbl>
      <w:tblPr>
        <w:tblW w:type="auto" w:w="0"/>
        <w:jc w:val="center"/>
        <w:tblLayout w:type="fixed"/>
        <w:tblLook w:firstColumn="1" w:firstRow="1" w:lastColumn="0" w:lastRow="0" w:noHBand="0" w:noVBand="1" w:val="04A0"/>
      </w:tblPr>
      <w:tblGrid>
        <w:gridCol w:w="9504"/>
      </w:tblGrid>
      <w:tr>
        <w:tc>
          <w:tcPr>
            <w:tcW w:type="dxa" w:w="9936"/>
            <w:shd w:fill="EEF3F8"/>
            <w:tcMar>
              <w:top w:w="120" w:type="dxa"/>
              <w:start w:w="120" w:type="dxa"/>
              <w:bottom w:w="120" w:type="dxa"/>
              <w:end w:w="120" w:type="dxa"/>
            </w:tcMar>
          </w:tcPr>
          <w:p>
            <w:pPr>
              <w:spacing w:before="0" w:after="0" w:line="264" w:lineRule="auto"/>
            </w:pPr>
            <w:r>
              <w:rPr>
                <w:rFonts w:ascii="Aptos" w:hAnsi="Aptos"/>
                <w:b/>
                <w:color w:val="183860"/>
                <w:sz w:val="20"/>
              </w:rPr>
              <w:t xml:space="preserve">Revision basis. </w:t>
            </w:r>
            <w:r>
              <w:rPr>
                <w:rFonts w:ascii="Aptos" w:hAnsi="Aptos"/>
                <w:color w:val="2B2B2B"/>
                <w:sz w:val="20"/>
              </w:rPr>
              <w:t>This rewrite keeps the core orbital-sustainability mission from Revision 3 but removes the program-killing assumptions identified in the companion review: no hidden defense mission, no 50 MW laser baseline, no reactor-first architecture, no speculative ACM hull dependency, and no single giant platform that must solve every orbit and mission at once.</w:t>
            </w:r>
          </w:p>
        </w:tc>
      </w:tr>
    </w:tbl>
    <w:p>
      <w:pPr>
        <w:pStyle w:val="Heading1"/>
      </w:pPr>
      <w:r>
        <w:t>Executive Summary</w:t>
      </w:r>
    </w:p>
    <w:p>
      <w:pPr>
        <w:spacing w:before="0" w:after="120" w:line="276" w:lineRule="auto"/>
      </w:pPr>
      <w:r>
        <w:t>Revision 4 resets the program as a civil orbital debris removal and in-orbit servicing system. The mission is to inspect, capture, relocate, and dispose of high-risk objects in congested orbital regimes, while also offering cooperative servicing to customer spacecraft that want planned end-of-life disposal or anomaly response.</w:t>
      </w:r>
    </w:p>
    <w:p>
      <w:pPr>
        <w:spacing w:before="0" w:after="120" w:line="276" w:lineRule="auto"/>
      </w:pPr>
      <w:r>
        <w:t>The original concept combined a legitimate debris problem with several non-credible first-generation assumptions: a 50 MW orbital laser, a reactor-powered super-platform, a speculative zero-resistance structural conductor, and an undeclared missile-defense role. This revision removes those assumptions and replaces them with a distributed architecture that can be licensed, insured, financed, and demonstrated incrementally.</w:t>
      </w:r>
    </w:p>
    <w:p>
      <w:pPr>
        <w:spacing w:before="0" w:after="120" w:line="276" w:lineRule="auto"/>
      </w:pPr>
      <w:r>
        <w:t>The new baseline uses three layers: a surveillance layer for tracking and characterization, a servicer layer for rendezvous and capture, and a disposal layer made up of relocation maneuvers or attachable kits. Solar-electric power, robotic effectors, mission-specific vehicle families, and consent-based operations now define the system.</w:t>
      </w:r>
    </w:p>
    <w:p>
      <w:r>
        <w:br w:type="page"/>
      </w:r>
    </w:p>
    <w:p>
      <w:pPr>
        <w:pStyle w:val="Heading1"/>
      </w:pPr>
      <w:r>
        <w:t>Revision 4 Change Log</w:t>
      </w:r>
    </w:p>
    <w:tbl>
      <w:tblPr>
        <w:tblW w:type="auto" w:w="0"/>
        <w:jc w:val="center"/>
        <w:tblLayout w:type="fixed"/>
        <w:tblLook w:firstColumn="1" w:firstRow="1" w:lastColumn="0" w:lastRow="0" w:noHBand="0" w:noVBand="1" w:val="04A0"/>
      </w:tblPr>
      <w:tblGrid>
        <w:gridCol w:w="2880"/>
        <w:gridCol w:w="2880"/>
        <w:gridCol w:w="3744"/>
      </w:tblGrid>
      <w:tr>
        <w:tc>
          <w:tcPr>
            <w:tcW w:type="dxa" w:w="3312"/>
            <w:shd w:fill="183860"/>
            <w:tcMar>
              <w:top w:w="100" w:type="dxa"/>
              <w:start w:w="80" w:type="dxa"/>
              <w:bottom w:w="100" w:type="dxa"/>
              <w:end w:w="80" w:type="dxa"/>
            </w:tcMar>
          </w:tcPr>
          <w:p>
            <w:pPr>
              <w:spacing w:before="0" w:after="0" w:line="240" w:lineRule="auto"/>
            </w:pPr>
            <w:r>
              <w:rPr>
                <w:rFonts w:ascii="Aptos" w:hAnsi="Aptos"/>
                <w:b/>
                <w:color w:val="FFFFFF"/>
                <w:sz w:val="19"/>
              </w:rPr>
              <w:t>Revision 3 issue</w:t>
            </w:r>
          </w:p>
        </w:tc>
        <w:tc>
          <w:tcPr>
            <w:tcW w:type="dxa" w:w="3312"/>
            <w:shd w:fill="183860"/>
            <w:tcMar>
              <w:top w:w="100" w:type="dxa"/>
              <w:start w:w="80" w:type="dxa"/>
              <w:bottom w:w="100" w:type="dxa"/>
              <w:end w:w="80" w:type="dxa"/>
            </w:tcMar>
          </w:tcPr>
          <w:p>
            <w:pPr>
              <w:spacing w:before="0" w:after="0" w:line="240" w:lineRule="auto"/>
            </w:pPr>
            <w:r>
              <w:rPr>
                <w:rFonts w:ascii="Aptos" w:hAnsi="Aptos"/>
                <w:b/>
                <w:color w:val="FFFFFF"/>
                <w:sz w:val="19"/>
              </w:rPr>
              <w:t>Revision 4 correction</w:t>
            </w:r>
          </w:p>
        </w:tc>
        <w:tc>
          <w:tcPr>
            <w:tcW w:type="dxa" w:w="3312"/>
            <w:shd w:fill="183860"/>
            <w:tcMar>
              <w:top w:w="100" w:type="dxa"/>
              <w:start w:w="80" w:type="dxa"/>
              <w:bottom w:w="100" w:type="dxa"/>
              <w:end w:w="80" w:type="dxa"/>
            </w:tcMar>
          </w:tcPr>
          <w:p>
            <w:pPr>
              <w:spacing w:before="0" w:after="0" w:line="240" w:lineRule="auto"/>
            </w:pPr>
            <w:r>
              <w:rPr>
                <w:rFonts w:ascii="Aptos" w:hAnsi="Aptos"/>
                <w:b/>
                <w:color w:val="FFFFFF"/>
                <w:sz w:val="19"/>
              </w:rPr>
              <w:t>Reason for change</w:t>
            </w:r>
          </w:p>
        </w:tc>
      </w:tr>
      <w:tr>
        <w:tc>
          <w:tcPr>
            <w:tcW w:type="dxa" w:w="3312"/>
            <w:shd w:fill="F7F9FC"/>
            <w:tcMar>
              <w:top w:w="90" w:type="dxa"/>
              <w:start w:w="90" w:type="dxa"/>
              <w:bottom w:w="90" w:type="dxa"/>
              <w:end w:w="90" w:type="dxa"/>
            </w:tcMar>
            <w:vAlign w:val="center"/>
          </w:tcPr>
          <w:p>
            <w:pPr>
              <w:spacing w:before="0" w:after="0" w:line="252" w:lineRule="auto"/>
            </w:pPr>
            <w:r>
              <w:rPr>
                <w:rFonts w:ascii="Aptos" w:hAnsi="Aptos"/>
                <w:sz w:val="18"/>
              </w:rPr>
              <w:t>Dual-use defense posture</w:t>
            </w:r>
          </w:p>
        </w:tc>
        <w:tc>
          <w:tcPr>
            <w:tcW w:type="dxa" w:w="3312"/>
            <w:shd w:fill="F7F9FC"/>
            <w:tcMar>
              <w:top w:w="90" w:type="dxa"/>
              <w:start w:w="90" w:type="dxa"/>
              <w:bottom w:w="90" w:type="dxa"/>
              <w:end w:w="90" w:type="dxa"/>
            </w:tcMar>
            <w:vAlign w:val="center"/>
          </w:tcPr>
          <w:p>
            <w:pPr>
              <w:spacing w:before="0" w:after="0" w:line="252" w:lineRule="auto"/>
            </w:pPr>
            <w:r>
              <w:rPr>
                <w:rFonts w:ascii="Aptos" w:hAnsi="Aptos"/>
                <w:sz w:val="18"/>
              </w:rPr>
              <w:t>Civil debris and servicing mission only</w:t>
            </w:r>
          </w:p>
        </w:tc>
        <w:tc>
          <w:tcPr>
            <w:tcW w:type="dxa" w:w="3312"/>
            <w:shd w:fill="F7F9FC"/>
            <w:tcMar>
              <w:top w:w="90" w:type="dxa"/>
              <w:start w:w="90" w:type="dxa"/>
              <w:bottom w:w="90" w:type="dxa"/>
              <w:end w:w="90" w:type="dxa"/>
            </w:tcMar>
            <w:vAlign w:val="center"/>
          </w:tcPr>
          <w:p>
            <w:pPr>
              <w:spacing w:before="0" w:after="0" w:line="252" w:lineRule="auto"/>
            </w:pPr>
            <w:r>
              <w:rPr>
                <w:rFonts w:ascii="Aptos" w:hAnsi="Aptos"/>
                <w:sz w:val="18"/>
              </w:rPr>
              <w:t>Reduces legal, financing, export-control, and trust barriers.</w:t>
            </w:r>
          </w:p>
        </w:tc>
      </w:tr>
      <w:tr>
        <w:tc>
          <w:tcPr>
            <w:tcW w:type="dxa" w:w="3312"/>
            <w:shd w:fill="ECF1F7"/>
            <w:tcMar>
              <w:top w:w="90" w:type="dxa"/>
              <w:start w:w="90" w:type="dxa"/>
              <w:bottom w:w="90" w:type="dxa"/>
              <w:end w:w="90" w:type="dxa"/>
            </w:tcMar>
            <w:vAlign w:val="center"/>
          </w:tcPr>
          <w:p>
            <w:pPr>
              <w:spacing w:before="0" w:after="0" w:line="252" w:lineRule="auto"/>
            </w:pPr>
            <w:r>
              <w:rPr>
                <w:rFonts w:ascii="Aptos" w:hAnsi="Aptos"/>
                <w:sz w:val="18"/>
              </w:rPr>
              <w:t>Single giant disk platform</w:t>
            </w:r>
          </w:p>
        </w:tc>
        <w:tc>
          <w:tcPr>
            <w:tcW w:type="dxa" w:w="3312"/>
            <w:shd w:fill="ECF1F7"/>
            <w:tcMar>
              <w:top w:w="90" w:type="dxa"/>
              <w:start w:w="90" w:type="dxa"/>
              <w:bottom w:w="90" w:type="dxa"/>
              <w:end w:w="90" w:type="dxa"/>
            </w:tcMar>
            <w:vAlign w:val="center"/>
          </w:tcPr>
          <w:p>
            <w:pPr>
              <w:spacing w:before="0" w:after="0" w:line="252" w:lineRule="auto"/>
            </w:pPr>
            <w:r>
              <w:rPr>
                <w:rFonts w:ascii="Aptos" w:hAnsi="Aptos"/>
                <w:sz w:val="18"/>
              </w:rPr>
              <w:t>Distributed surveillance plus servicer fleet</w:t>
            </w:r>
          </w:p>
        </w:tc>
        <w:tc>
          <w:tcPr>
            <w:tcW w:type="dxa" w:w="3312"/>
            <w:shd w:fill="ECF1F7"/>
            <w:tcMar>
              <w:top w:w="90" w:type="dxa"/>
              <w:start w:w="90" w:type="dxa"/>
              <w:bottom w:w="90" w:type="dxa"/>
              <w:end w:w="90" w:type="dxa"/>
            </w:tcMar>
            <w:vAlign w:val="center"/>
          </w:tcPr>
          <w:p>
            <w:pPr>
              <w:spacing w:before="0" w:after="0" w:line="252" w:lineRule="auto"/>
            </w:pPr>
            <w:r>
              <w:rPr>
                <w:rFonts w:ascii="Aptos" w:hAnsi="Aptos"/>
                <w:sz w:val="18"/>
              </w:rPr>
              <w:t>Improves scalability, testability, and mission fit by orbit.</w:t>
            </w:r>
          </w:p>
        </w:tc>
      </w:tr>
      <w:tr>
        <w:tc>
          <w:tcPr>
            <w:tcW w:type="dxa" w:w="3312"/>
            <w:shd w:fill="F7F9FC"/>
            <w:tcMar>
              <w:top w:w="90" w:type="dxa"/>
              <w:start w:w="90" w:type="dxa"/>
              <w:bottom w:w="90" w:type="dxa"/>
              <w:end w:w="90" w:type="dxa"/>
            </w:tcMar>
            <w:vAlign w:val="center"/>
          </w:tcPr>
          <w:p>
            <w:pPr>
              <w:spacing w:before="0" w:after="0" w:line="252" w:lineRule="auto"/>
            </w:pPr>
            <w:r>
              <w:rPr>
                <w:rFonts w:ascii="Aptos" w:hAnsi="Aptos"/>
                <w:sz w:val="18"/>
              </w:rPr>
              <w:t>50 MW laser architecture</w:t>
            </w:r>
          </w:p>
        </w:tc>
        <w:tc>
          <w:tcPr>
            <w:tcW w:type="dxa" w:w="3312"/>
            <w:shd w:fill="F7F9FC"/>
            <w:tcMar>
              <w:top w:w="90" w:type="dxa"/>
              <w:start w:w="90" w:type="dxa"/>
              <w:bottom w:w="90" w:type="dxa"/>
              <w:end w:w="90" w:type="dxa"/>
            </w:tcMar>
            <w:vAlign w:val="center"/>
          </w:tcPr>
          <w:p>
            <w:pPr>
              <w:spacing w:before="0" w:after="0" w:line="252" w:lineRule="auto"/>
            </w:pPr>
            <w:r>
              <w:rPr>
                <w:rFonts w:ascii="Aptos" w:hAnsi="Aptos"/>
                <w:sz w:val="18"/>
              </w:rPr>
              <w:t>Robotic, magnetic, tethered, and kit-based disposal</w:t>
            </w:r>
          </w:p>
        </w:tc>
        <w:tc>
          <w:tcPr>
            <w:tcW w:type="dxa" w:w="3312"/>
            <w:shd w:fill="F7F9FC"/>
            <w:tcMar>
              <w:top w:w="90" w:type="dxa"/>
              <w:start w:w="90" w:type="dxa"/>
              <w:bottom w:w="90" w:type="dxa"/>
              <w:end w:w="90" w:type="dxa"/>
            </w:tcMar>
            <w:vAlign w:val="center"/>
          </w:tcPr>
          <w:p>
            <w:pPr>
              <w:spacing w:before="0" w:after="0" w:line="252" w:lineRule="auto"/>
            </w:pPr>
            <w:r>
              <w:rPr>
                <w:rFonts w:ascii="Aptos" w:hAnsi="Aptos"/>
                <w:sz w:val="18"/>
              </w:rPr>
              <w:t>Uses credible capture and disposal methods instead of speculative directed energy.</w:t>
            </w:r>
          </w:p>
        </w:tc>
      </w:tr>
      <w:tr>
        <w:tc>
          <w:tcPr>
            <w:tcW w:type="dxa" w:w="3312"/>
            <w:shd w:fill="ECF1F7"/>
            <w:tcMar>
              <w:top w:w="90" w:type="dxa"/>
              <w:start w:w="90" w:type="dxa"/>
              <w:bottom w:w="90" w:type="dxa"/>
              <w:end w:w="90" w:type="dxa"/>
            </w:tcMar>
            <w:vAlign w:val="center"/>
          </w:tcPr>
          <w:p>
            <w:pPr>
              <w:spacing w:before="0" w:after="0" w:line="252" w:lineRule="auto"/>
            </w:pPr>
            <w:r>
              <w:rPr>
                <w:rFonts w:ascii="Aptos" w:hAnsi="Aptos"/>
                <w:sz w:val="18"/>
              </w:rPr>
              <w:t>Reactor baseline</w:t>
            </w:r>
          </w:p>
        </w:tc>
        <w:tc>
          <w:tcPr>
            <w:tcW w:type="dxa" w:w="3312"/>
            <w:shd w:fill="ECF1F7"/>
            <w:tcMar>
              <w:top w:w="90" w:type="dxa"/>
              <w:start w:w="90" w:type="dxa"/>
              <w:bottom w:w="90" w:type="dxa"/>
              <w:end w:w="90" w:type="dxa"/>
            </w:tcMar>
            <w:vAlign w:val="center"/>
          </w:tcPr>
          <w:p>
            <w:pPr>
              <w:spacing w:before="0" w:after="0" w:line="252" w:lineRule="auto"/>
            </w:pPr>
            <w:r>
              <w:rPr>
                <w:rFonts w:ascii="Aptos" w:hAnsi="Aptos"/>
                <w:sz w:val="18"/>
              </w:rPr>
              <w:t>Solar-electric baseline</w:t>
            </w:r>
          </w:p>
        </w:tc>
        <w:tc>
          <w:tcPr>
            <w:tcW w:type="dxa" w:w="3312"/>
            <w:shd w:fill="ECF1F7"/>
            <w:tcMar>
              <w:top w:w="90" w:type="dxa"/>
              <w:start w:w="90" w:type="dxa"/>
              <w:bottom w:w="90" w:type="dxa"/>
              <w:end w:w="90" w:type="dxa"/>
            </w:tcMar>
            <w:vAlign w:val="center"/>
          </w:tcPr>
          <w:p>
            <w:pPr>
              <w:spacing w:before="0" w:after="0" w:line="252" w:lineRule="auto"/>
            </w:pPr>
            <w:r>
              <w:rPr>
                <w:rFonts w:ascii="Aptos" w:hAnsi="Aptos"/>
                <w:sz w:val="18"/>
              </w:rPr>
              <w:t>Fits near-term licensing, manufacturing, and operations practice.</w:t>
            </w:r>
          </w:p>
        </w:tc>
      </w:tr>
      <w:tr>
        <w:tc>
          <w:tcPr>
            <w:tcW w:type="dxa" w:w="3312"/>
            <w:shd w:fill="F7F9FC"/>
            <w:tcMar>
              <w:top w:w="90" w:type="dxa"/>
              <w:start w:w="90" w:type="dxa"/>
              <w:bottom w:w="90" w:type="dxa"/>
              <w:end w:w="90" w:type="dxa"/>
            </w:tcMar>
            <w:vAlign w:val="center"/>
          </w:tcPr>
          <w:p>
            <w:pPr>
              <w:spacing w:before="0" w:after="0" w:line="252" w:lineRule="auto"/>
            </w:pPr>
            <w:r>
              <w:rPr>
                <w:rFonts w:ascii="Aptos" w:hAnsi="Aptos"/>
                <w:sz w:val="18"/>
              </w:rPr>
              <w:t>ACM zero-resistance hull</w:t>
            </w:r>
          </w:p>
        </w:tc>
        <w:tc>
          <w:tcPr>
            <w:tcW w:type="dxa" w:w="3312"/>
            <w:shd w:fill="F7F9FC"/>
            <w:tcMar>
              <w:top w:w="90" w:type="dxa"/>
              <w:start w:w="90" w:type="dxa"/>
              <w:bottom w:w="90" w:type="dxa"/>
              <w:end w:w="90" w:type="dxa"/>
            </w:tcMar>
            <w:vAlign w:val="center"/>
          </w:tcPr>
          <w:p>
            <w:pPr>
              <w:spacing w:before="0" w:after="0" w:line="252" w:lineRule="auto"/>
            </w:pPr>
            <w:r>
              <w:rPr>
                <w:rFonts w:ascii="Aptos" w:hAnsi="Aptos"/>
                <w:sz w:val="18"/>
              </w:rPr>
              <w:t>Conventional spacecraft power distribution</w:t>
            </w:r>
          </w:p>
        </w:tc>
        <w:tc>
          <w:tcPr>
            <w:tcW w:type="dxa" w:w="3312"/>
            <w:shd w:fill="F7F9FC"/>
            <w:tcMar>
              <w:top w:w="90" w:type="dxa"/>
              <w:start w:w="90" w:type="dxa"/>
              <w:bottom w:w="90" w:type="dxa"/>
              <w:end w:w="90" w:type="dxa"/>
            </w:tcMar>
            <w:vAlign w:val="center"/>
          </w:tcPr>
          <w:p>
            <w:pPr>
              <w:spacing w:before="0" w:after="0" w:line="252" w:lineRule="auto"/>
            </w:pPr>
            <w:r>
              <w:rPr>
                <w:rFonts w:ascii="Aptos" w:hAnsi="Aptos"/>
                <w:sz w:val="18"/>
              </w:rPr>
              <w:t>Removes dependency on an unsupported material claim.</w:t>
            </w:r>
          </w:p>
        </w:tc>
      </w:tr>
      <w:tr>
        <w:tc>
          <w:tcPr>
            <w:tcW w:type="dxa" w:w="3312"/>
            <w:shd w:fill="ECF1F7"/>
            <w:tcMar>
              <w:top w:w="90" w:type="dxa"/>
              <w:start w:w="90" w:type="dxa"/>
              <w:bottom w:w="90" w:type="dxa"/>
              <w:end w:w="90" w:type="dxa"/>
            </w:tcMar>
            <w:vAlign w:val="center"/>
          </w:tcPr>
          <w:p>
            <w:pPr>
              <w:spacing w:before="0" w:after="0" w:line="252" w:lineRule="auto"/>
            </w:pPr>
            <w:r>
              <w:rPr>
                <w:rFonts w:ascii="Aptos" w:hAnsi="Aptos"/>
                <w:sz w:val="18"/>
              </w:rPr>
              <w:t>Same platform for GEO, MEO, and LEO</w:t>
            </w:r>
          </w:p>
        </w:tc>
        <w:tc>
          <w:tcPr>
            <w:tcW w:type="dxa" w:w="3312"/>
            <w:shd w:fill="ECF1F7"/>
            <w:tcMar>
              <w:top w:w="90" w:type="dxa"/>
              <w:start w:w="90" w:type="dxa"/>
              <w:bottom w:w="90" w:type="dxa"/>
              <w:end w:w="90" w:type="dxa"/>
            </w:tcMar>
            <w:vAlign w:val="center"/>
          </w:tcPr>
          <w:p>
            <w:pPr>
              <w:spacing w:before="0" w:after="0" w:line="252" w:lineRule="auto"/>
            </w:pPr>
            <w:r>
              <w:rPr>
                <w:rFonts w:ascii="Aptos" w:hAnsi="Aptos"/>
                <w:sz w:val="18"/>
              </w:rPr>
              <w:t>Mission-specific vehicle families</w:t>
            </w:r>
          </w:p>
        </w:tc>
        <w:tc>
          <w:tcPr>
            <w:tcW w:type="dxa" w:w="3312"/>
            <w:shd w:fill="ECF1F7"/>
            <w:tcMar>
              <w:top w:w="90" w:type="dxa"/>
              <w:start w:w="90" w:type="dxa"/>
              <w:bottom w:w="90" w:type="dxa"/>
              <w:end w:w="90" w:type="dxa"/>
            </w:tcMar>
            <w:vAlign w:val="center"/>
          </w:tcPr>
          <w:p>
            <w:pPr>
              <w:spacing w:before="0" w:after="0" w:line="252" w:lineRule="auto"/>
            </w:pPr>
            <w:r>
              <w:rPr>
                <w:rFonts w:ascii="Aptos" w:hAnsi="Aptos"/>
                <w:sz w:val="18"/>
              </w:rPr>
              <w:t>Different orbits impose different propulsion, thermal, and operations requirements.</w:t>
            </w:r>
          </w:p>
        </w:tc>
      </w:tr>
    </w:tbl>
    <w:p>
      <w:pPr>
        <w:pStyle w:val="Heading1"/>
      </w:pPr>
      <w:r>
        <w:t>Design Philosophy</w:t>
      </w:r>
    </w:p>
    <w:p>
      <w:pPr>
        <w:spacing w:before="0" w:after="100" w:line="276" w:lineRule="auto"/>
      </w:pPr>
      <w:r>
        <w:t>1. Civil mission first. The system exists to reduce debris risk and extend useful orbital capacity.</w:t>
      </w:r>
    </w:p>
    <w:p>
      <w:pPr>
        <w:spacing w:before="0" w:after="100" w:line="276" w:lineRule="auto"/>
      </w:pPr>
      <w:r>
        <w:t>2. Prove capability incrementally. Start with inspection and cooperative servicing, then expand into uncooperative debris capture.</w:t>
      </w:r>
    </w:p>
    <w:p>
      <w:pPr>
        <w:spacing w:before="0" w:after="100" w:line="276" w:lineRule="auto"/>
      </w:pPr>
      <w:r>
        <w:t>3. Use known physics and credible manufacturing paths. Do not assume multiple simultaneous breakthroughs.</w:t>
      </w:r>
    </w:p>
    <w:p>
      <w:pPr>
        <w:spacing w:before="0" w:after="100" w:line="276" w:lineRule="auto"/>
      </w:pPr>
      <w:r>
        <w:t>4. Design for consent, traceability, and auditability. Every removal event must be attributable, authorized, and reconstructable.</w:t>
      </w:r>
    </w:p>
    <w:p>
      <w:pPr>
        <w:spacing w:before="0" w:after="100" w:line="276" w:lineRule="auto"/>
      </w:pPr>
      <w:r>
        <w:t>5. Minimize irreversible actions. Inspect first; relocate or deorbit only after positive identification and approval.</w:t>
      </w:r>
    </w:p>
    <w:p>
      <w:pPr>
        <w:spacing w:before="0" w:after="100" w:line="276" w:lineRule="auto"/>
      </w:pPr>
      <w:r>
        <w:t>6. Build for servicing. The servicer fleet is itself modular, recoverable, and upgradeable.</w:t>
      </w:r>
    </w:p>
    <w:p>
      <w:pPr>
        <w:spacing w:before="0" w:after="100" w:line="276" w:lineRule="auto"/>
      </w:pPr>
      <w:r>
        <w:t>7. Make economics legible. Customers should be able to buy a mission, a disposal kit, or standby protection without funding a speculative global super-platform.</w:t>
      </w:r>
    </w:p>
    <w:p>
      <w:pPr>
        <w:pStyle w:val="Heading1"/>
      </w:pPr>
      <w:r>
        <w:t>Mission Scope</w:t>
      </w:r>
    </w:p>
    <w:p>
      <w:pPr>
        <w:spacing w:before="0" w:after="100" w:line="276" w:lineRule="auto"/>
      </w:pPr>
      <w:r>
        <w:t>Primary services:</w:t>
      </w:r>
    </w:p>
    <w:p>
      <w:pPr>
        <w:spacing w:before="0" w:after="60" w:line="264" w:lineRule="auto"/>
        <w:ind w:left="360"/>
      </w:pPr>
      <w:r>
        <w:rPr>
          <w:rFonts w:ascii="Aptos" w:hAnsi="Aptos"/>
          <w:sz w:val="20"/>
        </w:rPr>
        <w:t>• Removal of failed spacecraft and large debris from congested LEO regimes.</w:t>
      </w:r>
    </w:p>
    <w:p>
      <w:pPr>
        <w:spacing w:before="0" w:after="60" w:line="264" w:lineRule="auto"/>
        <w:ind w:left="360"/>
      </w:pPr>
      <w:r>
        <w:rPr>
          <w:rFonts w:ascii="Aptos" w:hAnsi="Aptos"/>
          <w:sz w:val="20"/>
        </w:rPr>
        <w:t>• End-of-life disposal support for cooperative customer satellites.</w:t>
      </w:r>
    </w:p>
    <w:p>
      <w:pPr>
        <w:spacing w:before="0" w:after="60" w:line="264" w:lineRule="auto"/>
        <w:ind w:left="360"/>
      </w:pPr>
      <w:r>
        <w:rPr>
          <w:rFonts w:ascii="Aptos" w:hAnsi="Aptos"/>
          <w:sz w:val="20"/>
        </w:rPr>
        <w:t>• Inspection and characterization of resident space objects.</w:t>
      </w:r>
    </w:p>
    <w:p>
      <w:pPr>
        <w:spacing w:before="0" w:after="60" w:line="264" w:lineRule="auto"/>
        <w:ind w:left="360"/>
      </w:pPr>
      <w:r>
        <w:rPr>
          <w:rFonts w:ascii="Aptos" w:hAnsi="Aptos"/>
          <w:sz w:val="20"/>
        </w:rPr>
        <w:t>• Attachment of drag devices, propulsion kits, or relocation modules where authorized.</w:t>
      </w:r>
    </w:p>
    <w:p>
      <w:pPr>
        <w:spacing w:before="0" w:after="100" w:line="276" w:lineRule="auto"/>
      </w:pPr>
      <w:r>
        <w:t>Excluded from scope:</w:t>
      </w:r>
    </w:p>
    <w:p>
      <w:pPr>
        <w:spacing w:before="0" w:after="60" w:line="264" w:lineRule="auto"/>
        <w:ind w:left="360"/>
      </w:pPr>
      <w:r>
        <w:rPr>
          <w:rFonts w:ascii="Aptos" w:hAnsi="Aptos"/>
          <w:sz w:val="20"/>
        </w:rPr>
        <w:t>• Missile defense, counterspace operations, coercive proximity operations, or any undeclared dual-use mission.</w:t>
      </w:r>
    </w:p>
    <w:p>
      <w:pPr>
        <w:spacing w:before="0" w:after="60" w:line="264" w:lineRule="auto"/>
        <w:ind w:left="360"/>
      </w:pPr>
      <w:r>
        <w:rPr>
          <w:rFonts w:ascii="Aptos" w:hAnsi="Aptos"/>
          <w:sz w:val="20"/>
        </w:rPr>
        <w:t>• Destructive fragmentation as a debris-removal method.</w:t>
      </w:r>
    </w:p>
    <w:p>
      <w:pPr>
        <w:spacing w:before="0" w:after="60" w:line="264" w:lineRule="auto"/>
        <w:ind w:left="360"/>
      </w:pPr>
      <w:r>
        <w:rPr>
          <w:rFonts w:ascii="Aptos" w:hAnsi="Aptos"/>
          <w:sz w:val="20"/>
        </w:rPr>
        <w:t>• Ground-directed or atmosphere-penetrating directed-energy operations.</w:t>
      </w:r>
    </w:p>
    <w:p>
      <w:pPr>
        <w:pStyle w:val="Heading1"/>
      </w:pPr>
      <w:r>
        <w:t>System Architecture</w:t>
      </w:r>
    </w:p>
    <w:p>
      <w:pPr>
        <w:spacing w:before="0" w:after="100" w:line="276" w:lineRule="auto"/>
      </w:pPr>
      <w:r>
        <w:t>The revised system uses a layered architecture rather than a single massive platform.</w:t>
      </w:r>
    </w:p>
    <w:p>
      <w:pPr>
        <w:spacing w:before="0" w:after="100" w:line="276" w:lineRule="auto"/>
      </w:pPr>
      <w:r>
        <w:t>A. Surveillance layer. Commercial and government tracking data are fused with platform-owned optical and infrared sensors. Small hosted payloads or dedicated surveillance spacecraft improve revisit rate for high-interest objects and refine state vectors before servicer dispatch.</w:t>
      </w:r>
    </w:p>
    <w:p>
      <w:pPr>
        <w:spacing w:before="0" w:after="100" w:line="276" w:lineRule="auto"/>
      </w:pPr>
      <w:r>
        <w:t>B. Servicer layer. Medium-size servicer spacecraft perform rendezvous, inspection, station-keeping, capture, and disposal. Different variants can specialize for cooperative docking, magnetic client-plate engagement, robotic grappling, or disposal-kit attachment.</w:t>
      </w:r>
    </w:p>
    <w:p>
      <w:pPr>
        <w:spacing w:before="0" w:after="100" w:line="276" w:lineRule="auto"/>
      </w:pPr>
      <w:r>
        <w:t>C. Disposal layer. Once a target is secured, the servicer either lowers perigee for disposal, transfers the object to a disposal orbit, or attaches a kit that performs the maneuver autonomously.</w:t>
      </w:r>
    </w:p>
    <w:p>
      <w:pPr>
        <w:spacing w:before="0" w:after="100" w:line="276" w:lineRule="auto"/>
      </w:pPr>
      <w:r>
        <w:t>This architecture scales by adding more sensor coverage and more servicers rather than by building larger single vehicles.</w:t>
      </w:r>
    </w:p>
    <w:p>
      <w:pPr>
        <w:pStyle w:val="Heading1"/>
      </w:pPr>
      <w:r>
        <w:t>Orbital Strategy</w:t>
      </w:r>
    </w:p>
    <w:p>
      <w:pPr>
        <w:spacing w:before="0" w:after="100" w:line="276" w:lineRule="auto"/>
      </w:pPr>
      <w:r>
        <w:t>Phase 1 focuses on LEO because collision density, disposal urgency, and customer demand are strongest there. LEO also offers shorter transfer times and clearer value capture through insured mission protection, disposal services, and constellation support.</w:t>
      </w:r>
    </w:p>
    <w:p>
      <w:pPr>
        <w:spacing w:before="0" w:after="100" w:line="276" w:lineRule="auto"/>
      </w:pPr>
      <w:r>
        <w:t>GEO servicing is a later mission family optimized for relocation to graveyard orbit, inspection, and anomaly response. GEO should not share the same vehicle design as LEO by default because propulsion, thermal, communications, and time-on-station assumptions differ materially.</w:t>
      </w:r>
    </w:p>
    <w:p>
      <w:pPr>
        <w:spacing w:before="0" w:after="100" w:line="276" w:lineRule="auto"/>
      </w:pPr>
      <w:r>
        <w:t>The program therefore uses mission-specific vehicle families rather than one identical platform at every altitude.</w:t>
      </w:r>
    </w:p>
    <w:p>
      <w:pPr>
        <w:pStyle w:val="Heading1"/>
      </w:pPr>
      <w:r>
        <w:t>Vehicle Configuration</w:t>
      </w:r>
    </w:p>
    <w:p>
      <w:pPr>
        <w:spacing w:before="0" w:after="100" w:line="276" w:lineRule="auto"/>
      </w:pPr>
      <w:r>
        <w:t>Baseline servicer characteristics:</w:t>
      </w:r>
    </w:p>
    <w:p>
      <w:pPr>
        <w:spacing w:before="0" w:after="60" w:line="264" w:lineRule="auto"/>
        <w:ind w:left="360"/>
      </w:pPr>
      <w:r>
        <w:rPr>
          <w:rFonts w:ascii="Aptos" w:hAnsi="Aptos"/>
          <w:sz w:val="20"/>
        </w:rPr>
        <w:t>• Bus class sized for autonomous rendezvous and multi-month operations, not for megawatt payloads.</w:t>
      </w:r>
    </w:p>
    <w:p>
      <w:pPr>
        <w:spacing w:before="0" w:after="60" w:line="264" w:lineRule="auto"/>
        <w:ind w:left="360"/>
      </w:pPr>
      <w:r>
        <w:rPr>
          <w:rFonts w:ascii="Aptos" w:hAnsi="Aptos"/>
          <w:sz w:val="20"/>
        </w:rPr>
        <w:t>• Solar arrays and batteries sized for propulsion, sensors, robotic systems, and communications.</w:t>
      </w:r>
    </w:p>
    <w:p>
      <w:pPr>
        <w:spacing w:before="0" w:after="60" w:line="264" w:lineRule="auto"/>
        <w:ind w:left="360"/>
      </w:pPr>
      <w:r>
        <w:rPr>
          <w:rFonts w:ascii="Aptos" w:hAnsi="Aptos"/>
          <w:sz w:val="20"/>
        </w:rPr>
        <w:t>• Electric propulsion for efficient transfers and phasing; cold-gas or warm-gas thrusters for fine proximity operations where plume contamination matters.</w:t>
      </w:r>
    </w:p>
    <w:p>
      <w:pPr>
        <w:spacing w:before="0" w:after="60" w:line="264" w:lineRule="auto"/>
        <w:ind w:left="360"/>
      </w:pPr>
      <w:r>
        <w:rPr>
          <w:rFonts w:ascii="Aptos" w:hAnsi="Aptos"/>
          <w:sz w:val="20"/>
        </w:rPr>
        <w:t>• Docking interfaces and a modular mission bay to swap grapples, kits, or inspection payloads.</w:t>
      </w:r>
    </w:p>
    <w:p>
      <w:pPr>
        <w:spacing w:before="0" w:after="60" w:line="264" w:lineRule="auto"/>
        <w:ind w:left="360"/>
      </w:pPr>
      <w:r>
        <w:rPr>
          <w:rFonts w:ascii="Aptos" w:hAnsi="Aptos"/>
          <w:sz w:val="20"/>
        </w:rPr>
        <w:t>• Radiation-tolerant avionics appropriate to the target orbit and mission duration.</w:t>
      </w:r>
    </w:p>
    <w:p>
      <w:pPr>
        <w:spacing w:before="0" w:after="100" w:line="276" w:lineRule="auto"/>
      </w:pPr>
      <w:r>
        <w:t>The servicer is designed around stability, controllability, and recoverability. It is not a weapons carriage platform.</w:t>
      </w:r>
    </w:p>
    <w:p>
      <w:pPr>
        <w:pStyle w:val="Heading1"/>
      </w:pPr>
      <w:r>
        <w:t>Power, Thermal, and Materials</w:t>
      </w:r>
    </w:p>
    <w:p>
      <w:pPr>
        <w:spacing w:before="0" w:after="100" w:line="276" w:lineRule="auto"/>
      </w:pPr>
      <w:r>
        <w:t>The baseline power architecture is solar-electric. This is the correct starting point for a first-generation civil system because it aligns with current spacecraft practice, licensing expectations, and manufacturing readiness.</w:t>
      </w:r>
    </w:p>
    <w:p>
      <w:pPr>
        <w:spacing w:before="0" w:after="100" w:line="276" w:lineRule="auto"/>
      </w:pPr>
      <w:r>
        <w:t>High-performance materials still matter, but their use is narrowed to applications with clear value. Diamond and diamond-like materials may be justified for sensor windows, heat spreaders, or other high-flux optical elements where cost is supported by lifetime or thermal performance. They are not assumed as a universal platform material or a prerequisite for mission success.</w:t>
      </w:r>
    </w:p>
    <w:p>
      <w:pPr>
        <w:spacing w:before="0" w:after="100" w:line="276" w:lineRule="auto"/>
      </w:pPr>
      <w:r>
        <w:t>Thermal design follows standard spacecraft principles: isolate hot subsystems, reject waste heat through deployable radiators, and avoid heroic assumptions about superconducting or zero-loss structural power distribution.</w:t>
      </w:r>
    </w:p>
    <w:p>
      <w:pPr>
        <w:pStyle w:val="Heading1"/>
      </w:pPr>
      <w:r>
        <w:t>Capture and Disposal Methods</w:t>
      </w:r>
    </w:p>
    <w:p>
      <w:pPr>
        <w:spacing w:before="0" w:after="100" w:line="276" w:lineRule="auto"/>
      </w:pPr>
      <w:r>
        <w:t>The revised design uses non-destructive removal methods matched to target condition.</w:t>
      </w:r>
    </w:p>
    <w:p>
      <w:pPr>
        <w:spacing w:before="0" w:after="100" w:line="276" w:lineRule="auto"/>
      </w:pPr>
      <w:r>
        <w:t>1. Cooperative target disposal. If the customer spacecraft has a docking fixture or client plate, the servicer docks and executes the agreed disposal maneuver.</w:t>
      </w:r>
    </w:p>
    <w:p>
      <w:pPr>
        <w:spacing w:before="0" w:after="100" w:line="276" w:lineRule="auto"/>
      </w:pPr>
      <w:r>
        <w:t>2. Magnetic docking to prepared targets. Standardized client plates reduce capture risk and operating cost for future customers.</w:t>
      </w:r>
    </w:p>
    <w:p>
      <w:pPr>
        <w:spacing w:before="0" w:after="100" w:line="276" w:lineRule="auto"/>
      </w:pPr>
      <w:r>
        <w:t>3. Robotic capture of uncooperative targets. The servicer performs inspection, tumble characterization, and approach planning before grapple.</w:t>
      </w:r>
    </w:p>
    <w:p>
      <w:pPr>
        <w:spacing w:before="0" w:after="100" w:line="276" w:lineRule="auto"/>
      </w:pPr>
      <w:r>
        <w:t>4. Attachment of disposal kits. Drag devices, propulsion kits, or relocation modules can be left on the target, freeing the servicer for the next mission.</w:t>
      </w:r>
    </w:p>
    <w:p>
      <w:pPr>
        <w:spacing w:before="0" w:after="100" w:line="276" w:lineRule="auto"/>
      </w:pPr>
      <w:r>
        <w:t>5. Relocation instead of destruction. The default is to move or dispose of objects intact. Creating new fragments is mission failure, not a valid operating mode.</w:t>
      </w:r>
    </w:p>
    <w:p>
      <w:pPr>
        <w:pStyle w:val="Heading1"/>
      </w:pPr>
      <w:r>
        <w:t>Sensors, Autonomy, and Safety</w:t>
      </w:r>
    </w:p>
    <w:p>
      <w:pPr>
        <w:spacing w:before="0" w:after="100" w:line="276" w:lineRule="auto"/>
      </w:pPr>
      <w:r>
        <w:t>The sensor suite combines long-range tracking with close-range relative navigation.</w:t>
      </w:r>
    </w:p>
    <w:p>
      <w:pPr>
        <w:spacing w:before="0" w:after="60" w:line="264" w:lineRule="auto"/>
        <w:ind w:left="360"/>
      </w:pPr>
      <w:r>
        <w:rPr>
          <w:rFonts w:ascii="Aptos" w:hAnsi="Aptos"/>
          <w:sz w:val="20"/>
        </w:rPr>
        <w:t>• Optical and infrared sensors support approach planning, target identification, and anomaly detection.</w:t>
      </w:r>
    </w:p>
    <w:p>
      <w:pPr>
        <w:spacing w:before="0" w:after="60" w:line="264" w:lineRule="auto"/>
        <w:ind w:left="360"/>
      </w:pPr>
      <w:r>
        <w:rPr>
          <w:rFonts w:ascii="Aptos" w:hAnsi="Aptos"/>
          <w:sz w:val="20"/>
        </w:rPr>
        <w:t>• LIDAR or flash LIDAR supports range, shape, and closure-rate estimation in final approach.</w:t>
      </w:r>
    </w:p>
    <w:p>
      <w:pPr>
        <w:spacing w:before="0" w:after="60" w:line="264" w:lineRule="auto"/>
        <w:ind w:left="360"/>
      </w:pPr>
      <w:r>
        <w:rPr>
          <w:rFonts w:ascii="Aptos" w:hAnsi="Aptos"/>
          <w:sz w:val="20"/>
        </w:rPr>
        <w:t>• Onboard autonomy assists with collision avoidance, station-keeping, target pose estimation, and robotic sequencing.</w:t>
      </w:r>
    </w:p>
    <w:p>
      <w:pPr>
        <w:spacing w:before="0" w:after="100" w:line="276" w:lineRule="auto"/>
      </w:pPr>
      <w:r>
        <w:t>Human oversight remains mandatory for irreversible actions such as capture, kit attachment, and disposal-burn authorization. Autonomy is used to compress reaction time and reduce operator burden, not to hide decision authority.</w:t>
      </w:r>
    </w:p>
    <w:p>
      <w:pPr>
        <w:pStyle w:val="Heading1"/>
      </w:pPr>
      <w:r>
        <w:t>Ground Segment and Operations</w:t>
      </w:r>
    </w:p>
    <w:p>
      <w:pPr>
        <w:spacing w:before="0" w:after="100" w:line="276" w:lineRule="auto"/>
      </w:pPr>
      <w:r>
        <w:t>The ground segment handles mission planning, conjunction assessment, customer authorization, fleet scheduling, and post-mission reporting. Each mission requires a documented chain of authorization covering target identity, ownership or delegated authority, intended disposal action, and post-action verification.</w:t>
      </w:r>
    </w:p>
    <w:p>
      <w:pPr>
        <w:spacing w:before="0" w:after="100" w:line="276" w:lineRule="auto"/>
      </w:pPr>
      <w:r>
        <w:t>Operations follow a staged sequence:</w:t>
      </w:r>
    </w:p>
    <w:p>
      <w:pPr>
        <w:spacing w:before="0" w:after="100" w:line="276" w:lineRule="auto"/>
      </w:pPr>
      <w:r>
        <w:t>1. Select target and confirm legal authority.</w:t>
      </w:r>
    </w:p>
    <w:p>
      <w:pPr>
        <w:spacing w:before="0" w:after="100" w:line="276" w:lineRule="auto"/>
      </w:pPr>
      <w:r>
        <w:t>2. Refine orbit and characterize attitude state.</w:t>
      </w:r>
    </w:p>
    <w:p>
      <w:pPr>
        <w:spacing w:before="0" w:after="100" w:line="276" w:lineRule="auto"/>
      </w:pPr>
      <w:r>
        <w:t>3. Dispatch servicer and conduct long-range approach.</w:t>
      </w:r>
    </w:p>
    <w:p>
      <w:pPr>
        <w:spacing w:before="0" w:after="100" w:line="276" w:lineRule="auto"/>
      </w:pPr>
      <w:r>
        <w:t>4. Perform close inspection and final go/no-go review.</w:t>
      </w:r>
    </w:p>
    <w:p>
      <w:pPr>
        <w:spacing w:before="0" w:after="100" w:line="276" w:lineRule="auto"/>
      </w:pPr>
      <w:r>
        <w:t>5. Capture target or attach disposal kit.</w:t>
      </w:r>
    </w:p>
    <w:p>
      <w:pPr>
        <w:spacing w:before="0" w:after="100" w:line="276" w:lineRule="auto"/>
      </w:pPr>
      <w:r>
        <w:t>6. Execute disposal or relocation maneuver.</w:t>
      </w:r>
    </w:p>
    <w:p>
      <w:pPr>
        <w:spacing w:before="0" w:after="100" w:line="276" w:lineRule="auto"/>
      </w:pPr>
      <w:r>
        <w:t>7. Verify outcome and update catalog records.</w:t>
      </w:r>
    </w:p>
    <w:p>
      <w:pPr>
        <w:pStyle w:val="Heading1"/>
      </w:pPr>
      <w:r>
        <w:t>On-Orbit Servicing</w:t>
      </w:r>
    </w:p>
    <w:p>
      <w:pPr>
        <w:spacing w:before="0" w:after="100" w:line="276" w:lineRule="auto"/>
      </w:pPr>
      <w:r>
        <w:t>The same platform family can support adjacent commercial services that strengthen the business case:</w:t>
      </w:r>
    </w:p>
    <w:p>
      <w:pPr>
        <w:spacing w:before="0" w:after="60" w:line="264" w:lineRule="auto"/>
        <w:ind w:left="360"/>
      </w:pPr>
      <w:r>
        <w:rPr>
          <w:rFonts w:ascii="Aptos" w:hAnsi="Aptos"/>
          <w:sz w:val="20"/>
        </w:rPr>
        <w:t>• life-extension docking for cooperative spacecraft,</w:t>
      </w:r>
    </w:p>
    <w:p>
      <w:pPr>
        <w:spacing w:before="0" w:after="60" w:line="264" w:lineRule="auto"/>
        <w:ind w:left="360"/>
      </w:pPr>
      <w:r>
        <w:rPr>
          <w:rFonts w:ascii="Aptos" w:hAnsi="Aptos"/>
          <w:sz w:val="20"/>
        </w:rPr>
        <w:t>• anomaly inspection,</w:t>
      </w:r>
    </w:p>
    <w:p>
      <w:pPr>
        <w:spacing w:before="0" w:after="60" w:line="264" w:lineRule="auto"/>
        <w:ind w:left="360"/>
      </w:pPr>
      <w:r>
        <w:rPr>
          <w:rFonts w:ascii="Aptos" w:hAnsi="Aptos"/>
          <w:sz w:val="20"/>
        </w:rPr>
        <w:t>• relocation support,</w:t>
      </w:r>
    </w:p>
    <w:p>
      <w:pPr>
        <w:spacing w:before="0" w:after="60" w:line="264" w:lineRule="auto"/>
        <w:ind w:left="360"/>
      </w:pPr>
      <w:r>
        <w:rPr>
          <w:rFonts w:ascii="Aptos" w:hAnsi="Aptos"/>
          <w:sz w:val="20"/>
        </w:rPr>
        <w:t>• tug services for hosted payload deployment, and</w:t>
      </w:r>
    </w:p>
    <w:p>
      <w:pPr>
        <w:spacing w:before="0" w:after="60" w:line="264" w:lineRule="auto"/>
        <w:ind w:left="360"/>
      </w:pPr>
      <w:r>
        <w:rPr>
          <w:rFonts w:ascii="Aptos" w:hAnsi="Aptos"/>
          <w:sz w:val="20"/>
        </w:rPr>
        <w:t>• disposal-compliance support at end of mission.</w:t>
      </w:r>
    </w:p>
    <w:p>
      <w:pPr>
        <w:spacing w:before="0" w:after="100" w:line="276" w:lineRule="auto"/>
      </w:pPr>
      <w:r>
        <w:t>These adjacent services matter because a debris-only business can be episodic and procurement-driven. Servicing revenue smooths demand and helps justify fleet utilization between removal campaigns.</w:t>
      </w:r>
    </w:p>
    <w:p>
      <w:pPr>
        <w:pStyle w:val="Heading1"/>
      </w:pPr>
      <w:r>
        <w:t>Development Roadmap</w:t>
      </w:r>
    </w:p>
    <w:p>
      <w:pPr>
        <w:spacing w:before="0" w:after="120" w:line="276" w:lineRule="auto"/>
      </w:pPr>
      <w:r>
        <w:t>The program should be developed in controlled phases with explicit exit criteria rather than as a single all-up deployment.</w:t>
      </w:r>
    </w:p>
    <w:tbl>
      <w:tblPr>
        <w:tblW w:type="auto" w:w="0"/>
        <w:jc w:val="center"/>
        <w:tblLayout w:type="fixed"/>
        <w:tblLook w:firstColumn="1" w:firstRow="1" w:lastColumn="0" w:lastRow="0" w:noHBand="0" w:noVBand="1" w:val="04A0"/>
      </w:tblPr>
      <w:tblGrid>
        <w:gridCol w:w="1440"/>
        <w:gridCol w:w="3240"/>
        <w:gridCol w:w="4824"/>
      </w:tblGrid>
      <w:tr>
        <w:tc>
          <w:tcPr>
            <w:tcW w:type="dxa" w:w="3312"/>
            <w:shd w:fill="183860"/>
            <w:tcMar>
              <w:top w:w="100" w:type="dxa"/>
              <w:start w:w="80" w:type="dxa"/>
              <w:bottom w:w="100" w:type="dxa"/>
              <w:end w:w="80" w:type="dxa"/>
            </w:tcMar>
          </w:tcPr>
          <w:p>
            <w:pPr>
              <w:spacing w:before="0" w:after="0" w:line="240" w:lineRule="auto"/>
            </w:pPr>
            <w:r>
              <w:rPr>
                <w:rFonts w:ascii="Aptos" w:hAnsi="Aptos"/>
                <w:b/>
                <w:color w:val="FFFFFF"/>
                <w:sz w:val="19"/>
              </w:rPr>
              <w:t>Phase</w:t>
            </w:r>
          </w:p>
        </w:tc>
        <w:tc>
          <w:tcPr>
            <w:tcW w:type="dxa" w:w="3312"/>
            <w:shd w:fill="183860"/>
            <w:tcMar>
              <w:top w:w="100" w:type="dxa"/>
              <w:start w:w="80" w:type="dxa"/>
              <w:bottom w:w="100" w:type="dxa"/>
              <w:end w:w="80" w:type="dxa"/>
            </w:tcMar>
          </w:tcPr>
          <w:p>
            <w:pPr>
              <w:spacing w:before="0" w:after="0" w:line="240" w:lineRule="auto"/>
            </w:pPr>
            <w:r>
              <w:rPr>
                <w:rFonts w:ascii="Aptos" w:hAnsi="Aptos"/>
                <w:b/>
                <w:color w:val="FFFFFF"/>
                <w:sz w:val="19"/>
              </w:rPr>
              <w:t>Objective</w:t>
            </w:r>
          </w:p>
        </w:tc>
        <w:tc>
          <w:tcPr>
            <w:tcW w:type="dxa" w:w="3312"/>
            <w:shd w:fill="183860"/>
            <w:tcMar>
              <w:top w:w="100" w:type="dxa"/>
              <w:start w:w="80" w:type="dxa"/>
              <w:bottom w:w="100" w:type="dxa"/>
              <w:end w:w="80" w:type="dxa"/>
            </w:tcMar>
          </w:tcPr>
          <w:p>
            <w:pPr>
              <w:spacing w:before="0" w:after="0" w:line="240" w:lineRule="auto"/>
            </w:pPr>
            <w:r>
              <w:rPr>
                <w:rFonts w:ascii="Aptos" w:hAnsi="Aptos"/>
                <w:b/>
                <w:color w:val="FFFFFF"/>
                <w:sz w:val="19"/>
              </w:rPr>
              <w:t>Exit criteria</w:t>
            </w:r>
          </w:p>
        </w:tc>
      </w:tr>
      <w:tr>
        <w:tc>
          <w:tcPr>
            <w:tcW w:type="dxa" w:w="3312"/>
            <w:shd w:fill="F7F9FC"/>
            <w:tcMar>
              <w:top w:w="90" w:type="dxa"/>
              <w:start w:w="90" w:type="dxa"/>
              <w:bottom w:w="90" w:type="dxa"/>
              <w:end w:w="90" w:type="dxa"/>
            </w:tcMar>
            <w:vAlign w:val="center"/>
          </w:tcPr>
          <w:p>
            <w:pPr>
              <w:spacing w:before="0" w:after="0" w:line="252" w:lineRule="auto"/>
            </w:pPr>
            <w:r>
              <w:rPr>
                <w:rFonts w:ascii="Aptos" w:hAnsi="Aptos"/>
                <w:sz w:val="18"/>
              </w:rPr>
              <w:t>0</w:t>
            </w:r>
          </w:p>
        </w:tc>
        <w:tc>
          <w:tcPr>
            <w:tcW w:type="dxa" w:w="3312"/>
            <w:shd w:fill="F7F9FC"/>
            <w:tcMar>
              <w:top w:w="90" w:type="dxa"/>
              <w:start w:w="90" w:type="dxa"/>
              <w:bottom w:w="90" w:type="dxa"/>
              <w:end w:w="90" w:type="dxa"/>
            </w:tcMar>
            <w:vAlign w:val="center"/>
          </w:tcPr>
          <w:p>
            <w:pPr>
              <w:spacing w:before="0" w:after="0" w:line="252" w:lineRule="auto"/>
            </w:pPr>
            <w:r>
              <w:rPr>
                <w:rFonts w:ascii="Aptos" w:hAnsi="Aptos"/>
                <w:sz w:val="18"/>
              </w:rPr>
              <w:t>Mission design and authority framework</w:t>
            </w:r>
          </w:p>
        </w:tc>
        <w:tc>
          <w:tcPr>
            <w:tcW w:type="dxa" w:w="3312"/>
            <w:shd w:fill="F7F9FC"/>
            <w:tcMar>
              <w:top w:w="90" w:type="dxa"/>
              <w:start w:w="90" w:type="dxa"/>
              <w:bottom w:w="90" w:type="dxa"/>
              <w:end w:w="90" w:type="dxa"/>
            </w:tcMar>
            <w:vAlign w:val="center"/>
          </w:tcPr>
          <w:p>
            <w:pPr>
              <w:spacing w:before="0" w:after="0" w:line="252" w:lineRule="auto"/>
            </w:pPr>
            <w:r>
              <w:rPr>
                <w:rFonts w:ascii="Aptos" w:hAnsi="Aptos"/>
                <w:sz w:val="18"/>
              </w:rPr>
              <w:t>Customer types, target classes, legal workflows, insurance posture, and mission doctrine defined.</w:t>
            </w:r>
          </w:p>
        </w:tc>
      </w:tr>
      <w:tr>
        <w:tc>
          <w:tcPr>
            <w:tcW w:type="dxa" w:w="3312"/>
            <w:shd w:fill="ECF1F7"/>
            <w:tcMar>
              <w:top w:w="90" w:type="dxa"/>
              <w:start w:w="90" w:type="dxa"/>
              <w:bottom w:w="90" w:type="dxa"/>
              <w:end w:w="90" w:type="dxa"/>
            </w:tcMar>
            <w:vAlign w:val="center"/>
          </w:tcPr>
          <w:p>
            <w:pPr>
              <w:spacing w:before="0" w:after="0" w:line="252" w:lineRule="auto"/>
            </w:pPr>
            <w:r>
              <w:rPr>
                <w:rFonts w:ascii="Aptos" w:hAnsi="Aptos"/>
                <w:sz w:val="18"/>
              </w:rPr>
              <w:t>1</w:t>
            </w:r>
          </w:p>
        </w:tc>
        <w:tc>
          <w:tcPr>
            <w:tcW w:type="dxa" w:w="3312"/>
            <w:shd w:fill="ECF1F7"/>
            <w:tcMar>
              <w:top w:w="90" w:type="dxa"/>
              <w:start w:w="90" w:type="dxa"/>
              <w:bottom w:w="90" w:type="dxa"/>
              <w:end w:w="90" w:type="dxa"/>
            </w:tcMar>
            <w:vAlign w:val="center"/>
          </w:tcPr>
          <w:p>
            <w:pPr>
              <w:spacing w:before="0" w:after="0" w:line="252" w:lineRule="auto"/>
            </w:pPr>
            <w:r>
              <w:rPr>
                <w:rFonts w:ascii="Aptos" w:hAnsi="Aptos"/>
                <w:sz w:val="18"/>
              </w:rPr>
              <w:t>Inspection and cooperative servicing demo</w:t>
            </w:r>
          </w:p>
        </w:tc>
        <w:tc>
          <w:tcPr>
            <w:tcW w:type="dxa" w:w="3312"/>
            <w:shd w:fill="ECF1F7"/>
            <w:tcMar>
              <w:top w:w="90" w:type="dxa"/>
              <w:start w:w="90" w:type="dxa"/>
              <w:bottom w:w="90" w:type="dxa"/>
              <w:end w:w="90" w:type="dxa"/>
            </w:tcMar>
            <w:vAlign w:val="center"/>
          </w:tcPr>
          <w:p>
            <w:pPr>
              <w:spacing w:before="0" w:after="0" w:line="252" w:lineRule="auto"/>
            </w:pPr>
            <w:r>
              <w:rPr>
                <w:rFonts w:ascii="Aptos" w:hAnsi="Aptos"/>
                <w:sz w:val="18"/>
              </w:rPr>
              <w:t>Rendezvous, inspection, and one low-risk servicing or disposal action proven on a prepared target.</w:t>
            </w:r>
          </w:p>
        </w:tc>
      </w:tr>
      <w:tr>
        <w:tc>
          <w:tcPr>
            <w:tcW w:type="dxa" w:w="3312"/>
            <w:shd w:fill="F7F9FC"/>
            <w:tcMar>
              <w:top w:w="90" w:type="dxa"/>
              <w:start w:w="90" w:type="dxa"/>
              <w:bottom w:w="90" w:type="dxa"/>
              <w:end w:w="90" w:type="dxa"/>
            </w:tcMar>
            <w:vAlign w:val="center"/>
          </w:tcPr>
          <w:p>
            <w:pPr>
              <w:spacing w:before="0" w:after="0" w:line="252" w:lineRule="auto"/>
            </w:pPr>
            <w:r>
              <w:rPr>
                <w:rFonts w:ascii="Aptos" w:hAnsi="Aptos"/>
                <w:sz w:val="18"/>
              </w:rPr>
              <w:t>2</w:t>
            </w:r>
          </w:p>
        </w:tc>
        <w:tc>
          <w:tcPr>
            <w:tcW w:type="dxa" w:w="3312"/>
            <w:shd w:fill="F7F9FC"/>
            <w:tcMar>
              <w:top w:w="90" w:type="dxa"/>
              <w:start w:w="90" w:type="dxa"/>
              <w:bottom w:w="90" w:type="dxa"/>
              <w:end w:w="90" w:type="dxa"/>
            </w:tcMar>
            <w:vAlign w:val="center"/>
          </w:tcPr>
          <w:p>
            <w:pPr>
              <w:spacing w:before="0" w:after="0" w:line="252" w:lineRule="auto"/>
            </w:pPr>
            <w:r>
              <w:rPr>
                <w:rFonts w:ascii="Aptos" w:hAnsi="Aptos"/>
                <w:sz w:val="18"/>
              </w:rPr>
              <w:t>Uncooperative target capture demo</w:t>
            </w:r>
          </w:p>
        </w:tc>
        <w:tc>
          <w:tcPr>
            <w:tcW w:type="dxa" w:w="3312"/>
            <w:shd w:fill="F7F9FC"/>
            <w:tcMar>
              <w:top w:w="90" w:type="dxa"/>
              <w:start w:w="90" w:type="dxa"/>
              <w:bottom w:w="90" w:type="dxa"/>
              <w:end w:w="90" w:type="dxa"/>
            </w:tcMar>
            <w:vAlign w:val="center"/>
          </w:tcPr>
          <w:p>
            <w:pPr>
              <w:spacing w:before="0" w:after="0" w:line="252" w:lineRule="auto"/>
            </w:pPr>
            <w:r>
              <w:rPr>
                <w:rFonts w:ascii="Aptos" w:hAnsi="Aptos"/>
                <w:sz w:val="18"/>
              </w:rPr>
              <w:t>Approach, tumble characterization, and secure attachment demonstrated on a legacy object under controlled conditions.</w:t>
            </w:r>
          </w:p>
        </w:tc>
      </w:tr>
      <w:tr>
        <w:tc>
          <w:tcPr>
            <w:tcW w:type="dxa" w:w="3312"/>
            <w:shd w:fill="ECF1F7"/>
            <w:tcMar>
              <w:top w:w="90" w:type="dxa"/>
              <w:start w:w="90" w:type="dxa"/>
              <w:bottom w:w="90" w:type="dxa"/>
              <w:end w:w="90" w:type="dxa"/>
            </w:tcMar>
            <w:vAlign w:val="center"/>
          </w:tcPr>
          <w:p>
            <w:pPr>
              <w:spacing w:before="0" w:after="0" w:line="252" w:lineRule="auto"/>
            </w:pPr>
            <w:r>
              <w:rPr>
                <w:rFonts w:ascii="Aptos" w:hAnsi="Aptos"/>
                <w:sz w:val="18"/>
              </w:rPr>
              <w:t>3</w:t>
            </w:r>
          </w:p>
        </w:tc>
        <w:tc>
          <w:tcPr>
            <w:tcW w:type="dxa" w:w="3312"/>
            <w:shd w:fill="ECF1F7"/>
            <w:tcMar>
              <w:top w:w="90" w:type="dxa"/>
              <w:start w:w="90" w:type="dxa"/>
              <w:bottom w:w="90" w:type="dxa"/>
              <w:end w:w="90" w:type="dxa"/>
            </w:tcMar>
            <w:vAlign w:val="center"/>
          </w:tcPr>
          <w:p>
            <w:pPr>
              <w:spacing w:before="0" w:after="0" w:line="252" w:lineRule="auto"/>
            </w:pPr>
            <w:r>
              <w:rPr>
                <w:rFonts w:ascii="Aptos" w:hAnsi="Aptos"/>
                <w:sz w:val="18"/>
              </w:rPr>
              <w:t>Operational fleet entry</w:t>
            </w:r>
          </w:p>
        </w:tc>
        <w:tc>
          <w:tcPr>
            <w:tcW w:type="dxa" w:w="3312"/>
            <w:shd w:fill="ECF1F7"/>
            <w:tcMar>
              <w:top w:w="90" w:type="dxa"/>
              <w:start w:w="90" w:type="dxa"/>
              <w:bottom w:w="90" w:type="dxa"/>
              <w:end w:w="90" w:type="dxa"/>
            </w:tcMar>
            <w:vAlign w:val="center"/>
          </w:tcPr>
          <w:p>
            <w:pPr>
              <w:spacing w:before="0" w:after="0" w:line="252" w:lineRule="auto"/>
            </w:pPr>
            <w:r>
              <w:rPr>
                <w:rFonts w:ascii="Aptos" w:hAnsi="Aptos"/>
                <w:sz w:val="18"/>
              </w:rPr>
              <w:t>Small servicer fleet enters LEO disposal and inspection service with repeatable mission economics.</w:t>
            </w:r>
          </w:p>
        </w:tc>
      </w:tr>
    </w:tbl>
    <w:p>
      <w:pPr>
        <w:pStyle w:val="Heading1"/>
      </w:pPr>
      <w:r>
        <w:t>Legal and Regulatory Basis</w:t>
      </w:r>
    </w:p>
    <w:p>
      <w:pPr>
        <w:spacing w:before="0" w:after="100" w:line="276" w:lineRule="auto"/>
      </w:pPr>
      <w:r>
        <w:t>The revised civil architecture is designed to align with the existing space-law and debris-mitigation framework rather than test its outer edge. The program should be structured around the Outer Space Treaty, liability and licensing requirements, debris-mitigation and long-term sustainability guidance, and current post-mission disposal rules.</w:t>
      </w:r>
    </w:p>
    <w:p>
      <w:pPr>
        <w:spacing w:before="0" w:after="100" w:line="276" w:lineRule="auto"/>
      </w:pPr>
      <w:r>
        <w:t>The governing principle is simple: remove or relocate objects only with clear legal authority, full operator transparency, and auditable mission records. The platform should never rely on ambiguity about its purpose.</w:t>
      </w:r>
    </w:p>
    <w:p>
      <w:pPr>
        <w:pStyle w:val="Heading1"/>
      </w:pPr>
      <w:r>
        <w:t>Revenue and Business Model</w:t>
      </w:r>
    </w:p>
    <w:p>
      <w:pPr>
        <w:spacing w:before="0" w:after="100" w:line="276" w:lineRule="auto"/>
      </w:pPr>
      <w:r>
        <w:t>The business model should be transaction-based before it becomes subscription-based.</w:t>
      </w:r>
    </w:p>
    <w:p>
      <w:pPr>
        <w:spacing w:before="0" w:after="100" w:line="276" w:lineRule="auto"/>
      </w:pPr>
      <w:r>
        <w:t>Phase 1 revenue products:</w:t>
      </w:r>
    </w:p>
    <w:p>
      <w:pPr>
        <w:spacing w:before="0" w:after="60" w:line="264" w:lineRule="auto"/>
        <w:ind w:left="360"/>
      </w:pPr>
      <w:r>
        <w:rPr>
          <w:rFonts w:ascii="Aptos" w:hAnsi="Aptos"/>
          <w:sz w:val="20"/>
        </w:rPr>
        <w:t>• target inspection mission,</w:t>
      </w:r>
    </w:p>
    <w:p>
      <w:pPr>
        <w:spacing w:before="0" w:after="60" w:line="264" w:lineRule="auto"/>
        <w:ind w:left="360"/>
      </w:pPr>
      <w:r>
        <w:rPr>
          <w:rFonts w:ascii="Aptos" w:hAnsi="Aptos"/>
          <w:sz w:val="20"/>
        </w:rPr>
        <w:t>• cooperative end-of-life disposal mission,</w:t>
      </w:r>
    </w:p>
    <w:p>
      <w:pPr>
        <w:spacing w:before="0" w:after="60" w:line="264" w:lineRule="auto"/>
        <w:ind w:left="360"/>
      </w:pPr>
      <w:r>
        <w:rPr>
          <w:rFonts w:ascii="Aptos" w:hAnsi="Aptos"/>
          <w:sz w:val="20"/>
        </w:rPr>
        <w:t>• disposal-kit delivery and attachment,</w:t>
      </w:r>
    </w:p>
    <w:p>
      <w:pPr>
        <w:spacing w:before="0" w:after="60" w:line="264" w:lineRule="auto"/>
        <w:ind w:left="360"/>
      </w:pPr>
      <w:r>
        <w:rPr>
          <w:rFonts w:ascii="Aptos" w:hAnsi="Aptos"/>
          <w:sz w:val="20"/>
        </w:rPr>
        <w:t>• standby protection for high-value customer constellations, and</w:t>
      </w:r>
    </w:p>
    <w:p>
      <w:pPr>
        <w:spacing w:before="0" w:after="60" w:line="264" w:lineRule="auto"/>
        <w:ind w:left="360"/>
      </w:pPr>
      <w:r>
        <w:rPr>
          <w:rFonts w:ascii="Aptos" w:hAnsi="Aptos"/>
          <w:sz w:val="20"/>
        </w:rPr>
        <w:t>• GEO inspection or relocation missions priced separately.</w:t>
      </w:r>
    </w:p>
    <w:p>
      <w:pPr>
        <w:spacing w:before="0" w:after="100" w:line="276" w:lineRule="auto"/>
      </w:pPr>
      <w:r>
        <w:t>Only after a significant flight record should the operator offer broader orbital-protection subscriptions. Customers are far more likely to buy a clearly scoped disposal service than to fund speculative global infrastructure on day one.</w:t>
      </w:r>
    </w:p>
    <w:p>
      <w:pPr>
        <w:pStyle w:val="Heading1"/>
      </w:pPr>
      <w:r>
        <w:t>Key Risks and Controls</w:t>
      </w:r>
    </w:p>
    <w:p>
      <w:pPr>
        <w:spacing w:before="0" w:after="100" w:line="276" w:lineRule="auto"/>
      </w:pPr>
      <w:r>
        <w:t>Technical risk: proximity operations around tumbling, uncooperative objects. Control: inspect-first mission design, conservative capture envelopes, and phased target classes.</w:t>
      </w:r>
    </w:p>
    <w:p>
      <w:pPr>
        <w:spacing w:before="0" w:after="100" w:line="276" w:lineRule="auto"/>
      </w:pPr>
      <w:r>
        <w:t>Legal risk: disputed authority to remove or move an object. Control: no-action policy without explicit authority chain and complete mission log.</w:t>
      </w:r>
    </w:p>
    <w:p>
      <w:pPr>
        <w:spacing w:before="0" w:after="100" w:line="276" w:lineRule="auto"/>
      </w:pPr>
      <w:r>
        <w:t>Program risk: weak demand concentration. Control: combine disposal, inspection, and servicing lines.</w:t>
      </w:r>
    </w:p>
    <w:p>
      <w:pPr>
        <w:spacing w:before="0" w:after="100" w:line="276" w:lineRule="auto"/>
      </w:pPr>
      <w:r>
        <w:t>Financial risk: high cost per removal. Control: standardize interfaces, use attachable kits, and prioritize prepared customer targets early.</w:t>
      </w:r>
    </w:p>
    <w:p>
      <w:pPr>
        <w:spacing w:before="0" w:after="100" w:line="276" w:lineRule="auto"/>
      </w:pPr>
      <w:r>
        <w:t>Reputational risk: perception as a counterspace system. Control: transparent civil charter, published operating doctrine, third-party auditability, and exclusion of destructive or military mission sets.</w:t>
      </w:r>
    </w:p>
    <w:p>
      <w:pPr>
        <w:pStyle w:val="Heading1"/>
      </w:pPr>
      <w:r>
        <w:t>Open Issues Requiring Further Work</w:t>
      </w:r>
    </w:p>
    <w:p>
      <w:pPr>
        <w:spacing w:before="0" w:after="100" w:line="276" w:lineRule="auto"/>
      </w:pPr>
      <w:r>
        <w:t>1. Fleet-sizing analysis for LEO inspection, disposal, and standby-service commitments.</w:t>
      </w:r>
    </w:p>
    <w:p>
      <w:pPr>
        <w:spacing w:before="0" w:after="100" w:line="276" w:lineRule="auto"/>
      </w:pPr>
      <w:r>
        <w:t>2. Standard client-plate and kit-attachment interface definition for cooperative spacecraft.</w:t>
      </w:r>
    </w:p>
    <w:p>
      <w:pPr>
        <w:spacing w:before="0" w:after="100" w:line="276" w:lineRule="auto"/>
      </w:pPr>
      <w:r>
        <w:t>3. Capture-tool trade study for prepared versus uncooperative targets.</w:t>
      </w:r>
    </w:p>
    <w:p>
      <w:pPr>
        <w:spacing w:before="0" w:after="100" w:line="276" w:lineRule="auto"/>
      </w:pPr>
      <w:r>
        <w:t>4. Economic model sensitivity to launch cost, mission duration, and reuse cadence.</w:t>
      </w:r>
    </w:p>
    <w:p>
      <w:pPr>
        <w:spacing w:before="0" w:after="100" w:line="276" w:lineRule="auto"/>
      </w:pPr>
      <w:r>
        <w:t>5. Ground-segment audit workflow for target authorization and post-mission verification.</w:t>
      </w:r>
    </w:p>
    <w:p>
      <w:pPr>
        <w:spacing w:before="0" w:after="100" w:line="276" w:lineRule="auto"/>
      </w:pPr>
      <w:r>
        <w:t>6. GEO expansion plan and graveyard-orbit support concept after LEO fleet entry.</w:t>
      </w:r>
    </w:p>
    <w:p>
      <w:pPr>
        <w:pStyle w:val="Heading1"/>
      </w:pPr>
      <w:r>
        <w:t>Summary</w:t>
      </w:r>
    </w:p>
    <w:p>
      <w:pPr>
        <w:spacing w:before="0" w:after="100" w:line="276" w:lineRule="auto"/>
      </w:pPr>
      <w:r>
        <w:t>A feasible version of this project exists, but it is not an orbital weapons platform disguised as debris cleanup. It is a civil debris-removal and servicing program built around inspection, rendezvous, capture, disposal, and transparent governance.</w:t>
      </w:r>
    </w:p>
    <w:p>
      <w:pPr>
        <w:spacing w:before="0" w:after="100" w:line="276" w:lineRule="auto"/>
      </w:pPr>
      <w:r>
        <w:t>Revision 4 keeps the useful core of the original idea - modularity, serviceability, orbital sustainability, and recurring revenue - while replacing the non-credible elements with an architecture that can be demonstrated, licensed, insured, financed, and sold.</w:t>
      </w:r>
    </w:p>
    <w:sectPr w:rsidR="00FC693F" w:rsidRPr="0006063C" w:rsidSect="00034616">
      <w:headerReference w:type="default" r:id="rId9"/>
      <w:footerReference w:type="default" r:id="rId10"/>
      <w:pgSz w:w="12240" w:h="15840"/>
      <w:pgMar w:top="1080" w:right="1152" w:bottom="936" w:left="1152" w:header="432" w:footer="50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jc w:val="right"/>
    </w:pPr>
    <w:r>
      <w:rPr>
        <w:rFonts w:ascii="Aptos" w:hAnsi="Aptos"/>
        <w:color w:val="627387"/>
        <w:sz w:val="17"/>
      </w:rPr>
      <w:t xml:space="preserve">Updated design specification | Page </w:t>
    </w:r>
    <w:r>
      <w:fldChar w:fldCharType="begin"/>
      <w:instrText xml:space="preserve"> PAGE </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40" w:lineRule="auto"/>
      <w:jc w:val="left"/>
    </w:pPr>
    <w:r>
      <w:rPr>
        <w:rFonts w:ascii="Aptos" w:hAnsi="Aptos"/>
        <w:b/>
        <w:color w:val="627387"/>
        <w:sz w:val="18"/>
      </w:rPr>
      <w:t>Orbital Platform Design - Revision 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ascii="Aptos" w:hAnsi="Aptos"/>
      <w:b/>
      <w:bCs/>
      <w:color w:val="183860"/>
      <w:sz w:val="28"/>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ascii="Aptos" w:hAnsi="Aptos"/>
      <w:b/>
      <w:bCs/>
      <w:color w:val="24426C"/>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ocTitle">
    <w:name w:val="Doc Title"/>
    <w:basedOn w:val="Normal"/>
    <w:rPr>
      <w:rFonts w:ascii="Aptos Display" w:hAnsi="Aptos Display"/>
      <w:b/>
      <w:color w:val="183860"/>
      <w:sz w:val="48"/>
    </w:rPr>
  </w:style>
  <w:style w:type="paragraph" w:customStyle="1" w:styleId="DocSubtitle">
    <w:name w:val="Doc Subtitle"/>
    <w:basedOn w:val="Normal"/>
    <w:rPr>
      <w:rFonts w:ascii="Aptos" w:hAnsi="Aptos"/>
      <w:color w:val="4E5C70"/>
      <w:sz w:val="23"/>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Orbital Platform Design - Revision 4</dc:title>
  <dc:subject>Updated civil debris removal and in-orbit servicing architecture</dc:subject>
  <dc:creator>OpenAI</dc:creator>
  <cp:keywords/>
  <dc:description>Rewritten from Revision 3 using fixes identified in the companion feasibility review.</dc:description>
  <cp:lastModifiedBy/>
  <cp:revision>1</cp:revision>
  <dcterms:created xsi:type="dcterms:W3CDTF">2013-12-23T23:15:00Z</dcterms:created>
  <dcterms:modified xsi:type="dcterms:W3CDTF">2013-12-23T23:15:00Z</dcterms:modified>
  <cp:category/>
</cp:coreProperties>
</file>