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DA0A" w14:textId="77777777" w:rsidR="00AB650C" w:rsidRDefault="00000000">
      <w:pPr>
        <w:spacing w:after="120"/>
        <w:jc w:val="center"/>
      </w:pPr>
      <w:r>
        <w:rPr>
          <w:b/>
          <w:bCs/>
          <w:sz w:val="40"/>
          <w:szCs w:val="40"/>
        </w:rPr>
        <w:t>Orbital Defense &amp; Debris Management Platform</w:t>
      </w:r>
    </w:p>
    <w:p w14:paraId="71388553" w14:textId="77777777" w:rsidR="00AB650C" w:rsidRDefault="00000000">
      <w:pPr>
        <w:spacing w:after="120"/>
        <w:jc w:val="center"/>
      </w:pPr>
      <w:r>
        <w:rPr>
          <w:i/>
          <w:iCs/>
          <w:sz w:val="28"/>
          <w:szCs w:val="28"/>
        </w:rPr>
        <w:t>Dual-Tier Constellation Architecture</w:t>
      </w:r>
    </w:p>
    <w:p w14:paraId="205FBD3C" w14:textId="77777777" w:rsidR="00AB650C" w:rsidRDefault="00000000">
      <w:pPr>
        <w:spacing w:after="360"/>
        <w:jc w:val="center"/>
      </w:pPr>
      <w:r>
        <w:rPr>
          <w:sz w:val="24"/>
          <w:szCs w:val="24"/>
        </w:rPr>
        <w:t>Design Specification — Revision 3</w:t>
      </w:r>
    </w:p>
    <w:p w14:paraId="13EB78D9" w14:textId="77777777" w:rsidR="00AB650C" w:rsidRDefault="00000000">
      <w:pPr>
        <w:pStyle w:val="Heading1"/>
      </w:pPr>
      <w:r>
        <w:t>Executive Summary</w:t>
      </w:r>
    </w:p>
    <w:p w14:paraId="4B87CC56" w14:textId="77777777" w:rsidR="00AB650C" w:rsidRDefault="00000000">
      <w:pPr>
        <w:spacing w:after="120"/>
      </w:pPr>
      <w:r>
        <w:t>This document specifies an orbital platform system whose primary mission is the active removal of space debris and whose secondary mission is defensive engagement of ballistic threats. The platform is built as a large disk-form structure using All Conductive Metal (ACM) as both hull and power bussing, powered by an onboard Dual Chamber Gas Reactor (DCGR), and armed with a 50 MW single-crystal diamond primary laser and a distributed array of kilowatt-class diamond-optic secondary lasers.</w:t>
      </w:r>
    </w:p>
    <w:p w14:paraId="33B6DF3A" w14:textId="77777777" w:rsidR="00AB650C" w:rsidRDefault="00000000">
      <w:pPr>
        <w:spacing w:after="120"/>
      </w:pPr>
      <w:r>
        <w:t>The system is deployed as a two-tier constellation: a high-altitude tier in and above geostationary orbit focused on debris management and mid-course ballistic intercept, and a low Earth orbit tier focused on boost-phase intercept and LEO debris. This split is driven by physics — single-tier architectures cannot satisfy both mission profiles from one altitude.</w:t>
      </w:r>
    </w:p>
    <w:p w14:paraId="099E81B3" w14:textId="77777777" w:rsidR="00AB650C" w:rsidRDefault="00000000">
      <w:pPr>
        <w:spacing w:after="120"/>
      </w:pPr>
      <w:r>
        <w:t>Revenue is generated through international debris-</w:t>
      </w:r>
      <w:proofErr w:type="gramStart"/>
      <w:r>
        <w:t>cleanup</w:t>
      </w:r>
      <w:proofErr w:type="gramEnd"/>
      <w:r>
        <w:t xml:space="preserve"> subscription contracts. Defensive capability is an included but unadvertised function. The strategic posture is </w:t>
      </w:r>
      <w:proofErr w:type="gramStart"/>
      <w:r>
        <w:t>deterrence</w:t>
      </w:r>
      <w:proofErr w:type="gramEnd"/>
      <w:r>
        <w:t xml:space="preserve"> through infrastructure rather than through advertised weapons presence.</w:t>
      </w:r>
    </w:p>
    <w:p w14:paraId="20E26A66" w14:textId="77777777" w:rsidR="00AB650C" w:rsidRDefault="00000000">
      <w:pPr>
        <w:spacing w:after="120"/>
      </w:pPr>
      <w:r>
        <w:t>Revision 3 introduces an all-diamond optical architecture. All optical elements — primary laser focusing lens, KW array optics, beam train mirrors, platform windows, and sensor apertures — are fabricated from synthetic diamond. Adaptive beam correction is handled by an upstream deformable mirror rather than by a consumable gas lens. This change eliminates the primary consumable on the platform, reduces servicing logistics, and exploits diamond's unmatched thermal conductivity throughout the optical train.</w:t>
      </w:r>
    </w:p>
    <w:p w14:paraId="291891A4" w14:textId="77777777" w:rsidR="00AB650C" w:rsidRDefault="00000000">
      <w:r>
        <w:br w:type="page"/>
      </w:r>
    </w:p>
    <w:p w14:paraId="2E97F81A" w14:textId="77777777" w:rsidR="00AB650C" w:rsidRDefault="00000000">
      <w:pPr>
        <w:pStyle w:val="Heading1"/>
      </w:pPr>
      <w:r>
        <w:lastRenderedPageBreak/>
        <w:t>Design Philosophy</w:t>
      </w:r>
    </w:p>
    <w:p w14:paraId="1715C7C7" w14:textId="77777777" w:rsidR="00AB650C" w:rsidRDefault="00000000">
      <w:pPr>
        <w:pStyle w:val="ListParagraph"/>
        <w:numPr>
          <w:ilvl w:val="0"/>
          <w:numId w:val="2"/>
        </w:numPr>
        <w:spacing w:after="80"/>
      </w:pPr>
      <w:r>
        <w:t>Not a weapons platform. A security system with defensive response capability.</w:t>
      </w:r>
    </w:p>
    <w:p w14:paraId="399DD7F6" w14:textId="77777777" w:rsidR="00AB650C" w:rsidRDefault="00000000">
      <w:pPr>
        <w:pStyle w:val="ListParagraph"/>
        <w:numPr>
          <w:ilvl w:val="0"/>
          <w:numId w:val="2"/>
        </w:numPr>
        <w:spacing w:after="80"/>
      </w:pPr>
      <w:r>
        <w:t>Debris cleanup is the stated, contracted, and public-facing mission.</w:t>
      </w:r>
    </w:p>
    <w:p w14:paraId="7772DAD2" w14:textId="77777777" w:rsidR="00AB650C" w:rsidRDefault="00000000">
      <w:pPr>
        <w:pStyle w:val="ListParagraph"/>
        <w:numPr>
          <w:ilvl w:val="0"/>
          <w:numId w:val="2"/>
        </w:numPr>
        <w:spacing w:after="80"/>
      </w:pPr>
      <w:r>
        <w:t>Every component has multiple justifications across missions. No single-purpose hardware.</w:t>
      </w:r>
    </w:p>
    <w:p w14:paraId="0C419E0F" w14:textId="77777777" w:rsidR="00AB650C" w:rsidRDefault="00000000">
      <w:pPr>
        <w:pStyle w:val="ListParagraph"/>
        <w:numPr>
          <w:ilvl w:val="0"/>
          <w:numId w:val="2"/>
        </w:numPr>
        <w:spacing w:after="80"/>
      </w:pPr>
      <w:r>
        <w:t>Physics-based and hardware-enforced use constraints wherever possible. Policy layers are the backup, not the primary.</w:t>
      </w:r>
    </w:p>
    <w:p w14:paraId="4C594AFD" w14:textId="77777777" w:rsidR="00AB650C" w:rsidRDefault="00000000">
      <w:pPr>
        <w:pStyle w:val="ListParagraph"/>
        <w:numPr>
          <w:ilvl w:val="0"/>
          <w:numId w:val="2"/>
        </w:numPr>
        <w:spacing w:after="80"/>
      </w:pPr>
      <w:r>
        <w:t>Self-funding through international service contracts. No perpetual defense-budget dependency.</w:t>
      </w:r>
    </w:p>
    <w:p w14:paraId="189EA5D4" w14:textId="77777777" w:rsidR="00AB650C" w:rsidRDefault="00000000">
      <w:pPr>
        <w:pStyle w:val="ListParagraph"/>
        <w:numPr>
          <w:ilvl w:val="0"/>
          <w:numId w:val="2"/>
        </w:numPr>
        <w:spacing w:after="80"/>
      </w:pPr>
      <w:r>
        <w:t>Modular construction and on-orbit serviceability. Platforms last decades, not years.</w:t>
      </w:r>
    </w:p>
    <w:p w14:paraId="194C684C" w14:textId="77777777" w:rsidR="00AB650C" w:rsidRDefault="00000000">
      <w:pPr>
        <w:pStyle w:val="ListParagraph"/>
        <w:numPr>
          <w:ilvl w:val="0"/>
          <w:numId w:val="2"/>
        </w:numPr>
        <w:spacing w:after="80"/>
      </w:pPr>
      <w:r>
        <w:t>Minimize consumables. Every consumable is a servicing-flight dependency and a single point of mission interruption.</w:t>
      </w:r>
    </w:p>
    <w:p w14:paraId="2349DA84" w14:textId="77777777" w:rsidR="00AB650C" w:rsidRDefault="00000000">
      <w:r>
        <w:br w:type="page"/>
      </w:r>
    </w:p>
    <w:p w14:paraId="6350C88D" w14:textId="77777777" w:rsidR="00AB650C" w:rsidRDefault="00000000">
      <w:pPr>
        <w:pStyle w:val="Heading1"/>
      </w:pPr>
      <w:r>
        <w:lastRenderedPageBreak/>
        <w:t>Platform Structure</w:t>
      </w:r>
    </w:p>
    <w:p w14:paraId="2D2AB7D1" w14:textId="77777777" w:rsidR="00AB650C" w:rsidRDefault="00000000">
      <w:pPr>
        <w:pStyle w:val="Heading2"/>
      </w:pPr>
      <w:proofErr w:type="gramStart"/>
      <w:r>
        <w:t>Form</w:t>
      </w:r>
      <w:proofErr w:type="gramEnd"/>
      <w:r>
        <w:t xml:space="preserve"> Factor</w:t>
      </w:r>
    </w:p>
    <w:p w14:paraId="5ADAAAA9" w14:textId="77777777" w:rsidR="00AB650C" w:rsidRDefault="00000000">
      <w:pPr>
        <w:pStyle w:val="ListParagraph"/>
        <w:numPr>
          <w:ilvl w:val="0"/>
          <w:numId w:val="2"/>
        </w:numPr>
        <w:spacing w:after="80"/>
      </w:pPr>
      <w:r>
        <w:t>Large, thick disk geometry.</w:t>
      </w:r>
    </w:p>
    <w:p w14:paraId="11D1F827" w14:textId="77777777" w:rsidR="00AB650C" w:rsidRDefault="00000000">
      <w:pPr>
        <w:pStyle w:val="ListParagraph"/>
        <w:numPr>
          <w:ilvl w:val="0"/>
          <w:numId w:val="2"/>
        </w:numPr>
        <w:spacing w:after="80"/>
      </w:pPr>
      <w:r>
        <w:t xml:space="preserve">Reactor mounted on top surface. Heaviest mass above geometric center provides gravity-gradient assistance for attitude </w:t>
      </w:r>
      <w:proofErr w:type="gramStart"/>
      <w:r>
        <w:t>hold</w:t>
      </w:r>
      <w:proofErr w:type="gramEnd"/>
      <w:r>
        <w:t xml:space="preserve"> in GEO and below.</w:t>
      </w:r>
    </w:p>
    <w:p w14:paraId="3F29B314" w14:textId="77777777" w:rsidR="00AB650C" w:rsidRDefault="00000000">
      <w:pPr>
        <w:pStyle w:val="ListParagraph"/>
        <w:numPr>
          <w:ilvl w:val="0"/>
          <w:numId w:val="2"/>
        </w:numPr>
        <w:spacing w:after="80"/>
      </w:pPr>
      <w:r>
        <w:t>Primary 50 MW laser and KW laser array mounted on underside (nadir face) for space-facing engagements. No ground-facing optical paths on any weapon system.</w:t>
      </w:r>
    </w:p>
    <w:p w14:paraId="3DC7E7F9" w14:textId="77777777" w:rsidR="00AB650C" w:rsidRDefault="00000000">
      <w:pPr>
        <w:pStyle w:val="ListParagraph"/>
        <w:numPr>
          <w:ilvl w:val="0"/>
          <w:numId w:val="2"/>
        </w:numPr>
        <w:spacing w:after="80"/>
      </w:pPr>
      <w:r>
        <w:t>Solar shield on sun-facing side, doubling as thermal radiator backing for the cryo-cooled laser medium.</w:t>
      </w:r>
    </w:p>
    <w:p w14:paraId="391B0FE7" w14:textId="77777777" w:rsidR="00AB650C" w:rsidRDefault="00000000">
      <w:pPr>
        <w:pStyle w:val="ListParagraph"/>
        <w:numPr>
          <w:ilvl w:val="0"/>
          <w:numId w:val="2"/>
        </w:numPr>
        <w:spacing w:after="80"/>
      </w:pPr>
      <w:r>
        <w:t>Mylar skin wrapping provides thermal insulation and micrometeoroid protection.</w:t>
      </w:r>
    </w:p>
    <w:p w14:paraId="5E3DDF97" w14:textId="77777777" w:rsidR="00AB650C" w:rsidRDefault="00000000">
      <w:pPr>
        <w:pStyle w:val="Heading2"/>
      </w:pPr>
      <w:r>
        <w:t>ACM Hull and Integrated Power Bus</w:t>
      </w:r>
    </w:p>
    <w:p w14:paraId="06B7996C" w14:textId="77777777" w:rsidR="00AB650C" w:rsidRDefault="00000000">
      <w:pPr>
        <w:spacing w:after="120"/>
      </w:pPr>
      <w:r>
        <w:t>The platform is constructed from All Conductive Metal — an Fe-Cr-Ni base with graphene surface application and interlayer placement, manufactured under the specified temperature-cascade process. ACM exhibits zero electrical resistance at operational temperatures.</w:t>
      </w:r>
    </w:p>
    <w:p w14:paraId="4C85777C" w14:textId="77777777" w:rsidR="00AB650C" w:rsidRDefault="00000000">
      <w:pPr>
        <w:pStyle w:val="ListParagraph"/>
        <w:numPr>
          <w:ilvl w:val="0"/>
          <w:numId w:val="2"/>
        </w:numPr>
        <w:spacing w:after="80"/>
      </w:pPr>
      <w:r>
        <w:t xml:space="preserve">The hull is the wiring. No dedicated high-current harnesses are required between </w:t>
      </w:r>
      <w:proofErr w:type="gramStart"/>
      <w:r>
        <w:t>reactor</w:t>
      </w:r>
      <w:proofErr w:type="gramEnd"/>
      <w:r>
        <w:t xml:space="preserve"> and weapon systems.</w:t>
      </w:r>
    </w:p>
    <w:p w14:paraId="3745B32E" w14:textId="77777777" w:rsidR="00AB650C" w:rsidRDefault="00000000">
      <w:pPr>
        <w:pStyle w:val="ListParagraph"/>
        <w:numPr>
          <w:ilvl w:val="0"/>
          <w:numId w:val="2"/>
        </w:numPr>
        <w:spacing w:after="80"/>
      </w:pPr>
      <w:r>
        <w:t>Zero resistive heating in the power path. Radiator mass allocated elsewhere in conventional spacecraft is unnecessary here.</w:t>
      </w:r>
    </w:p>
    <w:p w14:paraId="07F7AB1B" w14:textId="77777777" w:rsidR="00AB650C" w:rsidRDefault="00000000">
      <w:pPr>
        <w:pStyle w:val="ListParagraph"/>
        <w:numPr>
          <w:ilvl w:val="0"/>
          <w:numId w:val="2"/>
        </w:numPr>
        <w:spacing w:after="80"/>
      </w:pPr>
      <w:r>
        <w:t>Reactor sizing benefits from the removal of radiator mass and from elimination of transmission losses. The transmission-loss savings are modest (conventional spacecraft wiring losses are 2–10 percent); the larger win is the thermal management simplification, which reduces overall reactor-system mass by a significant margin.</w:t>
      </w:r>
    </w:p>
    <w:p w14:paraId="436BD18C" w14:textId="77777777" w:rsidR="00AB650C" w:rsidRDefault="00000000">
      <w:pPr>
        <w:pStyle w:val="ListParagraph"/>
        <w:numPr>
          <w:ilvl w:val="0"/>
          <w:numId w:val="2"/>
        </w:numPr>
        <w:spacing w:after="80"/>
      </w:pPr>
      <w:r>
        <w:t>The continuous conductive hull inherently functions as a Faraday cage, providing protection against solar EM events and high-altitude nuclear EMP without additional shielding hardware.</w:t>
      </w:r>
    </w:p>
    <w:p w14:paraId="1A52BE2E" w14:textId="77777777" w:rsidR="00AB650C" w:rsidRDefault="00000000">
      <w:pPr>
        <w:pStyle w:val="Heading2"/>
      </w:pPr>
      <w:r>
        <w:t>Attitude Control</w:t>
      </w:r>
    </w:p>
    <w:p w14:paraId="7356A7C6" w14:textId="77777777" w:rsidR="00AB650C" w:rsidRDefault="00000000">
      <w:pPr>
        <w:pStyle w:val="ListParagraph"/>
        <w:numPr>
          <w:ilvl w:val="0"/>
          <w:numId w:val="2"/>
        </w:numPr>
        <w:spacing w:after="80"/>
      </w:pPr>
      <w:r>
        <w:rPr>
          <w:b/>
          <w:bCs/>
        </w:rPr>
        <w:t xml:space="preserve">Primary: </w:t>
      </w:r>
      <w:r>
        <w:t>Reaction wheels or control moment gyros for fine pointing and momentum management. Required regardless of altitude.</w:t>
      </w:r>
    </w:p>
    <w:p w14:paraId="5E6F588E" w14:textId="77777777" w:rsidR="00AB650C" w:rsidRDefault="00000000">
      <w:pPr>
        <w:pStyle w:val="ListParagraph"/>
        <w:numPr>
          <w:ilvl w:val="0"/>
          <w:numId w:val="2"/>
        </w:numPr>
        <w:spacing w:after="80"/>
      </w:pPr>
      <w:r>
        <w:rPr>
          <w:b/>
          <w:bCs/>
        </w:rPr>
        <w:t xml:space="preserve">Secondary: </w:t>
      </w:r>
      <w:r>
        <w:t xml:space="preserve">Cold gas reaction control system using nitrogen propellant. Small nozzles </w:t>
      </w:r>
      <w:proofErr w:type="gramStart"/>
      <w:r>
        <w:t>distributed</w:t>
      </w:r>
      <w:proofErr w:type="gramEnd"/>
      <w:r>
        <w:t xml:space="preserve"> around the disk rim. No combustion, no exhaust contamination of optics or sensors.</w:t>
      </w:r>
    </w:p>
    <w:p w14:paraId="70A522B7" w14:textId="77777777" w:rsidR="00AB650C" w:rsidRDefault="00000000">
      <w:pPr>
        <w:pStyle w:val="ListParagraph"/>
        <w:numPr>
          <w:ilvl w:val="0"/>
          <w:numId w:val="2"/>
        </w:numPr>
        <w:spacing w:after="80"/>
      </w:pPr>
      <w:r>
        <w:rPr>
          <w:b/>
          <w:bCs/>
        </w:rPr>
        <w:t xml:space="preserve">Assist: </w:t>
      </w:r>
      <w:r>
        <w:t>Gravity-gradient torque from top-heavy mass distribution. Effective at and below GEO; negligible assistance in higher graveyard orbits if used there.</w:t>
      </w:r>
    </w:p>
    <w:p w14:paraId="0A31AC3D" w14:textId="77777777" w:rsidR="00AB650C" w:rsidRDefault="00000000">
      <w:pPr>
        <w:pStyle w:val="ListParagraph"/>
        <w:numPr>
          <w:ilvl w:val="0"/>
          <w:numId w:val="2"/>
        </w:numPr>
        <w:spacing w:after="80"/>
      </w:pPr>
      <w:r>
        <w:rPr>
          <w:b/>
          <w:bCs/>
        </w:rPr>
        <w:t xml:space="preserve">Assist: </w:t>
      </w:r>
      <w:r>
        <w:t>Bidirectional laser firing cancels translational photon-pressure momentum along the beam axis. Does not cancel torques from off-axis firing; those are handled by the reaction wheels and RCS.</w:t>
      </w:r>
    </w:p>
    <w:p w14:paraId="2EA9470D" w14:textId="77777777" w:rsidR="00AB650C" w:rsidRDefault="00000000">
      <w:pPr>
        <w:pStyle w:val="Heading2"/>
      </w:pPr>
      <w:r>
        <w:t>Radiation Hardening</w:t>
      </w:r>
    </w:p>
    <w:p w14:paraId="2F177B9D" w14:textId="77777777" w:rsidR="00AB650C" w:rsidRDefault="00000000">
      <w:pPr>
        <w:spacing w:after="120"/>
      </w:pPr>
      <w:r>
        <w:t xml:space="preserve">The platform operates in a high-radiation environment (trapped particles, solar events, secondary radiation from the onboard reactor). All electronics shall be </w:t>
      </w:r>
      <w:proofErr w:type="gramStart"/>
      <w:r>
        <w:t>rad</w:t>
      </w:r>
      <w:proofErr w:type="gramEnd"/>
      <w:r>
        <w:t>-hard qualified to total-ionizing-dose and single-event-effect standards appropriate for a 20-year GEO or transit-</w:t>
      </w:r>
      <w:r>
        <w:lastRenderedPageBreak/>
        <w:t>through-Van-Allen-belt mission profile. The ACM hull and mylar skin provide passive shielding baseline; sensitive electronics receive local shielding enhancement.</w:t>
      </w:r>
    </w:p>
    <w:p w14:paraId="32EE1139" w14:textId="77777777" w:rsidR="00AB650C" w:rsidRDefault="00000000">
      <w:r>
        <w:br w:type="page"/>
      </w:r>
    </w:p>
    <w:p w14:paraId="721793B7" w14:textId="77777777" w:rsidR="00AB650C" w:rsidRDefault="00000000">
      <w:pPr>
        <w:pStyle w:val="Heading1"/>
      </w:pPr>
      <w:r>
        <w:lastRenderedPageBreak/>
        <w:t>Power System</w:t>
      </w:r>
    </w:p>
    <w:p w14:paraId="0D8AD5C9" w14:textId="77777777" w:rsidR="00AB650C" w:rsidRDefault="00000000">
      <w:pPr>
        <w:pStyle w:val="ListParagraph"/>
        <w:numPr>
          <w:ilvl w:val="0"/>
          <w:numId w:val="2"/>
        </w:numPr>
        <w:spacing w:after="80"/>
      </w:pPr>
      <w:r>
        <w:rPr>
          <w:b/>
          <w:bCs/>
        </w:rPr>
        <w:t xml:space="preserve">Reactor: </w:t>
      </w:r>
      <w:r>
        <w:t>Onboard DCGR (Dual Chamber Gas Reactor) using closed Brayton cycle with helium working fluid. Passive safety via negative temperature coefficient. Thermal output sized to support sustained KW array operation plus 50 MW laser duty cycle plus platform housekeeping loads with margin.</w:t>
      </w:r>
    </w:p>
    <w:p w14:paraId="22382EB4" w14:textId="77777777" w:rsidR="00AB650C" w:rsidRDefault="00000000">
      <w:pPr>
        <w:pStyle w:val="ListParagraph"/>
        <w:numPr>
          <w:ilvl w:val="0"/>
          <w:numId w:val="2"/>
        </w:numPr>
        <w:spacing w:after="80"/>
      </w:pPr>
      <w:r>
        <w:rPr>
          <w:b/>
          <w:bCs/>
        </w:rPr>
        <w:t xml:space="preserve">Capacitor banks: </w:t>
      </w:r>
      <w:r>
        <w:t xml:space="preserve">Large-capacity bank array feeds the 50 MW laser. </w:t>
      </w:r>
      <w:proofErr w:type="gramStart"/>
      <w:r>
        <w:t>Reactor charges</w:t>
      </w:r>
      <w:proofErr w:type="gramEnd"/>
      <w:r>
        <w:t xml:space="preserve"> the bank continuously; bank discharges rapidly during 50 MW shots. Duty cycle of the 50 MW system is set by bank capacity and reactor recharge rate.</w:t>
      </w:r>
    </w:p>
    <w:p w14:paraId="60646915" w14:textId="77777777" w:rsidR="00AB650C" w:rsidRDefault="00000000">
      <w:pPr>
        <w:pStyle w:val="ListParagraph"/>
        <w:numPr>
          <w:ilvl w:val="0"/>
          <w:numId w:val="2"/>
        </w:numPr>
        <w:spacing w:after="80"/>
      </w:pPr>
      <w:r>
        <w:rPr>
          <w:b/>
          <w:bCs/>
        </w:rPr>
        <w:t xml:space="preserve">Distribution: </w:t>
      </w:r>
      <w:r>
        <w:t>ACM hull carries all high-current power directly from reactor to capacitor banks and KW array. No dedicated harnesses.</w:t>
      </w:r>
    </w:p>
    <w:p w14:paraId="07204597" w14:textId="77777777" w:rsidR="00AB650C" w:rsidRDefault="00000000">
      <w:pPr>
        <w:pStyle w:val="ListParagraph"/>
        <w:numPr>
          <w:ilvl w:val="0"/>
          <w:numId w:val="2"/>
        </w:numPr>
        <w:spacing w:after="80"/>
      </w:pPr>
      <w:r>
        <w:rPr>
          <w:b/>
          <w:bCs/>
        </w:rPr>
        <w:t xml:space="preserve">End-of-life disposal: </w:t>
      </w:r>
      <w:r>
        <w:t xml:space="preserve">Reactor platforms are fitted with end-of-life propulsion for graveyard orbit insertion (GEO tier) or controlled deorbit with reactor </w:t>
      </w:r>
      <w:proofErr w:type="spellStart"/>
      <w:r>
        <w:t>safing</w:t>
      </w:r>
      <w:proofErr w:type="spellEnd"/>
      <w:r>
        <w:t xml:space="preserve"> (LEO tier). This is a regulatory requirement and good practice; it is not optional.</w:t>
      </w:r>
    </w:p>
    <w:p w14:paraId="7C1A681A" w14:textId="77777777" w:rsidR="00AB650C" w:rsidRDefault="00000000">
      <w:r>
        <w:br w:type="page"/>
      </w:r>
    </w:p>
    <w:p w14:paraId="1C189AC5" w14:textId="77777777" w:rsidR="00AB650C" w:rsidRDefault="00000000">
      <w:pPr>
        <w:pStyle w:val="Heading1"/>
      </w:pPr>
      <w:r>
        <w:lastRenderedPageBreak/>
        <w:t>Optical Architecture</w:t>
      </w:r>
    </w:p>
    <w:p w14:paraId="76F62BA3" w14:textId="77777777" w:rsidR="00AB650C" w:rsidRDefault="00000000">
      <w:pPr>
        <w:spacing w:after="120"/>
      </w:pPr>
      <w:r>
        <w:t xml:space="preserve">All optical elements on the platform are fabricated from synthetic </w:t>
      </w:r>
      <w:proofErr w:type="gramStart"/>
      <w:r>
        <w:t>diamond</w:t>
      </w:r>
      <w:proofErr w:type="gramEnd"/>
      <w:r>
        <w:t>. This is a deliberate architectural commitment rather than a component-by-component choice. Diamond provides the highest bulk thermal conductivity of any known material (approximately 2000 W/</w:t>
      </w:r>
      <w:proofErr w:type="spellStart"/>
      <w:r>
        <w:t>m·K</w:t>
      </w:r>
      <w:proofErr w:type="spellEnd"/>
      <w:r>
        <w:t>, roughly five times that of copper), exceptional hardness and damage resistance, broad transmission across visible through mid-IR bands, and chemical inertness that tolerates the vacuum and radiation environment without degradation over platform lifetime.</w:t>
      </w:r>
    </w:p>
    <w:p w14:paraId="5CF515A2" w14:textId="77777777" w:rsidR="00AB650C" w:rsidRDefault="00000000">
      <w:pPr>
        <w:pStyle w:val="Heading2"/>
      </w:pPr>
      <w:r>
        <w:t>Diamond Fabrication by Application</w:t>
      </w:r>
    </w:p>
    <w:p w14:paraId="414BC6C9" w14:textId="77777777" w:rsidR="00AB650C" w:rsidRDefault="00000000">
      <w:pPr>
        <w:pStyle w:val="Heading3"/>
      </w:pPr>
      <w:r>
        <w:t>Single-Crystal CVD Diamond</w:t>
      </w:r>
    </w:p>
    <w:p w14:paraId="1315EC2E" w14:textId="77777777" w:rsidR="00AB650C" w:rsidRDefault="00000000">
      <w:pPr>
        <w:spacing w:after="120"/>
      </w:pPr>
      <w:r>
        <w:t xml:space="preserve">Used for the 50 MW primary laser final focusing lens and for all high-power-density optical elements where scatter losses must be minimized. Single-crystal material has no grain boundaries, eliminating the scatter losses and thermal nonuniformities that polycrystalline material would introduce at very </w:t>
      </w:r>
      <w:proofErr w:type="gramStart"/>
      <w:r>
        <w:t>high power</w:t>
      </w:r>
      <w:proofErr w:type="gramEnd"/>
      <w:r>
        <w:t xml:space="preserve"> levels. Chemical Vapor Deposition grows the diamond as a continuous crystal.</w:t>
      </w:r>
    </w:p>
    <w:p w14:paraId="4B126E69" w14:textId="77777777" w:rsidR="00AB650C" w:rsidRDefault="00000000">
      <w:pPr>
        <w:spacing w:after="120"/>
      </w:pPr>
      <w:r>
        <w:t>Current single-crystal CVD diamond technology produces optical-grade material at centimeter scale. The aperture required for the 50 MW lens exceeds current demonstrated capability and represents a development program parallel to the laser scaling effort itself. The development pathway is an incremental scale-up from current state of the art to approximately half-meter apertures over a sustained manufacturing program.</w:t>
      </w:r>
    </w:p>
    <w:p w14:paraId="1D2299D9" w14:textId="77777777" w:rsidR="00AB650C" w:rsidRDefault="00000000">
      <w:pPr>
        <w:pStyle w:val="Heading3"/>
      </w:pPr>
      <w:r>
        <w:t>Polycrystalline Sintered Diamond (PCD)</w:t>
      </w:r>
    </w:p>
    <w:p w14:paraId="5374DC4B" w14:textId="77777777" w:rsidR="00AB650C" w:rsidRDefault="00000000">
      <w:pPr>
        <w:spacing w:after="120"/>
      </w:pPr>
      <w:r>
        <w:t>Manufactured by reducing synthetic diamond to fine powder, then consolidating under heat and pressure using hot isostatic pressing or spark plasma sintering, followed by polishing to optical clarity. PCD is suitable for all applications where the higher scatter of grain boundaries is thermally tolerable:</w:t>
      </w:r>
    </w:p>
    <w:p w14:paraId="45340782" w14:textId="77777777" w:rsidR="00AB650C" w:rsidRDefault="00000000">
      <w:pPr>
        <w:pStyle w:val="ListParagraph"/>
        <w:numPr>
          <w:ilvl w:val="0"/>
          <w:numId w:val="2"/>
        </w:numPr>
        <w:spacing w:after="80"/>
      </w:pPr>
      <w:r>
        <w:t xml:space="preserve">All KW </w:t>
      </w:r>
      <w:proofErr w:type="gramStart"/>
      <w:r>
        <w:t>array</w:t>
      </w:r>
      <w:proofErr w:type="gramEnd"/>
      <w:r>
        <w:t xml:space="preserve"> focusing lenses</w:t>
      </w:r>
    </w:p>
    <w:p w14:paraId="7810CD08" w14:textId="77777777" w:rsidR="00AB650C" w:rsidRDefault="00000000">
      <w:pPr>
        <w:pStyle w:val="ListParagraph"/>
        <w:numPr>
          <w:ilvl w:val="0"/>
          <w:numId w:val="2"/>
        </w:numPr>
        <w:spacing w:after="80"/>
      </w:pPr>
      <w:r>
        <w:t>All beam train folding mirrors (diamond substrate with reflective coating)</w:t>
      </w:r>
    </w:p>
    <w:p w14:paraId="37969EB2" w14:textId="77777777" w:rsidR="00AB650C" w:rsidRDefault="00000000">
      <w:pPr>
        <w:pStyle w:val="ListParagraph"/>
        <w:numPr>
          <w:ilvl w:val="0"/>
          <w:numId w:val="2"/>
        </w:numPr>
        <w:spacing w:after="80"/>
      </w:pPr>
      <w:r>
        <w:t>All platform windows and sensor apertures</w:t>
      </w:r>
    </w:p>
    <w:p w14:paraId="2852F6FF" w14:textId="77777777" w:rsidR="00AB650C" w:rsidRDefault="00000000">
      <w:pPr>
        <w:pStyle w:val="ListParagraph"/>
        <w:numPr>
          <w:ilvl w:val="0"/>
          <w:numId w:val="2"/>
        </w:numPr>
        <w:spacing w:after="80"/>
      </w:pPr>
      <w:r>
        <w:t>Heat spreaders behind laser diode pump arrays</w:t>
      </w:r>
    </w:p>
    <w:p w14:paraId="11DA506F" w14:textId="77777777" w:rsidR="00AB650C" w:rsidRDefault="00000000">
      <w:pPr>
        <w:pStyle w:val="ListParagraph"/>
        <w:numPr>
          <w:ilvl w:val="0"/>
          <w:numId w:val="2"/>
        </w:numPr>
        <w:spacing w:after="80"/>
      </w:pPr>
      <w:r>
        <w:t>Protective witness windows forward of all primary optics, designed as sacrificial elements for routine replacement during servicing</w:t>
      </w:r>
    </w:p>
    <w:p w14:paraId="7F4C63D9" w14:textId="77777777" w:rsidR="00AB650C" w:rsidRDefault="00000000">
      <w:pPr>
        <w:spacing w:after="120"/>
      </w:pPr>
      <w:r>
        <w:t>PCD manufacturing at the required apertures is closer to current commercial capability than single-crystal CVD and is available at larger diameters with shorter lead times.</w:t>
      </w:r>
    </w:p>
    <w:p w14:paraId="309F7E82" w14:textId="77777777" w:rsidR="00AB650C" w:rsidRDefault="00000000">
      <w:pPr>
        <w:pStyle w:val="Heading2"/>
      </w:pPr>
      <w:r>
        <w:t>Adaptive Beam Correction</w:t>
      </w:r>
    </w:p>
    <w:p w14:paraId="71C512AC" w14:textId="77777777" w:rsidR="00AB650C" w:rsidRDefault="00000000">
      <w:pPr>
        <w:spacing w:after="120"/>
      </w:pPr>
      <w:r>
        <w:t>A deformable mirror is positioned in the beam train upstream of the 50 MW final focusing lens. This mirror provides the adaptive shaping function that earlier design drafts assigned to a consumable gas lens. The deformable mirror corrects for:</w:t>
      </w:r>
    </w:p>
    <w:p w14:paraId="306A3B55" w14:textId="77777777" w:rsidR="00AB650C" w:rsidRDefault="00000000">
      <w:pPr>
        <w:pStyle w:val="ListParagraph"/>
        <w:numPr>
          <w:ilvl w:val="0"/>
          <w:numId w:val="2"/>
        </w:numPr>
        <w:spacing w:after="80"/>
      </w:pPr>
      <w:r>
        <w:t>Thermal blooming of the beam in the near-field engagement volume, particularly significant when target outgassing or ablation products enter the beam path</w:t>
      </w:r>
    </w:p>
    <w:p w14:paraId="7673069D" w14:textId="77777777" w:rsidR="00AB650C" w:rsidRDefault="00000000">
      <w:pPr>
        <w:pStyle w:val="ListParagraph"/>
        <w:numPr>
          <w:ilvl w:val="0"/>
          <w:numId w:val="2"/>
        </w:numPr>
        <w:spacing w:after="80"/>
      </w:pPr>
      <w:r>
        <w:t>Small thermal distortions of the diamond final lens under sustained firing</w:t>
      </w:r>
    </w:p>
    <w:p w14:paraId="35D1B3F7" w14:textId="77777777" w:rsidR="00AB650C" w:rsidRDefault="00000000">
      <w:pPr>
        <w:pStyle w:val="ListParagraph"/>
        <w:numPr>
          <w:ilvl w:val="0"/>
          <w:numId w:val="2"/>
        </w:numPr>
        <w:spacing w:after="80"/>
      </w:pPr>
      <w:r>
        <w:t>Target range variations requiring focal adjustment during a single engagement</w:t>
      </w:r>
    </w:p>
    <w:p w14:paraId="48F1D92E" w14:textId="77777777" w:rsidR="00AB650C" w:rsidRDefault="00000000">
      <w:pPr>
        <w:pStyle w:val="ListParagraph"/>
        <w:numPr>
          <w:ilvl w:val="0"/>
          <w:numId w:val="2"/>
        </w:numPr>
        <w:spacing w:after="80"/>
      </w:pPr>
      <w:r>
        <w:t>Fine pointing corrections faster than the gimbal can accommodate</w:t>
      </w:r>
    </w:p>
    <w:p w14:paraId="01259A5F" w14:textId="77777777" w:rsidR="00AB650C" w:rsidRDefault="00000000">
      <w:pPr>
        <w:spacing w:after="120"/>
      </w:pPr>
      <w:r>
        <w:lastRenderedPageBreak/>
        <w:t>The deformable mirror is fabricated with a diamond substrate for thermal conductivity and is actively cooled through the ACM structure. It is a permanent platform element, not a consumable. This eliminates the gas lens entirely from the primary weapon system and removes gas resupply from the servicing manifest.</w:t>
      </w:r>
    </w:p>
    <w:p w14:paraId="1A9FEE21" w14:textId="77777777" w:rsidR="00AB650C" w:rsidRDefault="00000000">
      <w:pPr>
        <w:pStyle w:val="Heading2"/>
      </w:pPr>
      <w:r>
        <w:t>Why Diamond Throughout</w:t>
      </w:r>
    </w:p>
    <w:p w14:paraId="047F23A3" w14:textId="77777777" w:rsidR="00AB650C" w:rsidRDefault="00000000">
      <w:pPr>
        <w:pStyle w:val="ListParagraph"/>
        <w:numPr>
          <w:ilvl w:val="0"/>
          <w:numId w:val="2"/>
        </w:numPr>
        <w:spacing w:after="80"/>
      </w:pPr>
      <w:r>
        <w:rPr>
          <w:b/>
          <w:bCs/>
        </w:rPr>
        <w:t xml:space="preserve">Thermal conductivity: </w:t>
      </w:r>
      <w:r>
        <w:t>Diamond conducts heat out of the optical path faster than the beam deposits it, enabling self-cooling through the mount at KW levels and significantly extending thermal duty cycle at MW levels.</w:t>
      </w:r>
    </w:p>
    <w:p w14:paraId="1C86D34F" w14:textId="77777777" w:rsidR="00AB650C" w:rsidRDefault="00000000">
      <w:pPr>
        <w:pStyle w:val="ListParagraph"/>
        <w:numPr>
          <w:ilvl w:val="0"/>
          <w:numId w:val="2"/>
        </w:numPr>
        <w:spacing w:after="80"/>
      </w:pPr>
      <w:r>
        <w:rPr>
          <w:b/>
          <w:bCs/>
        </w:rPr>
        <w:t xml:space="preserve">Damage resistance: </w:t>
      </w:r>
      <w:r>
        <w:t>Diamond's hardness and high laser-induced damage threshold extend optical lifetime under sustained high-power operation well beyond what conventional optical glasses or crystals provide.</w:t>
      </w:r>
    </w:p>
    <w:p w14:paraId="7B654A89" w14:textId="77777777" w:rsidR="00AB650C" w:rsidRDefault="00000000">
      <w:pPr>
        <w:pStyle w:val="ListParagraph"/>
        <w:numPr>
          <w:ilvl w:val="0"/>
          <w:numId w:val="2"/>
        </w:numPr>
        <w:spacing w:after="80"/>
      </w:pPr>
      <w:r>
        <w:rPr>
          <w:b/>
          <w:bCs/>
        </w:rPr>
        <w:t xml:space="preserve">Environmental stability: </w:t>
      </w:r>
      <w:r>
        <w:t>Diamond does not degrade under vacuum UV, solar particle radiation, or atomic oxygen exposure. No coating delamination, no transmission loss from radiation darkening, no measurable optical change over platform lifetime.</w:t>
      </w:r>
    </w:p>
    <w:p w14:paraId="77E9613D" w14:textId="77777777" w:rsidR="00AB650C" w:rsidRDefault="00000000">
      <w:pPr>
        <w:pStyle w:val="ListParagraph"/>
        <w:numPr>
          <w:ilvl w:val="0"/>
          <w:numId w:val="2"/>
        </w:numPr>
        <w:spacing w:after="80"/>
      </w:pPr>
      <w:r>
        <w:rPr>
          <w:b/>
          <w:bCs/>
        </w:rPr>
        <w:t xml:space="preserve">Contamination tolerance: </w:t>
      </w:r>
      <w:r>
        <w:t>When debris ablation products condense on diamond optics during engagement, the material's hardness allows more aggressive cleaning protocols than softer optical materials would permit, including laser-based self-cleaning using lower-power sweep modes.</w:t>
      </w:r>
    </w:p>
    <w:p w14:paraId="4F44664F" w14:textId="77777777" w:rsidR="00AB650C" w:rsidRDefault="00000000">
      <w:pPr>
        <w:pStyle w:val="ListParagraph"/>
        <w:numPr>
          <w:ilvl w:val="0"/>
          <w:numId w:val="2"/>
        </w:numPr>
        <w:spacing w:after="80"/>
      </w:pPr>
      <w:r>
        <w:rPr>
          <w:b/>
          <w:bCs/>
        </w:rPr>
        <w:t xml:space="preserve">Broadband transmission: </w:t>
      </w:r>
      <w:r>
        <w:t>Diamond is transparent across visible and near/mid-IR bands, accommodating wavelength selection within the ground-safety absorption windows without requiring optics changes.</w:t>
      </w:r>
    </w:p>
    <w:p w14:paraId="0E15B600" w14:textId="77777777" w:rsidR="00AB650C" w:rsidRDefault="00000000">
      <w:pPr>
        <w:pStyle w:val="Heading2"/>
      </w:pPr>
      <w:r>
        <w:t>Tradeoffs Accepted</w:t>
      </w:r>
    </w:p>
    <w:p w14:paraId="71F3D48C" w14:textId="77777777" w:rsidR="00AB650C" w:rsidRDefault="00000000">
      <w:pPr>
        <w:pStyle w:val="ListParagraph"/>
        <w:numPr>
          <w:ilvl w:val="0"/>
          <w:numId w:val="2"/>
        </w:numPr>
        <w:spacing w:after="80"/>
      </w:pPr>
      <w:r>
        <w:rPr>
          <w:b/>
          <w:bCs/>
        </w:rPr>
        <w:t xml:space="preserve">Manufacturing: </w:t>
      </w:r>
      <w:r>
        <w:t>Large-aperture diamond optics require dedicated manufacturing lines. Current PCD optics are typically under 25 mm diameter. Scaling to the required apertures is a manufacturing development program, though a smaller one than the 50 MW laser development itself.</w:t>
      </w:r>
    </w:p>
    <w:p w14:paraId="322DE1B1" w14:textId="77777777" w:rsidR="00AB650C" w:rsidRDefault="00000000">
      <w:pPr>
        <w:pStyle w:val="ListParagraph"/>
        <w:numPr>
          <w:ilvl w:val="0"/>
          <w:numId w:val="2"/>
        </w:numPr>
        <w:spacing w:after="80"/>
      </w:pPr>
      <w:r>
        <w:rPr>
          <w:b/>
          <w:bCs/>
        </w:rPr>
        <w:t xml:space="preserve">PCD scatter: </w:t>
      </w:r>
      <w:r>
        <w:t>Grain boundaries in sintered diamond produce measurable scatter. At KW power this is thermally and operationally negligible. At MW levels scatter becomes a design constraint, which is why the 50 MW primary lens uses single-crystal CVD rather than PCD.</w:t>
      </w:r>
    </w:p>
    <w:p w14:paraId="25380D42" w14:textId="77777777" w:rsidR="00AB650C" w:rsidRDefault="00000000">
      <w:pPr>
        <w:pStyle w:val="ListParagraph"/>
        <w:numPr>
          <w:ilvl w:val="0"/>
          <w:numId w:val="2"/>
        </w:numPr>
        <w:spacing w:after="80"/>
      </w:pPr>
      <w:r>
        <w:rPr>
          <w:b/>
          <w:bCs/>
        </w:rPr>
        <w:t xml:space="preserve">Cost: </w:t>
      </w:r>
      <w:r>
        <w:t>Diamond optics are more expensive than conventional alternatives. At platform-constellation scale this is absorbed in the overall program cost and is negligible relative to the reactor and laser development costs.</w:t>
      </w:r>
    </w:p>
    <w:p w14:paraId="72615B2A" w14:textId="77777777" w:rsidR="00AB650C" w:rsidRDefault="00000000">
      <w:r>
        <w:br w:type="page"/>
      </w:r>
    </w:p>
    <w:p w14:paraId="1BF35152" w14:textId="77777777" w:rsidR="00AB650C" w:rsidRDefault="00000000">
      <w:pPr>
        <w:pStyle w:val="Heading1"/>
      </w:pPr>
      <w:r>
        <w:lastRenderedPageBreak/>
        <w:t>Primary Weapon — 50 MW Diamond-Optic Laser</w:t>
      </w:r>
    </w:p>
    <w:p w14:paraId="60838264" w14:textId="77777777" w:rsidR="00AB650C" w:rsidRDefault="00000000">
      <w:pPr>
        <w:pStyle w:val="Heading2"/>
      </w:pPr>
      <w:r>
        <w:t>Development Status Disclosure</w:t>
      </w:r>
    </w:p>
    <w:p w14:paraId="302E1ABC" w14:textId="77777777" w:rsidR="00AB650C" w:rsidRDefault="00000000">
      <w:pPr>
        <w:spacing w:after="120"/>
      </w:pPr>
      <w:r>
        <w:t xml:space="preserve">A 50 MW space-based laser is approximately two to three orders of magnitude beyond the current state of the art in demonstrated space-capable laser systems (current systems are in the </w:t>
      </w:r>
      <w:proofErr w:type="gramStart"/>
      <w:r>
        <w:t>100 kW</w:t>
      </w:r>
      <w:proofErr w:type="gramEnd"/>
      <w:r>
        <w:t xml:space="preserve"> class). This design assumes successful development of megawatt-class space laser technology and subsequent scaling. This is a development program, not an off-the-shelf integration. Large-aperture single-crystal CVD diamond optics are a parallel development effort.</w:t>
      </w:r>
    </w:p>
    <w:p w14:paraId="73C4610E" w14:textId="77777777" w:rsidR="00AB650C" w:rsidRDefault="00000000">
      <w:pPr>
        <w:pStyle w:val="Heading2"/>
      </w:pPr>
      <w:r>
        <w:t>Configuration</w:t>
      </w:r>
    </w:p>
    <w:p w14:paraId="4FCC5038" w14:textId="77777777" w:rsidR="00AB650C" w:rsidRDefault="00000000">
      <w:pPr>
        <w:pStyle w:val="ListParagraph"/>
        <w:numPr>
          <w:ilvl w:val="0"/>
          <w:numId w:val="2"/>
        </w:numPr>
        <w:spacing w:after="80"/>
      </w:pPr>
      <w:r>
        <w:t>Short, wide-aperture barrel. Short optical path minimizes internal absorption. Wide exit aperture spreads thermal load across optics.</w:t>
      </w:r>
    </w:p>
    <w:p w14:paraId="6C2E512D" w14:textId="77777777" w:rsidR="00AB650C" w:rsidRDefault="00000000">
      <w:pPr>
        <w:pStyle w:val="ListParagraph"/>
        <w:numPr>
          <w:ilvl w:val="0"/>
          <w:numId w:val="2"/>
        </w:numPr>
        <w:spacing w:after="80"/>
      </w:pPr>
      <w:r>
        <w:t>Final focusing lens: single-crystal CVD diamond, wide aperture. Permanent platform element, not consumable.</w:t>
      </w:r>
    </w:p>
    <w:p w14:paraId="47ED2D93" w14:textId="77777777" w:rsidR="00AB650C" w:rsidRDefault="00000000">
      <w:pPr>
        <w:pStyle w:val="ListParagraph"/>
        <w:numPr>
          <w:ilvl w:val="0"/>
          <w:numId w:val="2"/>
        </w:numPr>
        <w:spacing w:after="80"/>
      </w:pPr>
      <w:r>
        <w:t>Sacrificial witness window forward of the final lens. PCD diamond, swap-replaceable during servicing, protects the primary lens from debris ablation products.</w:t>
      </w:r>
    </w:p>
    <w:p w14:paraId="70FA2E8D" w14:textId="77777777" w:rsidR="00AB650C" w:rsidRDefault="00000000">
      <w:pPr>
        <w:pStyle w:val="ListParagraph"/>
        <w:numPr>
          <w:ilvl w:val="0"/>
          <w:numId w:val="2"/>
        </w:numPr>
        <w:spacing w:after="80"/>
      </w:pPr>
      <w:r>
        <w:t>Upstream deformable mirror for adaptive beam correction. Diamond substrate, actively cooled.</w:t>
      </w:r>
    </w:p>
    <w:p w14:paraId="48D8C25F" w14:textId="77777777" w:rsidR="00AB650C" w:rsidRDefault="00000000">
      <w:pPr>
        <w:pStyle w:val="ListParagraph"/>
        <w:numPr>
          <w:ilvl w:val="0"/>
          <w:numId w:val="2"/>
        </w:numPr>
        <w:spacing w:after="80"/>
      </w:pPr>
      <w:r>
        <w:t>Laser medium housed in a cryogenically cooled enclosure. Electrical bussing into the enclosure does not require cooling due to ACM.</w:t>
      </w:r>
    </w:p>
    <w:p w14:paraId="3EA586C3" w14:textId="77777777" w:rsidR="00AB650C" w:rsidRDefault="00000000">
      <w:pPr>
        <w:pStyle w:val="ListParagraph"/>
        <w:numPr>
          <w:ilvl w:val="0"/>
          <w:numId w:val="2"/>
        </w:numPr>
        <w:spacing w:after="80"/>
      </w:pPr>
      <w:r>
        <w:t xml:space="preserve">Bidirectional firing: </w:t>
      </w:r>
      <w:proofErr w:type="spellStart"/>
      <w:r>
        <w:t>counterbeam</w:t>
      </w:r>
      <w:proofErr w:type="spellEnd"/>
      <w:r>
        <w:t xml:space="preserve"> fires opposite the target direction into empty space to cancel translational photon-pressure momentum. Net translational impulse on the platform is near zero.</w:t>
      </w:r>
    </w:p>
    <w:p w14:paraId="6F2FAEEB" w14:textId="77777777" w:rsidR="00AB650C" w:rsidRDefault="00000000">
      <w:pPr>
        <w:pStyle w:val="ListParagraph"/>
        <w:numPr>
          <w:ilvl w:val="0"/>
          <w:numId w:val="2"/>
        </w:numPr>
        <w:spacing w:after="80"/>
      </w:pPr>
      <w:r>
        <w:t>Variable output power. Not every target requires full 50 MW.</w:t>
      </w:r>
    </w:p>
    <w:p w14:paraId="13566389" w14:textId="77777777" w:rsidR="00AB650C" w:rsidRDefault="00000000">
      <w:pPr>
        <w:pStyle w:val="ListParagraph"/>
        <w:numPr>
          <w:ilvl w:val="0"/>
          <w:numId w:val="2"/>
        </w:numPr>
        <w:spacing w:after="80"/>
      </w:pPr>
      <w:r>
        <w:t xml:space="preserve">Full gimbal coverage: 360 degrees azimuth, 180 degrees elevation, subject to the </w:t>
      </w:r>
      <w:proofErr w:type="gramStart"/>
      <w:r>
        <w:t>nadir</w:t>
      </w:r>
      <w:proofErr w:type="gramEnd"/>
      <w:r>
        <w:t xml:space="preserve"> exclusion zone described below.</w:t>
      </w:r>
    </w:p>
    <w:p w14:paraId="7435437A" w14:textId="77777777" w:rsidR="00AB650C" w:rsidRDefault="00000000">
      <w:pPr>
        <w:pStyle w:val="Heading2"/>
      </w:pPr>
      <w:r>
        <w:t>Ground-Safety Hardware Interlocks</w:t>
      </w:r>
    </w:p>
    <w:p w14:paraId="3A6A8ED0" w14:textId="77777777" w:rsidR="00AB650C" w:rsidRDefault="00000000">
      <w:pPr>
        <w:spacing w:after="120"/>
      </w:pPr>
      <w:r>
        <w:t xml:space="preserve">Atmospheric attenuation alone is </w:t>
      </w:r>
      <w:proofErr w:type="gramStart"/>
      <w:r>
        <w:t>not a sufficient</w:t>
      </w:r>
      <w:proofErr w:type="gramEnd"/>
      <w:r>
        <w:t xml:space="preserve"> </w:t>
      </w:r>
      <w:proofErr w:type="gramStart"/>
      <w:r>
        <w:t>guarantee</w:t>
      </w:r>
      <w:proofErr w:type="gramEnd"/>
      <w:r>
        <w:t xml:space="preserve"> that this system cannot be used as a ground weapon. Past airborne-laser programs demonstrated megawatt-class engagement of boost-phase missiles through atmosphere, and a 50 MW beam from low orbit could deliver harmful energy to soft ground targets despite severe attenuation. The following hardware interlocks are therefore part of the baseline design:</w:t>
      </w:r>
    </w:p>
    <w:p w14:paraId="24F5A631" w14:textId="77777777" w:rsidR="00AB650C" w:rsidRDefault="00000000">
      <w:pPr>
        <w:pStyle w:val="ListParagraph"/>
        <w:numPr>
          <w:ilvl w:val="0"/>
          <w:numId w:val="2"/>
        </w:numPr>
        <w:spacing w:after="80"/>
      </w:pPr>
      <w:r>
        <w:rPr>
          <w:b/>
          <w:bCs/>
        </w:rPr>
        <w:t xml:space="preserve">Wavelength selection: </w:t>
      </w:r>
      <w:r>
        <w:t>The laser operates in an atmospheric absorption band (mid-IR water or CO2 absorption window). Space-to-space engagement above the atmosphere is unaffected. Ground-directed energy is absorbed in the first tens of kilometers of atmosphere, regardless of platform intent. Diamond optics transmit across all candidate absorption bands without material substitution.</w:t>
      </w:r>
    </w:p>
    <w:p w14:paraId="7EF57D77" w14:textId="77777777" w:rsidR="00AB650C" w:rsidRDefault="00000000">
      <w:pPr>
        <w:pStyle w:val="ListParagraph"/>
        <w:numPr>
          <w:ilvl w:val="0"/>
          <w:numId w:val="2"/>
        </w:numPr>
        <w:spacing w:after="80"/>
      </w:pPr>
      <w:r>
        <w:rPr>
          <w:b/>
          <w:bCs/>
        </w:rPr>
        <w:t xml:space="preserve">Gimbal elevation stops: </w:t>
      </w:r>
      <w:r>
        <w:t xml:space="preserve">Mechanical hard stops on the gimbal prevent the beam from pointing within a defined angular exclusion zone around nadir. Hardware interlock, not software. </w:t>
      </w:r>
      <w:proofErr w:type="gramStart"/>
      <w:r>
        <w:t>Bypass requires</w:t>
      </w:r>
      <w:proofErr w:type="gramEnd"/>
      <w:r>
        <w:t xml:space="preserve"> physical modification on orbit.</w:t>
      </w:r>
    </w:p>
    <w:p w14:paraId="2ADB2C01" w14:textId="77777777" w:rsidR="00AB650C" w:rsidRDefault="00000000">
      <w:pPr>
        <w:pStyle w:val="ListParagraph"/>
        <w:numPr>
          <w:ilvl w:val="0"/>
          <w:numId w:val="2"/>
        </w:numPr>
        <w:spacing w:after="80"/>
      </w:pPr>
      <w:r>
        <w:rPr>
          <w:b/>
          <w:bCs/>
        </w:rPr>
        <w:t xml:space="preserve">No ground-facing optical path: </w:t>
      </w:r>
      <w:r>
        <w:t>The 50 MW system has no ground-facing aperture or mirror. Redirecting the beam toward Earth would require assembly of a new optical path, which cannot be done autonomously on orbit.</w:t>
      </w:r>
    </w:p>
    <w:p w14:paraId="3533D9E3" w14:textId="77777777" w:rsidR="00AB650C" w:rsidRDefault="00000000">
      <w:pPr>
        <w:spacing w:after="120"/>
      </w:pPr>
      <w:r>
        <w:lastRenderedPageBreak/>
        <w:t xml:space="preserve">These three interlocks are layered with atmospheric attenuation itself as a fourth passive layer. </w:t>
      </w:r>
      <w:proofErr w:type="gramStart"/>
      <w:r>
        <w:t>Any one</w:t>
      </w:r>
      <w:proofErr w:type="gramEnd"/>
      <w:r>
        <w:t xml:space="preserve"> of them would substantially limit ground-targeting capability; all four together make it infeasible without on-orbit reconfiguration by a servicing crew.</w:t>
      </w:r>
    </w:p>
    <w:p w14:paraId="213AA3CC" w14:textId="77777777" w:rsidR="00AB650C" w:rsidRDefault="00000000">
      <w:pPr>
        <w:pStyle w:val="Heading2"/>
      </w:pPr>
      <w:r>
        <w:t>Operational Roles</w:t>
      </w:r>
    </w:p>
    <w:p w14:paraId="61AA83C7" w14:textId="77777777" w:rsidR="00AB650C" w:rsidRDefault="00000000">
      <w:pPr>
        <w:pStyle w:val="ListParagraph"/>
        <w:numPr>
          <w:ilvl w:val="0"/>
          <w:numId w:val="3"/>
        </w:numPr>
        <w:spacing w:after="80"/>
      </w:pPr>
      <w:r>
        <w:t xml:space="preserve">Large debris removal. </w:t>
      </w:r>
      <w:proofErr w:type="gramStart"/>
      <w:r>
        <w:t>Dead satellites,</w:t>
      </w:r>
      <w:proofErr w:type="gramEnd"/>
      <w:r>
        <w:t xml:space="preserve"> spent rocket stages, large fragments. Scheduled operations.</w:t>
      </w:r>
    </w:p>
    <w:p w14:paraId="658E4BBF" w14:textId="77777777" w:rsidR="00AB650C" w:rsidRDefault="00000000">
      <w:pPr>
        <w:pStyle w:val="ListParagraph"/>
        <w:numPr>
          <w:ilvl w:val="0"/>
          <w:numId w:val="3"/>
        </w:numPr>
        <w:spacing w:after="80"/>
      </w:pPr>
      <w:r>
        <w:t xml:space="preserve">Ballistic mid-course intercept. Engagement of warheads in the </w:t>
      </w:r>
      <w:proofErr w:type="spellStart"/>
      <w:r>
        <w:t>exoatmospheric</w:t>
      </w:r>
      <w:proofErr w:type="spellEnd"/>
      <w:r>
        <w:t xml:space="preserve"> mid-course phase, where atmospheric attenuation does not apply. (Boost-phase intercept is handled by the LEO tier — see Constellation Architecture.)</w:t>
      </w:r>
    </w:p>
    <w:p w14:paraId="1EFCD227" w14:textId="77777777" w:rsidR="00AB650C" w:rsidRDefault="00000000">
      <w:r>
        <w:br w:type="page"/>
      </w:r>
    </w:p>
    <w:p w14:paraId="6416EDFE" w14:textId="77777777" w:rsidR="00AB650C" w:rsidRDefault="00000000">
      <w:pPr>
        <w:pStyle w:val="Heading1"/>
      </w:pPr>
      <w:r>
        <w:lastRenderedPageBreak/>
        <w:t>Secondary Weapon — KW Diamond Laser Array</w:t>
      </w:r>
    </w:p>
    <w:p w14:paraId="5EB52295" w14:textId="77777777" w:rsidR="00AB650C" w:rsidRDefault="00000000">
      <w:pPr>
        <w:pStyle w:val="ListParagraph"/>
        <w:numPr>
          <w:ilvl w:val="0"/>
          <w:numId w:val="2"/>
        </w:numPr>
        <w:spacing w:after="80"/>
      </w:pPr>
      <w:r>
        <w:t>Multiple kilowatt-class laser units mounted across the underside of the disk.</w:t>
      </w:r>
    </w:p>
    <w:p w14:paraId="65FC8AE3" w14:textId="77777777" w:rsidR="00AB650C" w:rsidRDefault="00000000">
      <w:pPr>
        <w:pStyle w:val="ListParagraph"/>
        <w:numPr>
          <w:ilvl w:val="0"/>
          <w:numId w:val="2"/>
        </w:numPr>
        <w:spacing w:after="80"/>
      </w:pPr>
      <w:r>
        <w:t>Focusing optics: polycrystalline sintered diamond (PCD). Diamond's thermal conductivity provides self-cooling through the mount at KW power levels — the lens conducts heat to the edge faster than the beam deposits it.</w:t>
      </w:r>
    </w:p>
    <w:p w14:paraId="246921B9" w14:textId="77777777" w:rsidR="00AB650C" w:rsidRDefault="00000000">
      <w:pPr>
        <w:pStyle w:val="ListParagraph"/>
        <w:numPr>
          <w:ilvl w:val="0"/>
          <w:numId w:val="2"/>
        </w:numPr>
        <w:spacing w:after="80"/>
      </w:pPr>
      <w:r>
        <w:t>Each unit fires bidirectionally for individual momentum cancellation.</w:t>
      </w:r>
    </w:p>
    <w:p w14:paraId="703F8853" w14:textId="77777777" w:rsidR="00AB650C" w:rsidRDefault="00000000">
      <w:pPr>
        <w:pStyle w:val="ListParagraph"/>
        <w:numPr>
          <w:ilvl w:val="0"/>
          <w:numId w:val="2"/>
        </w:numPr>
        <w:spacing w:after="80"/>
      </w:pPr>
      <w:r>
        <w:t xml:space="preserve">Each unit is independently </w:t>
      </w:r>
      <w:proofErr w:type="gramStart"/>
      <w:r>
        <w:t>gimballed</w:t>
      </w:r>
      <w:proofErr w:type="gramEnd"/>
      <w:r>
        <w:t>. The array can engage multiple targets simultaneously.</w:t>
      </w:r>
    </w:p>
    <w:p w14:paraId="505DDB5A" w14:textId="77777777" w:rsidR="00AB650C" w:rsidRDefault="00000000">
      <w:pPr>
        <w:pStyle w:val="ListParagraph"/>
        <w:numPr>
          <w:ilvl w:val="0"/>
          <w:numId w:val="2"/>
        </w:numPr>
        <w:spacing w:after="80"/>
      </w:pPr>
      <w:r>
        <w:t>Always powered. No capacitor charge-cycle delay between shots. KW-class power draws directly from the reactor through the ACM bus.</w:t>
      </w:r>
    </w:p>
    <w:p w14:paraId="3BB4E7A2" w14:textId="77777777" w:rsidR="00AB650C" w:rsidRDefault="00000000">
      <w:pPr>
        <w:pStyle w:val="ListParagraph"/>
        <w:numPr>
          <w:ilvl w:val="0"/>
          <w:numId w:val="2"/>
        </w:numPr>
        <w:spacing w:after="80"/>
      </w:pPr>
      <w:r>
        <w:t>Faster gimbal slew rates than the 50 MW system, because the units are physically smaller and lighter.</w:t>
      </w:r>
    </w:p>
    <w:p w14:paraId="262706D2" w14:textId="77777777" w:rsidR="00AB650C" w:rsidRDefault="00000000">
      <w:pPr>
        <w:pStyle w:val="ListParagraph"/>
        <w:numPr>
          <w:ilvl w:val="0"/>
          <w:numId w:val="2"/>
        </w:numPr>
        <w:spacing w:after="80"/>
      </w:pPr>
      <w:r>
        <w:t>Same ground-safety interlocks as the 50 MW system apply: wavelength selection, elevation stops, no ground-facing optical path.</w:t>
      </w:r>
    </w:p>
    <w:p w14:paraId="423D7F61" w14:textId="77777777" w:rsidR="00AB650C" w:rsidRDefault="00000000">
      <w:pPr>
        <w:pStyle w:val="ListParagraph"/>
        <w:numPr>
          <w:ilvl w:val="0"/>
          <w:numId w:val="2"/>
        </w:numPr>
        <w:spacing w:after="80"/>
      </w:pPr>
      <w:r>
        <w:t>Sacrificial PCD witness windows forward of each KW unit. Routine swap during servicing cycles.</w:t>
      </w:r>
    </w:p>
    <w:p w14:paraId="4C4C84F4" w14:textId="77777777" w:rsidR="00AB650C" w:rsidRDefault="00000000">
      <w:pPr>
        <w:pStyle w:val="Heading2"/>
      </w:pPr>
      <w:r>
        <w:t>Operational Roles</w:t>
      </w:r>
    </w:p>
    <w:p w14:paraId="2E9560E1" w14:textId="77777777" w:rsidR="00AB650C" w:rsidRDefault="00000000">
      <w:pPr>
        <w:pStyle w:val="ListParagraph"/>
        <w:numPr>
          <w:ilvl w:val="0"/>
          <w:numId w:val="3"/>
        </w:numPr>
        <w:spacing w:after="80"/>
      </w:pPr>
      <w:r>
        <w:t>Daily space debris cleanup. Primary contracted mission.</w:t>
      </w:r>
    </w:p>
    <w:p w14:paraId="33B26238" w14:textId="77777777" w:rsidR="00AB650C" w:rsidRDefault="00000000">
      <w:pPr>
        <w:pStyle w:val="ListParagraph"/>
        <w:numPr>
          <w:ilvl w:val="0"/>
          <w:numId w:val="3"/>
        </w:numPr>
        <w:spacing w:after="80"/>
      </w:pPr>
      <w:r>
        <w:t>Platform self-defense against high-closing-velocity cross-orbit debris.</w:t>
      </w:r>
    </w:p>
    <w:p w14:paraId="5D6EC6F3" w14:textId="77777777" w:rsidR="00AB650C" w:rsidRDefault="00000000">
      <w:pPr>
        <w:pStyle w:val="ListParagraph"/>
        <w:numPr>
          <w:ilvl w:val="0"/>
          <w:numId w:val="3"/>
        </w:numPr>
        <w:spacing w:after="80"/>
      </w:pPr>
      <w:r>
        <w:t>Small object management below the 50 MW threshold of use.</w:t>
      </w:r>
    </w:p>
    <w:p w14:paraId="7DD3327D" w14:textId="77777777" w:rsidR="00AB650C" w:rsidRDefault="00000000">
      <w:r>
        <w:br w:type="page"/>
      </w:r>
    </w:p>
    <w:p w14:paraId="2A44D9ED" w14:textId="77777777" w:rsidR="00AB650C" w:rsidRDefault="00000000">
      <w:pPr>
        <w:pStyle w:val="Heading1"/>
      </w:pPr>
      <w:r>
        <w:lastRenderedPageBreak/>
        <w:t>Sensor Suite</w:t>
      </w:r>
    </w:p>
    <w:p w14:paraId="2E691DF5" w14:textId="77777777" w:rsidR="00AB650C" w:rsidRDefault="00000000">
      <w:pPr>
        <w:spacing w:after="120"/>
      </w:pPr>
      <w:r>
        <w:t xml:space="preserve">Three-layer detection architecture, each layer tuned for a different engagement distance and information requirement. All sensor windows and apertures are PCD </w:t>
      </w:r>
      <w:proofErr w:type="gramStart"/>
      <w:r>
        <w:t>diamond</w:t>
      </w:r>
      <w:proofErr w:type="gramEnd"/>
      <w:r>
        <w:t xml:space="preserve"> for environmental durability and transmission stability over platform lifetime.</w:t>
      </w:r>
    </w:p>
    <w:p w14:paraId="11AF1713" w14:textId="77777777" w:rsidR="00AB650C" w:rsidRDefault="00000000">
      <w:pPr>
        <w:pStyle w:val="Heading3"/>
      </w:pPr>
      <w:r>
        <w:t>Radar</w:t>
      </w:r>
    </w:p>
    <w:p w14:paraId="0514E9EE" w14:textId="77777777" w:rsidR="00AB650C" w:rsidRDefault="00000000">
      <w:pPr>
        <w:spacing w:after="120"/>
      </w:pPr>
      <w:r>
        <w:t>Long-range early warning. Hundreds of kilometers to thousands of kilometers of detection range depending on target cross-section. Provides approximately five minutes or more of warning for typical debris engagements, shorter for high-closing-velocity cross-orbit threats.</w:t>
      </w:r>
    </w:p>
    <w:p w14:paraId="0E5F0184" w14:textId="77777777" w:rsidR="00AB650C" w:rsidRDefault="00000000">
      <w:pPr>
        <w:pStyle w:val="Heading3"/>
      </w:pPr>
      <w:r>
        <w:t>Infrared</w:t>
      </w:r>
    </w:p>
    <w:p w14:paraId="6DC9E550" w14:textId="77777777" w:rsidR="00AB650C" w:rsidRDefault="00000000">
      <w:pPr>
        <w:spacing w:after="120"/>
      </w:pPr>
      <w:r>
        <w:t>Medium-range tracking and classification. Debris and spacecraft are warmer than the deep-space background, making thermal discrimination straightforward. IR allows distinction between a bolt, a dead satellite, and an active spacecraft at engagement-relevant ranges. Typical window: approximately two minutes. Diamond IR windows provide broad transmission across the relevant bands without the degradation that conventional IR window materials exhibit over extended orbital exposure.</w:t>
      </w:r>
    </w:p>
    <w:p w14:paraId="756F2F63" w14:textId="77777777" w:rsidR="00AB650C" w:rsidRDefault="00000000">
      <w:pPr>
        <w:pStyle w:val="Heading3"/>
      </w:pPr>
      <w:r>
        <w:t>LIDAR</w:t>
      </w:r>
    </w:p>
    <w:p w14:paraId="4579D696" w14:textId="77777777" w:rsidR="00AB650C" w:rsidRDefault="00000000">
      <w:pPr>
        <w:spacing w:after="120"/>
      </w:pPr>
      <w:r>
        <w:t>Close-range precision targeting. Exact shape, tumble rate, and ablation-point calculation. Required for the AI targeting system to select optimal engagement geometry on tumbling, irregularly shaped objects.</w:t>
      </w:r>
    </w:p>
    <w:p w14:paraId="6E2A0870" w14:textId="77777777" w:rsidR="00AB650C" w:rsidRDefault="00000000">
      <w:r>
        <w:br w:type="page"/>
      </w:r>
    </w:p>
    <w:p w14:paraId="5D92A99F" w14:textId="77777777" w:rsidR="00AB650C" w:rsidRDefault="00000000">
      <w:pPr>
        <w:pStyle w:val="Heading1"/>
      </w:pPr>
      <w:r>
        <w:lastRenderedPageBreak/>
        <w:t>AI Targeting System</w:t>
      </w:r>
    </w:p>
    <w:p w14:paraId="5E821931" w14:textId="77777777" w:rsidR="00AB650C" w:rsidRDefault="00000000">
      <w:pPr>
        <w:pStyle w:val="ListParagraph"/>
        <w:numPr>
          <w:ilvl w:val="0"/>
          <w:numId w:val="2"/>
        </w:numPr>
        <w:spacing w:after="80"/>
      </w:pPr>
      <w:r>
        <w:t>Manages simultaneous multi-target engagement across the KW array.</w:t>
      </w:r>
    </w:p>
    <w:p w14:paraId="400D643D" w14:textId="77777777" w:rsidR="00AB650C" w:rsidRDefault="00000000">
      <w:pPr>
        <w:pStyle w:val="ListParagraph"/>
        <w:numPr>
          <w:ilvl w:val="0"/>
          <w:numId w:val="2"/>
        </w:numPr>
        <w:spacing w:after="80"/>
      </w:pPr>
      <w:r>
        <w:t>Calculates ablation points on tumbling objects with microsecond precision, accounting for object rotation during engagement.</w:t>
      </w:r>
    </w:p>
    <w:p w14:paraId="5CCB402A" w14:textId="77777777" w:rsidR="00AB650C" w:rsidRDefault="00000000">
      <w:pPr>
        <w:pStyle w:val="ListParagraph"/>
        <w:numPr>
          <w:ilvl w:val="0"/>
          <w:numId w:val="2"/>
        </w:numPr>
        <w:spacing w:after="80"/>
      </w:pPr>
      <w:r>
        <w:t>Factors platform orbital motion into targeting solutions.</w:t>
      </w:r>
    </w:p>
    <w:p w14:paraId="7C697A73" w14:textId="77777777" w:rsidR="00AB650C" w:rsidRDefault="00000000">
      <w:pPr>
        <w:pStyle w:val="ListParagraph"/>
        <w:numPr>
          <w:ilvl w:val="0"/>
          <w:numId w:val="2"/>
        </w:numPr>
        <w:spacing w:after="80"/>
      </w:pPr>
      <w:r>
        <w:t>Prioritizes targets by collision risk against other tracked assets and by proximity to the platform itself.</w:t>
      </w:r>
    </w:p>
    <w:p w14:paraId="758B7CE5" w14:textId="77777777" w:rsidR="00AB650C" w:rsidRDefault="00000000">
      <w:pPr>
        <w:pStyle w:val="ListParagraph"/>
        <w:numPr>
          <w:ilvl w:val="0"/>
          <w:numId w:val="2"/>
        </w:numPr>
        <w:spacing w:after="80"/>
      </w:pPr>
      <w:r>
        <w:t>Self-defense targeting for incoming cross-orbit debris has the highest reaction-time priority and can preempt scheduled cleanup operations.</w:t>
      </w:r>
    </w:p>
    <w:p w14:paraId="0343456C" w14:textId="77777777" w:rsidR="00AB650C" w:rsidRDefault="00000000">
      <w:pPr>
        <w:pStyle w:val="ListParagraph"/>
        <w:numPr>
          <w:ilvl w:val="0"/>
          <w:numId w:val="2"/>
        </w:numPr>
        <w:spacing w:after="80"/>
      </w:pPr>
      <w:r>
        <w:t>Coordinates station-keeping during asymmetric firing patterns, commanding reaction wheels and RCS to counter net torques.</w:t>
      </w:r>
    </w:p>
    <w:p w14:paraId="46CAE6D3" w14:textId="77777777" w:rsidR="00AB650C" w:rsidRDefault="00000000">
      <w:pPr>
        <w:pStyle w:val="ListParagraph"/>
        <w:numPr>
          <w:ilvl w:val="0"/>
          <w:numId w:val="2"/>
        </w:numPr>
        <w:spacing w:after="80"/>
      </w:pPr>
      <w:r>
        <w:t xml:space="preserve">Drives the deformable mirror in closed-loop adaptive correction during 50 MW engagements, using return signals and thermal modeling to </w:t>
      </w:r>
      <w:proofErr w:type="gramStart"/>
      <w:r>
        <w:t>compensate</w:t>
      </w:r>
      <w:proofErr w:type="gramEnd"/>
      <w:r>
        <w:t xml:space="preserve"> beam distortion in real time.</w:t>
      </w:r>
    </w:p>
    <w:p w14:paraId="7105F508" w14:textId="77777777" w:rsidR="00AB650C" w:rsidRDefault="00000000">
      <w:pPr>
        <w:pStyle w:val="ListParagraph"/>
        <w:numPr>
          <w:ilvl w:val="0"/>
          <w:numId w:val="2"/>
        </w:numPr>
        <w:spacing w:after="80"/>
      </w:pPr>
      <w:r>
        <w:t xml:space="preserve">Ballistic-threat engagement </w:t>
      </w:r>
      <w:proofErr w:type="gramStart"/>
      <w:r>
        <w:t>mode:</w:t>
      </w:r>
      <w:proofErr w:type="gramEnd"/>
      <w:r>
        <w:t xml:space="preserve"> detects launch signatures (boost-phase plume for LEO tier, mid-course tracking for GEO tier), calculates engagement solutions, and executes under human-authorized rules of engagement.</w:t>
      </w:r>
    </w:p>
    <w:p w14:paraId="0C963696" w14:textId="77777777" w:rsidR="00AB650C" w:rsidRDefault="00000000">
      <w:r>
        <w:br w:type="page"/>
      </w:r>
    </w:p>
    <w:p w14:paraId="79B8C393" w14:textId="77777777" w:rsidR="00AB650C" w:rsidRDefault="00000000">
      <w:pPr>
        <w:pStyle w:val="Heading1"/>
      </w:pPr>
      <w:r>
        <w:lastRenderedPageBreak/>
        <w:t>Constellation Architecture</w:t>
      </w:r>
    </w:p>
    <w:p w14:paraId="4033C940" w14:textId="77777777" w:rsidR="00AB650C" w:rsidRDefault="00000000">
      <w:pPr>
        <w:spacing w:after="120"/>
      </w:pPr>
      <w:r>
        <w:t>Single-altitude constellations cannot satisfy both the debris-cleanup and ballistic-defense missions with acceptable effectiveness. The platform is therefore deployed in two tiers with shared hardware design but differing orbital assignments.</w:t>
      </w:r>
    </w:p>
    <w:p w14:paraId="1DBC76FE" w14:textId="77777777" w:rsidR="00AB650C" w:rsidRDefault="00000000">
      <w:pPr>
        <w:pStyle w:val="Heading2"/>
      </w:pPr>
      <w:r>
        <w:t>Tier 1 — High Altitude (GEO and Above)</w:t>
      </w:r>
    </w:p>
    <w:p w14:paraId="622DA079" w14:textId="77777777" w:rsidR="00AB650C" w:rsidRDefault="00000000">
      <w:pPr>
        <w:pStyle w:val="ListParagraph"/>
        <w:numPr>
          <w:ilvl w:val="0"/>
          <w:numId w:val="2"/>
        </w:numPr>
        <w:spacing w:after="80"/>
      </w:pPr>
      <w:r>
        <w:rPr>
          <w:b/>
          <w:bCs/>
        </w:rPr>
        <w:t xml:space="preserve">Primary role: </w:t>
      </w:r>
      <w:r>
        <w:t>Large debris management in geostationary and near-geostationary orbits. GEO is the highest-value orbital regime; its debris environment threatens communications, weather, and navigation assets across all nations.</w:t>
      </w:r>
    </w:p>
    <w:p w14:paraId="0B7236A0" w14:textId="77777777" w:rsidR="00AB650C" w:rsidRDefault="00000000">
      <w:pPr>
        <w:pStyle w:val="ListParagraph"/>
        <w:numPr>
          <w:ilvl w:val="0"/>
          <w:numId w:val="2"/>
        </w:numPr>
        <w:spacing w:after="80"/>
      </w:pPr>
      <w:r>
        <w:rPr>
          <w:b/>
          <w:bCs/>
        </w:rPr>
        <w:t xml:space="preserve">Secondary role: </w:t>
      </w:r>
      <w:r>
        <w:t xml:space="preserve">Ballistic mid-course intercept. </w:t>
      </w:r>
      <w:proofErr w:type="spellStart"/>
      <w:r>
        <w:t>Exoatmospheric</w:t>
      </w:r>
      <w:proofErr w:type="spellEnd"/>
      <w:r>
        <w:t xml:space="preserve"> engagement of warheads in the mid-course phase, where atmospheric attenuation does not apply.</w:t>
      </w:r>
    </w:p>
    <w:p w14:paraId="37A6447C" w14:textId="77777777" w:rsidR="00AB650C" w:rsidRDefault="00000000">
      <w:pPr>
        <w:pStyle w:val="ListParagraph"/>
        <w:numPr>
          <w:ilvl w:val="0"/>
          <w:numId w:val="2"/>
        </w:numPr>
        <w:spacing w:after="80"/>
      </w:pPr>
      <w:r>
        <w:rPr>
          <w:b/>
          <w:bCs/>
        </w:rPr>
        <w:t xml:space="preserve">Deployment sequence: </w:t>
      </w:r>
      <w:r>
        <w:t>Begin above GEO, clear GEO debris, then progressively lower through MEO. Orbital speed matching in-plane makes debris appear near-stationary relative to the platform, simplifying engagement.</w:t>
      </w:r>
    </w:p>
    <w:p w14:paraId="009E10E8" w14:textId="77777777" w:rsidR="00AB650C" w:rsidRDefault="00000000">
      <w:pPr>
        <w:pStyle w:val="Heading2"/>
      </w:pPr>
      <w:r>
        <w:t>Tier 2 — Low Earth Orbit</w:t>
      </w:r>
    </w:p>
    <w:p w14:paraId="4AFB4F2D" w14:textId="77777777" w:rsidR="00AB650C" w:rsidRDefault="00000000">
      <w:pPr>
        <w:pStyle w:val="ListParagraph"/>
        <w:numPr>
          <w:ilvl w:val="0"/>
          <w:numId w:val="2"/>
        </w:numPr>
        <w:spacing w:after="80"/>
      </w:pPr>
      <w:r>
        <w:rPr>
          <w:b/>
          <w:bCs/>
        </w:rPr>
        <w:t xml:space="preserve">Primary role: </w:t>
      </w:r>
      <w:r>
        <w:t>LEO debris management. LEO is the densest debris environment and the orbital regime most at risk from Kessler-syndrome cascading collisions.</w:t>
      </w:r>
    </w:p>
    <w:p w14:paraId="26194259" w14:textId="77777777" w:rsidR="00AB650C" w:rsidRDefault="00000000">
      <w:pPr>
        <w:pStyle w:val="ListParagraph"/>
        <w:numPr>
          <w:ilvl w:val="0"/>
          <w:numId w:val="2"/>
        </w:numPr>
        <w:spacing w:after="80"/>
      </w:pPr>
      <w:r>
        <w:rPr>
          <w:b/>
          <w:bCs/>
        </w:rPr>
        <w:t xml:space="preserve">Secondary role: </w:t>
      </w:r>
      <w:r>
        <w:t xml:space="preserve">Boost-phase ballistic </w:t>
      </w:r>
      <w:proofErr w:type="gramStart"/>
      <w:r>
        <w:t>intercept</w:t>
      </w:r>
      <w:proofErr w:type="gramEnd"/>
      <w:r>
        <w:t>. A LEO platform passing over a missile launch corridor can engage during the 3–</w:t>
      </w:r>
      <w:proofErr w:type="gramStart"/>
      <w:r>
        <w:t>5 minute</w:t>
      </w:r>
      <w:proofErr w:type="gramEnd"/>
      <w:r>
        <w:t xml:space="preserve"> boost phase while the missile is in the upper atmosphere. Atmospheric attenuation is significant but not disqualifying at these ranges, as demonstrated by prior airborne-laser programs at comparable distances.</w:t>
      </w:r>
    </w:p>
    <w:p w14:paraId="32131CD6" w14:textId="77777777" w:rsidR="00AB650C" w:rsidRDefault="00000000">
      <w:pPr>
        <w:pStyle w:val="ListParagraph"/>
        <w:numPr>
          <w:ilvl w:val="0"/>
          <w:numId w:val="2"/>
        </w:numPr>
        <w:spacing w:after="80"/>
      </w:pPr>
      <w:r>
        <w:rPr>
          <w:b/>
          <w:bCs/>
        </w:rPr>
        <w:t xml:space="preserve">Deployment density: </w:t>
      </w:r>
      <w:r>
        <w:t>LEO boost-phase defense requires higher platform density than GEO to maintain continuous coverage of potential launch regions, because each platform is over any given ground location only briefly.</w:t>
      </w:r>
    </w:p>
    <w:p w14:paraId="224602AE" w14:textId="77777777" w:rsidR="00AB650C" w:rsidRDefault="00000000">
      <w:pPr>
        <w:pStyle w:val="Heading2"/>
      </w:pPr>
      <w:r>
        <w:t>Constellation Size</w:t>
      </w:r>
    </w:p>
    <w:p w14:paraId="72E184E1" w14:textId="77777777" w:rsidR="00AB650C" w:rsidRDefault="00000000">
      <w:pPr>
        <w:spacing w:after="120"/>
      </w:pPr>
      <w:r>
        <w:t>The figure of 100 platforms should be treated as a rough order of magnitude pending detailed coverage analysis. Coverage requirements differ by mission:</w:t>
      </w:r>
    </w:p>
    <w:p w14:paraId="50B3AA5E" w14:textId="77777777" w:rsidR="00AB650C" w:rsidRDefault="00000000">
      <w:pPr>
        <w:pStyle w:val="ListParagraph"/>
        <w:numPr>
          <w:ilvl w:val="0"/>
          <w:numId w:val="2"/>
        </w:numPr>
        <w:spacing w:after="80"/>
      </w:pPr>
      <w:r>
        <w:t>GEO debris coverage: approximately 6–12 platforms provide continuous overlap around the GEO ring.</w:t>
      </w:r>
    </w:p>
    <w:p w14:paraId="179BB117" w14:textId="77777777" w:rsidR="00AB650C" w:rsidRDefault="00000000">
      <w:pPr>
        <w:pStyle w:val="ListParagraph"/>
        <w:numPr>
          <w:ilvl w:val="0"/>
          <w:numId w:val="2"/>
        </w:numPr>
        <w:spacing w:after="80"/>
      </w:pPr>
      <w:r>
        <w:t>MEO and LEO debris: several dozen platforms depending on orbital plane distribution.</w:t>
      </w:r>
    </w:p>
    <w:p w14:paraId="4AE58A22" w14:textId="77777777" w:rsidR="00AB650C" w:rsidRDefault="00000000">
      <w:pPr>
        <w:pStyle w:val="ListParagraph"/>
        <w:numPr>
          <w:ilvl w:val="0"/>
          <w:numId w:val="2"/>
        </w:numPr>
        <w:spacing w:after="80"/>
      </w:pPr>
      <w:r>
        <w:t xml:space="preserve">Boost-phase ICBM defense coverage of a specific launch </w:t>
      </w:r>
      <w:proofErr w:type="gramStart"/>
      <w:r>
        <w:t>region:</w:t>
      </w:r>
      <w:proofErr w:type="gramEnd"/>
      <w:r>
        <w:t xml:space="preserve"> depends on pass frequency, engagement duration, and acceptable latency between passes. Continuous coverage of a large ground area from LEO requires a dense constellation — potentially more than 100 LEO platforms alone.</w:t>
      </w:r>
    </w:p>
    <w:p w14:paraId="62F11ED4" w14:textId="77777777" w:rsidR="00AB650C" w:rsidRDefault="00000000">
      <w:pPr>
        <w:spacing w:after="120"/>
      </w:pPr>
      <w:r>
        <w:t>A detailed constellation-sizing study is required before finalizing procurement and launch cadence.</w:t>
      </w:r>
    </w:p>
    <w:p w14:paraId="57389B1B" w14:textId="77777777" w:rsidR="00AB650C" w:rsidRDefault="00000000">
      <w:r>
        <w:br w:type="page"/>
      </w:r>
    </w:p>
    <w:p w14:paraId="31A350D2" w14:textId="77777777" w:rsidR="00AB650C" w:rsidRDefault="00000000">
      <w:pPr>
        <w:pStyle w:val="Heading1"/>
      </w:pPr>
      <w:r>
        <w:lastRenderedPageBreak/>
        <w:t>Ballistic Defense Protocol</w:t>
      </w:r>
    </w:p>
    <w:p w14:paraId="61606559" w14:textId="77777777" w:rsidR="00AB650C" w:rsidRDefault="00000000">
      <w:pPr>
        <w:pStyle w:val="Heading2"/>
      </w:pPr>
      <w:r>
        <w:t>Engagement Philosophy</w:t>
      </w:r>
    </w:p>
    <w:p w14:paraId="4A1CF819" w14:textId="77777777" w:rsidR="00AB650C" w:rsidRDefault="00000000">
      <w:pPr>
        <w:spacing w:after="120"/>
      </w:pPr>
      <w:r>
        <w:t>This system is not offensive. It does not strike ground targets. Engagement is authorized only against objects already in flight toward protected territory or assets, under human-authorized rules of engagement with positive threat identification.</w:t>
      </w:r>
    </w:p>
    <w:p w14:paraId="5466BF15" w14:textId="77777777" w:rsidR="00AB650C" w:rsidRDefault="00000000">
      <w:pPr>
        <w:pStyle w:val="Heading2"/>
      </w:pPr>
      <w:r>
        <w:t>Boost Phase (LEO Tier)</w:t>
      </w:r>
    </w:p>
    <w:p w14:paraId="04BD66F8" w14:textId="77777777" w:rsidR="00AB650C" w:rsidRDefault="00000000">
      <w:pPr>
        <w:spacing w:after="120"/>
      </w:pPr>
      <w:r>
        <w:t>Target the missile's engines during boost. A boost-phase engine kill causes the missile to fail before staging, producing a suborbital or low-apogee trajectory. The resulting reentry burns up the vehicle structure. Nuclear physics packages cannot detonate from reentry heating, which requires a precise implosion sequence that aerothermal loads cannot replicate.</w:t>
      </w:r>
    </w:p>
    <w:p w14:paraId="7123DF81" w14:textId="77777777" w:rsidR="00AB650C" w:rsidRDefault="00000000">
      <w:pPr>
        <w:pStyle w:val="Heading2"/>
      </w:pPr>
      <w:r>
        <w:t>Mid-Course Phase (GEO Tier)</w:t>
      </w:r>
    </w:p>
    <w:p w14:paraId="08424689" w14:textId="77777777" w:rsidR="00AB650C" w:rsidRDefault="00000000">
      <w:pPr>
        <w:spacing w:after="120"/>
      </w:pPr>
      <w:r>
        <w:t xml:space="preserve">Engagement of warheads in </w:t>
      </w:r>
      <w:proofErr w:type="spellStart"/>
      <w:r>
        <w:t>exoatmospheric</w:t>
      </w:r>
      <w:proofErr w:type="spellEnd"/>
      <w:r>
        <w:t xml:space="preserve"> flight. No atmospheric attenuation. Preferred engagement target depends on warhead configuration and available engagement window.</w:t>
      </w:r>
    </w:p>
    <w:p w14:paraId="7198B42F" w14:textId="77777777" w:rsidR="00AB650C" w:rsidRDefault="00000000">
      <w:pPr>
        <w:pStyle w:val="Heading2"/>
      </w:pPr>
      <w:r>
        <w:t>Mass Engagement and Plutonium Dispersion</w:t>
      </w:r>
    </w:p>
    <w:p w14:paraId="0A4554AE" w14:textId="77777777" w:rsidR="00AB650C" w:rsidRDefault="00000000">
      <w:pPr>
        <w:spacing w:after="120"/>
      </w:pPr>
      <w:r>
        <w:t>A concern with boost-phase engagement at scale: multiple warheads burning up on reentry disperses plutonium and other pit materials into the upper atmosphere, producing downstream radioactive fallout. Mass-engagement scenarios therefore require a different solution.</w:t>
      </w:r>
    </w:p>
    <w:p w14:paraId="20CE5661" w14:textId="77777777" w:rsidR="00AB650C" w:rsidRDefault="00000000">
      <w:pPr>
        <w:spacing w:after="120"/>
      </w:pPr>
      <w:r>
        <w:t xml:space="preserve">For warheads that reach </w:t>
      </w:r>
      <w:proofErr w:type="spellStart"/>
      <w:r>
        <w:t>exoatmospheric</w:t>
      </w:r>
      <w:proofErr w:type="spellEnd"/>
      <w:r>
        <w:t xml:space="preserve"> flight, the preferred mass-engagement response is capture and deep-space launch:</w:t>
      </w:r>
    </w:p>
    <w:p w14:paraId="26D47F70" w14:textId="77777777" w:rsidR="00AB650C" w:rsidRDefault="00000000">
      <w:pPr>
        <w:pStyle w:val="ListParagraph"/>
        <w:numPr>
          <w:ilvl w:val="0"/>
          <w:numId w:val="3"/>
        </w:numPr>
        <w:spacing w:after="80"/>
      </w:pPr>
      <w:r>
        <w:t>A retrieval vehicle rendezvouses with the disabled or intercepted warhead.</w:t>
      </w:r>
    </w:p>
    <w:p w14:paraId="4129A801" w14:textId="77777777" w:rsidR="00AB650C" w:rsidRDefault="00000000">
      <w:pPr>
        <w:pStyle w:val="ListParagraph"/>
        <w:numPr>
          <w:ilvl w:val="0"/>
          <w:numId w:val="3"/>
        </w:numPr>
        <w:spacing w:after="80"/>
      </w:pPr>
      <w:r>
        <w:t>A small solid rocket motor is attached.</w:t>
      </w:r>
    </w:p>
    <w:p w14:paraId="761F10AB" w14:textId="77777777" w:rsidR="00AB650C" w:rsidRDefault="00000000">
      <w:pPr>
        <w:pStyle w:val="ListParagraph"/>
        <w:numPr>
          <w:ilvl w:val="0"/>
          <w:numId w:val="3"/>
        </w:numPr>
        <w:spacing w:after="80"/>
      </w:pPr>
      <w:r>
        <w:t>The motor fires, inserting the warhead into an escape trajectory away from Earth into deep space.</w:t>
      </w:r>
    </w:p>
    <w:p w14:paraId="20CF55F3" w14:textId="77777777" w:rsidR="00AB650C" w:rsidRDefault="00000000">
      <w:pPr>
        <w:spacing w:after="120"/>
      </w:pPr>
      <w:r>
        <w:t>This avoids atmospheric reentry of the nuclear package entirely. The same retrieval vehicle is used in peacetime for dead satellite capture, failed hardware recovery, and rare material recycling. The hardware is not purpose-built for weapon retrieval.</w:t>
      </w:r>
    </w:p>
    <w:p w14:paraId="4D211F6C" w14:textId="77777777" w:rsidR="00AB650C" w:rsidRDefault="00000000">
      <w:pPr>
        <w:pStyle w:val="Heading2"/>
      </w:pPr>
      <w:r>
        <w:t>Terminal Phase</w:t>
      </w:r>
    </w:p>
    <w:p w14:paraId="0ABF4B67" w14:textId="77777777" w:rsidR="00AB650C" w:rsidRDefault="00000000">
      <w:pPr>
        <w:spacing w:after="120"/>
      </w:pPr>
      <w:r>
        <w:t xml:space="preserve">Not a function of this platform. Terminal-phase defense is handled by existing ground and sea-based systems. Attempting terminal </w:t>
      </w:r>
      <w:proofErr w:type="gramStart"/>
      <w:r>
        <w:t>intercept</w:t>
      </w:r>
      <w:proofErr w:type="gramEnd"/>
      <w:r>
        <w:t xml:space="preserve"> from orbit requires downward engagement through dense atmosphere against maneuvering or </w:t>
      </w:r>
      <w:proofErr w:type="spellStart"/>
      <w:r>
        <w:t>submunitioning</w:t>
      </w:r>
      <w:proofErr w:type="spellEnd"/>
      <w:r>
        <w:t xml:space="preserve"> warheads — a problem for which the ground-safety interlocks of this platform make it structurally unsuited.</w:t>
      </w:r>
    </w:p>
    <w:p w14:paraId="67BC67BC" w14:textId="77777777" w:rsidR="00AB650C" w:rsidRDefault="00000000">
      <w:r>
        <w:br w:type="page"/>
      </w:r>
    </w:p>
    <w:p w14:paraId="41E495C7" w14:textId="77777777" w:rsidR="00AB650C" w:rsidRDefault="00000000">
      <w:pPr>
        <w:pStyle w:val="Heading1"/>
      </w:pPr>
      <w:r>
        <w:lastRenderedPageBreak/>
        <w:t>Construction and Assembly</w:t>
      </w:r>
    </w:p>
    <w:p w14:paraId="7952BE25" w14:textId="77777777" w:rsidR="00AB650C" w:rsidRDefault="00000000">
      <w:pPr>
        <w:pStyle w:val="ListParagraph"/>
        <w:numPr>
          <w:ilvl w:val="0"/>
          <w:numId w:val="2"/>
        </w:numPr>
        <w:spacing w:after="80"/>
      </w:pPr>
      <w:r>
        <w:t>Modular sections pre-fitted on Earth with full system testing before launch.</w:t>
      </w:r>
    </w:p>
    <w:p w14:paraId="76557CE3" w14:textId="77777777" w:rsidR="00AB650C" w:rsidRDefault="00000000">
      <w:pPr>
        <w:pStyle w:val="ListParagraph"/>
        <w:numPr>
          <w:ilvl w:val="0"/>
          <w:numId w:val="2"/>
        </w:numPr>
        <w:spacing w:after="80"/>
      </w:pPr>
      <w:r>
        <w:t>Diamond optics are installed and aligned on Earth under clean-room conditions, then launched as complete optical subassemblies. On-orbit optical alignment is avoided where possible.</w:t>
      </w:r>
    </w:p>
    <w:p w14:paraId="48A4FC96" w14:textId="77777777" w:rsidR="00AB650C" w:rsidRDefault="00000000">
      <w:pPr>
        <w:pStyle w:val="ListParagraph"/>
        <w:numPr>
          <w:ilvl w:val="0"/>
          <w:numId w:val="2"/>
        </w:numPr>
        <w:spacing w:after="80"/>
      </w:pPr>
      <w:r>
        <w:t>Sections launched in large subassemblies. Multiple launches per platform.</w:t>
      </w:r>
    </w:p>
    <w:p w14:paraId="7C7AE486" w14:textId="77777777" w:rsidR="00AB650C" w:rsidRDefault="00000000">
      <w:pPr>
        <w:pStyle w:val="ListParagraph"/>
        <w:numPr>
          <w:ilvl w:val="0"/>
          <w:numId w:val="2"/>
        </w:numPr>
        <w:spacing w:after="80"/>
      </w:pPr>
      <w:r>
        <w:t>Quick-connect, snap-fit assembly on orbit. Minimal tool inventory and minimal EVA time.</w:t>
      </w:r>
    </w:p>
    <w:p w14:paraId="119DE750" w14:textId="77777777" w:rsidR="00AB650C" w:rsidRDefault="00000000">
      <w:pPr>
        <w:pStyle w:val="ListParagraph"/>
        <w:numPr>
          <w:ilvl w:val="0"/>
          <w:numId w:val="2"/>
        </w:numPr>
        <w:spacing w:after="80"/>
      </w:pPr>
      <w:r>
        <w:t>A shuttle-class crewed orbital assembly vehicle is the preferred assembly platform: cargo bay for section storage, robotic arm for precision placement, crew for inspection and exception handling.</w:t>
      </w:r>
    </w:p>
    <w:p w14:paraId="71BF9AA3" w14:textId="77777777" w:rsidR="00AB650C" w:rsidRDefault="00000000">
      <w:pPr>
        <w:pStyle w:val="ListParagraph"/>
        <w:numPr>
          <w:ilvl w:val="0"/>
          <w:numId w:val="2"/>
        </w:numPr>
        <w:spacing w:after="80"/>
      </w:pPr>
      <w:r>
        <w:t>Starship and other heavy-lift vehicles are suitable for launching subassemblies to orbit but are not suited to precision assembly operations. Launch and assembly are separate vehicles.</w:t>
      </w:r>
    </w:p>
    <w:p w14:paraId="5E9C505B" w14:textId="77777777" w:rsidR="00AB650C" w:rsidRDefault="00000000">
      <w:r>
        <w:br w:type="page"/>
      </w:r>
    </w:p>
    <w:p w14:paraId="2DC397B0" w14:textId="77777777" w:rsidR="00AB650C" w:rsidRDefault="00000000">
      <w:pPr>
        <w:pStyle w:val="Heading1"/>
      </w:pPr>
      <w:r>
        <w:lastRenderedPageBreak/>
        <w:t>On-Orbit Servicing</w:t>
      </w:r>
    </w:p>
    <w:p w14:paraId="439F129B" w14:textId="77777777" w:rsidR="00AB650C" w:rsidRDefault="00000000">
      <w:pPr>
        <w:spacing w:after="120"/>
      </w:pPr>
      <w:r>
        <w:t>All platforms are designed for on-orbit service throughout their operational life. The shift to all-diamond optics and elimination of the gas lens significantly reduces servicing frequency and logistics complexity relative to prior design revisions. The same crewed orbital vehicle used for assembly performs:</w:t>
      </w:r>
    </w:p>
    <w:p w14:paraId="48998BB7" w14:textId="77777777" w:rsidR="00AB650C" w:rsidRDefault="00000000">
      <w:pPr>
        <w:pStyle w:val="ListParagraph"/>
        <w:numPr>
          <w:ilvl w:val="0"/>
          <w:numId w:val="2"/>
        </w:numPr>
        <w:spacing w:after="80"/>
      </w:pPr>
      <w:r>
        <w:t>Reactor refueling and servicing on the DCGR maintenance schedule.</w:t>
      </w:r>
    </w:p>
    <w:p w14:paraId="4591C94A" w14:textId="77777777" w:rsidR="00AB650C" w:rsidRDefault="00000000">
      <w:pPr>
        <w:pStyle w:val="ListParagraph"/>
        <w:numPr>
          <w:ilvl w:val="0"/>
          <w:numId w:val="2"/>
        </w:numPr>
        <w:spacing w:after="80"/>
      </w:pPr>
      <w:r>
        <w:t>Sacrificial witness window replacement. Routine, low-complexity swap of PCD witness elements forward of primary optics.</w:t>
      </w:r>
    </w:p>
    <w:p w14:paraId="04E4059C" w14:textId="77777777" w:rsidR="00AB650C" w:rsidRDefault="00000000">
      <w:pPr>
        <w:pStyle w:val="ListParagraph"/>
        <w:numPr>
          <w:ilvl w:val="0"/>
          <w:numId w:val="2"/>
        </w:numPr>
        <w:spacing w:after="80"/>
      </w:pPr>
      <w:r>
        <w:t>KW unit swap-out for failed or degraded units.</w:t>
      </w:r>
    </w:p>
    <w:p w14:paraId="3AB7F076" w14:textId="77777777" w:rsidR="00AB650C" w:rsidRDefault="00000000">
      <w:pPr>
        <w:pStyle w:val="ListParagraph"/>
        <w:numPr>
          <w:ilvl w:val="0"/>
          <w:numId w:val="2"/>
        </w:numPr>
        <w:spacing w:after="80"/>
      </w:pPr>
      <w:r>
        <w:t>Optics inspection. Diamond primary elements are expected to require replacement only on extended schedules measured in years; witness windows absorb routine contamination.</w:t>
      </w:r>
    </w:p>
    <w:p w14:paraId="3D90C0F3" w14:textId="77777777" w:rsidR="00AB650C" w:rsidRDefault="00000000">
      <w:pPr>
        <w:pStyle w:val="ListParagraph"/>
        <w:numPr>
          <w:ilvl w:val="0"/>
          <w:numId w:val="2"/>
        </w:numPr>
        <w:spacing w:after="80"/>
      </w:pPr>
      <w:r>
        <w:t>Capacitor bank replacement on extended schedule.</w:t>
      </w:r>
    </w:p>
    <w:p w14:paraId="7546FB32" w14:textId="77777777" w:rsidR="00AB650C" w:rsidRDefault="00000000">
      <w:pPr>
        <w:pStyle w:val="ListParagraph"/>
        <w:numPr>
          <w:ilvl w:val="0"/>
          <w:numId w:val="2"/>
        </w:numPr>
        <w:spacing w:after="80"/>
      </w:pPr>
      <w:r>
        <w:t xml:space="preserve">End-of-life operations: reactor </w:t>
      </w:r>
      <w:proofErr w:type="spellStart"/>
      <w:proofErr w:type="gramStart"/>
      <w:r>
        <w:t>safing</w:t>
      </w:r>
      <w:proofErr w:type="spellEnd"/>
      <w:proofErr w:type="gramEnd"/>
      <w:r>
        <w:t xml:space="preserve"> and graveyard-orbit insertion or controlled deorbit.</w:t>
      </w:r>
    </w:p>
    <w:p w14:paraId="3F1FB3F6" w14:textId="77777777" w:rsidR="00AB650C" w:rsidRDefault="00000000">
      <w:pPr>
        <w:spacing w:after="120"/>
      </w:pPr>
      <w:r>
        <w:t>Consumables on the platform are limited to nitrogen for the RCS, reactor fuel on the DCGR service schedule, and PCD witness windows. Gas-lens consumables are eliminated entirely. Servicing cadence is driven by reactor fuel cycles rather than by optics maintenance.</w:t>
      </w:r>
    </w:p>
    <w:p w14:paraId="3E47B584" w14:textId="77777777" w:rsidR="00AB650C" w:rsidRDefault="00000000">
      <w:pPr>
        <w:spacing w:after="120"/>
      </w:pPr>
      <w:r>
        <w:t>Peacetime utility of the servicing vehicle extends to dead-satellite capture, failed-spacecraft recovery, and rare-material recycling for commercial customers — further offsetting program cost.</w:t>
      </w:r>
    </w:p>
    <w:p w14:paraId="600B57ED" w14:textId="77777777" w:rsidR="00AB650C" w:rsidRDefault="00000000">
      <w:r>
        <w:br w:type="page"/>
      </w:r>
    </w:p>
    <w:p w14:paraId="2E390A2C" w14:textId="77777777" w:rsidR="00AB650C" w:rsidRDefault="00000000">
      <w:pPr>
        <w:pStyle w:val="Heading1"/>
      </w:pPr>
      <w:r>
        <w:lastRenderedPageBreak/>
        <w:t>Revenue and Business Model</w:t>
      </w:r>
    </w:p>
    <w:p w14:paraId="5D48031D" w14:textId="77777777" w:rsidR="00AB650C" w:rsidRDefault="00000000">
      <w:pPr>
        <w:pStyle w:val="Heading2"/>
      </w:pPr>
      <w:r>
        <w:t>Debris Cleanup Subscription</w:t>
      </w:r>
    </w:p>
    <w:p w14:paraId="2EAC542A" w14:textId="77777777" w:rsidR="00AB650C" w:rsidRDefault="00000000">
      <w:pPr>
        <w:spacing w:after="120"/>
      </w:pPr>
      <w:r>
        <w:t>Nations contract with the platform operator for debris cleanup services within their assigned orbital slots and lanes. Contract structures:</w:t>
      </w:r>
    </w:p>
    <w:p w14:paraId="2425A6ED" w14:textId="77777777" w:rsidR="00AB650C" w:rsidRDefault="00000000">
      <w:pPr>
        <w:pStyle w:val="ListParagraph"/>
        <w:numPr>
          <w:ilvl w:val="0"/>
          <w:numId w:val="2"/>
        </w:numPr>
        <w:spacing w:after="80"/>
      </w:pPr>
      <w:r>
        <w:rPr>
          <w:b/>
          <w:bCs/>
        </w:rPr>
        <w:t xml:space="preserve">Priority cleanup: </w:t>
      </w:r>
      <w:r>
        <w:t>Expedited removal of debris threatening the subscriber's assets.</w:t>
      </w:r>
    </w:p>
    <w:p w14:paraId="53819981" w14:textId="77777777" w:rsidR="00AB650C" w:rsidRDefault="00000000">
      <w:pPr>
        <w:pStyle w:val="ListParagraph"/>
        <w:numPr>
          <w:ilvl w:val="0"/>
          <w:numId w:val="2"/>
        </w:numPr>
        <w:spacing w:after="80"/>
      </w:pPr>
      <w:r>
        <w:rPr>
          <w:b/>
          <w:bCs/>
        </w:rPr>
        <w:t xml:space="preserve">Protected orbital lanes: </w:t>
      </w:r>
      <w:r>
        <w:t>Ongoing clearance of the subscriber's operational orbits.</w:t>
      </w:r>
    </w:p>
    <w:p w14:paraId="2DEAC7AD" w14:textId="77777777" w:rsidR="00AB650C" w:rsidRDefault="00000000">
      <w:pPr>
        <w:pStyle w:val="ListParagraph"/>
        <w:numPr>
          <w:ilvl w:val="0"/>
          <w:numId w:val="2"/>
        </w:numPr>
        <w:spacing w:after="80"/>
      </w:pPr>
      <w:r>
        <w:rPr>
          <w:b/>
          <w:bCs/>
        </w:rPr>
        <w:t xml:space="preserve">On-demand response: </w:t>
      </w:r>
      <w:r>
        <w:t>Emergency engagement of newly identified collision threats.</w:t>
      </w:r>
    </w:p>
    <w:p w14:paraId="22FAFB36" w14:textId="77777777" w:rsidR="00AB650C" w:rsidRDefault="00000000">
      <w:pPr>
        <w:pStyle w:val="Heading2"/>
      </w:pPr>
      <w:r>
        <w:t>Deployment Sequence and Leverage</w:t>
      </w:r>
    </w:p>
    <w:p w14:paraId="11840569" w14:textId="77777777" w:rsidR="00AB650C" w:rsidRDefault="00000000">
      <w:pPr>
        <w:spacing w:after="120"/>
      </w:pPr>
      <w:r>
        <w:t>United States orbital space is cleared first, rapidly. Platforms are then repositioned over allied or paying nations on slower schedules, generating longer engagement durations and greater revenue. Nations that do not subscribe receive the baseline service of general debris reduction from shared orbital regimes but not prioritized coverage.</w:t>
      </w:r>
    </w:p>
    <w:p w14:paraId="10D048DE" w14:textId="77777777" w:rsidR="00AB650C" w:rsidRDefault="00000000">
      <w:pPr>
        <w:pStyle w:val="Heading2"/>
      </w:pPr>
      <w:r>
        <w:t>Defensive Capability as Unspoken Benefit</w:t>
      </w:r>
    </w:p>
    <w:p w14:paraId="21881736" w14:textId="77777777" w:rsidR="00AB650C" w:rsidRDefault="00000000">
      <w:pPr>
        <w:spacing w:after="120"/>
      </w:pPr>
      <w:r>
        <w:t xml:space="preserve">The ballistic-defense function is included for subscribing nations but is not the advertised product. The strategic framing </w:t>
      </w:r>
      <w:proofErr w:type="gramStart"/>
      <w:r>
        <w:t>is:</w:t>
      </w:r>
      <w:proofErr w:type="gramEnd"/>
      <w:r>
        <w:t xml:space="preserve"> this is infrastructure for keeping space usable. That a missile passing through the engagement envelope would receive the same treatment as a piece of debris is a side effect of the physics. This framing also addresses Outer Space Treaty concerns more cleanly than an explicit defense posture would.</w:t>
      </w:r>
    </w:p>
    <w:p w14:paraId="7CEF2CAF" w14:textId="77777777" w:rsidR="00AB650C" w:rsidRDefault="00000000">
      <w:pPr>
        <w:pStyle w:val="Heading2"/>
      </w:pPr>
      <w:r>
        <w:t>Strategic Posture</w:t>
      </w:r>
    </w:p>
    <w:p w14:paraId="7E922D02" w14:textId="77777777" w:rsidR="00AB650C" w:rsidRDefault="00000000">
      <w:pPr>
        <w:spacing w:after="120"/>
      </w:pPr>
      <w:r>
        <w:t xml:space="preserve">Deterrence through infrastructure, not through advertised aggression. A nation considering a ballistic launch against a subscriber to this service confronts the question of whether the launch will succeed in reaching atmospheric </w:t>
      </w:r>
      <w:proofErr w:type="gramStart"/>
      <w:r>
        <w:t>reentry</w:t>
      </w:r>
      <w:proofErr w:type="gramEnd"/>
      <w:r>
        <w:t>. The uncertainty is the deterrent. No declarations, no red lines, no escalation rhetoric required.</w:t>
      </w:r>
    </w:p>
    <w:p w14:paraId="48D5943F" w14:textId="77777777" w:rsidR="00AB650C" w:rsidRDefault="00000000">
      <w:r>
        <w:br w:type="page"/>
      </w:r>
    </w:p>
    <w:p w14:paraId="44A50BBB" w14:textId="77777777" w:rsidR="00AB650C" w:rsidRDefault="00000000">
      <w:pPr>
        <w:pStyle w:val="Heading1"/>
      </w:pPr>
      <w:r>
        <w:lastRenderedPageBreak/>
        <w:t>Legal and Regulatory Considerations</w:t>
      </w:r>
    </w:p>
    <w:p w14:paraId="0ABFCC6B" w14:textId="77777777" w:rsidR="00AB650C" w:rsidRDefault="00000000">
      <w:pPr>
        <w:pStyle w:val="Heading2"/>
      </w:pPr>
      <w:r>
        <w:t>Outer Space Treaty (1967)</w:t>
      </w:r>
    </w:p>
    <w:p w14:paraId="7B11E348" w14:textId="77777777" w:rsidR="00AB650C" w:rsidRDefault="00000000">
      <w:pPr>
        <w:spacing w:after="120"/>
      </w:pPr>
      <w:r>
        <w:t>The Outer Space Treaty prohibits weapons of mass destruction in orbit and requires the peaceful use of outer space. The platform does not carry WMDs. The debris-cleanup mission is peaceful, commercially contracted, and unambiguously permitted. The defensive laser capability is a dual-use issue — international legal opinion on orbital directed-energy systems with claimed defensive purpose is unsettled and would be contested.</w:t>
      </w:r>
    </w:p>
    <w:p w14:paraId="78494D1F" w14:textId="77777777" w:rsidR="00AB650C" w:rsidRDefault="00000000">
      <w:pPr>
        <w:spacing w:after="120"/>
      </w:pPr>
      <w:r>
        <w:t xml:space="preserve">The architecture is designed to operate within the spirit of the treaty: a platform whose public mission is debris removal, whose primary revenue is debris-removal contracts, and whose defensive capability exists </w:t>
      </w:r>
      <w:proofErr w:type="gramStart"/>
      <w:r>
        <w:t>as a consequence of</w:t>
      </w:r>
      <w:proofErr w:type="gramEnd"/>
      <w:r>
        <w:t xml:space="preserve"> the same hardware rather than as an advertised offensive system.</w:t>
      </w:r>
    </w:p>
    <w:p w14:paraId="2F2083CA" w14:textId="77777777" w:rsidR="00AB650C" w:rsidRDefault="00000000">
      <w:pPr>
        <w:pStyle w:val="Heading2"/>
      </w:pPr>
      <w:r>
        <w:t>End-of-Life Debris Mitigation Compliance</w:t>
      </w:r>
    </w:p>
    <w:p w14:paraId="0D6CBB05" w14:textId="77777777" w:rsidR="00AB650C" w:rsidRDefault="00000000">
      <w:pPr>
        <w:spacing w:after="120"/>
      </w:pPr>
      <w:r>
        <w:t xml:space="preserve">Platforms are designed to comply with the 25-year deorbit guideline (LEO tier) and standard graveyard-orbit practice (GEO tier), including reactor </w:t>
      </w:r>
      <w:proofErr w:type="spellStart"/>
      <w:proofErr w:type="gramStart"/>
      <w:r>
        <w:t>safing</w:t>
      </w:r>
      <w:proofErr w:type="spellEnd"/>
      <w:proofErr w:type="gramEnd"/>
      <w:r>
        <w:t xml:space="preserve"> protocols before disposal maneuvers.</w:t>
      </w:r>
    </w:p>
    <w:p w14:paraId="1F4F721B" w14:textId="77777777" w:rsidR="00AB650C" w:rsidRDefault="00000000">
      <w:r>
        <w:br w:type="page"/>
      </w:r>
    </w:p>
    <w:p w14:paraId="45D92DA1" w14:textId="77777777" w:rsidR="00AB650C" w:rsidRDefault="00000000">
      <w:pPr>
        <w:pStyle w:val="Heading1"/>
      </w:pPr>
      <w:r>
        <w:lastRenderedPageBreak/>
        <w:t>Cost Envelope (Order of Magnitude)</w:t>
      </w:r>
    </w:p>
    <w:p w14:paraId="37B85FB1" w14:textId="77777777" w:rsidR="00AB650C" w:rsidRDefault="00000000">
      <w:pPr>
        <w:spacing w:after="120"/>
      </w:pPr>
      <w:r>
        <w:t>Precise costing requires detailed design and vendor engagement. Rough order-of-magnitude estimates for planning purposes:</w:t>
      </w:r>
    </w:p>
    <w:p w14:paraId="373BD9D9" w14:textId="77777777" w:rsidR="00AB650C" w:rsidRDefault="00000000">
      <w:pPr>
        <w:pStyle w:val="ListParagraph"/>
        <w:numPr>
          <w:ilvl w:val="0"/>
          <w:numId w:val="2"/>
        </w:numPr>
        <w:spacing w:after="80"/>
      </w:pPr>
      <w:r>
        <w:rPr>
          <w:b/>
          <w:bCs/>
        </w:rPr>
        <w:t xml:space="preserve">Platform unit cost: </w:t>
      </w:r>
      <w:r>
        <w:t>Multiple billions of U.S. dollars per platform, dominated by the reactor, the 50 MW laser development, large-aperture diamond optics manufacturing, and launch costs for segmented assembly.</w:t>
      </w:r>
    </w:p>
    <w:p w14:paraId="0E213DCA" w14:textId="77777777" w:rsidR="00AB650C" w:rsidRDefault="00000000">
      <w:pPr>
        <w:pStyle w:val="ListParagraph"/>
        <w:numPr>
          <w:ilvl w:val="0"/>
          <w:numId w:val="2"/>
        </w:numPr>
        <w:spacing w:after="80"/>
      </w:pPr>
      <w:r>
        <w:rPr>
          <w:b/>
          <w:bCs/>
        </w:rPr>
        <w:t xml:space="preserve">Constellation capital cost: </w:t>
      </w:r>
      <w:r>
        <w:t>Tens to low hundreds of billions of U.S. dollars across both tiers, depending on final platform count.</w:t>
      </w:r>
    </w:p>
    <w:p w14:paraId="2C4C2DB3" w14:textId="77777777" w:rsidR="00AB650C" w:rsidRDefault="00000000">
      <w:pPr>
        <w:pStyle w:val="ListParagraph"/>
        <w:numPr>
          <w:ilvl w:val="0"/>
          <w:numId w:val="2"/>
        </w:numPr>
        <w:spacing w:after="80"/>
      </w:pPr>
      <w:r>
        <w:rPr>
          <w:b/>
          <w:bCs/>
        </w:rPr>
        <w:t xml:space="preserve">Operating cost: </w:t>
      </w:r>
      <w:r>
        <w:t xml:space="preserve">Servicing vehicle operations, reactor fuel cycles, and ground operations. Annual operating cost significant but small relative to capital </w:t>
      </w:r>
      <w:proofErr w:type="gramStart"/>
      <w:r>
        <w:t>cost, and</w:t>
      </w:r>
      <w:proofErr w:type="gramEnd"/>
      <w:r>
        <w:t xml:space="preserve"> reduced versus prior revisions by elimination of gas-lens consumable resupply.</w:t>
      </w:r>
    </w:p>
    <w:p w14:paraId="0181F22A" w14:textId="77777777" w:rsidR="00AB650C" w:rsidRDefault="00000000">
      <w:pPr>
        <w:pStyle w:val="ListParagraph"/>
        <w:numPr>
          <w:ilvl w:val="0"/>
          <w:numId w:val="2"/>
        </w:numPr>
        <w:spacing w:after="80"/>
      </w:pPr>
      <w:r>
        <w:rPr>
          <w:b/>
          <w:bCs/>
        </w:rPr>
        <w:t xml:space="preserve">Revenue capacity: </w:t>
      </w:r>
      <w:r>
        <w:t>Multi-nation debris subscription at commercial rates can amortize capital cost over a 15–</w:t>
      </w:r>
      <w:proofErr w:type="gramStart"/>
      <w:r>
        <w:t>25 year</w:t>
      </w:r>
      <w:proofErr w:type="gramEnd"/>
      <w:r>
        <w:t xml:space="preserve"> platform lifetime. Detailed financial modeling required before commitment.</w:t>
      </w:r>
    </w:p>
    <w:p w14:paraId="7133E955" w14:textId="77777777" w:rsidR="00AB650C" w:rsidRDefault="00000000">
      <w:r>
        <w:br w:type="page"/>
      </w:r>
    </w:p>
    <w:p w14:paraId="6F8B44EF" w14:textId="77777777" w:rsidR="00AB650C" w:rsidRDefault="00000000">
      <w:pPr>
        <w:pStyle w:val="Heading1"/>
      </w:pPr>
      <w:r>
        <w:lastRenderedPageBreak/>
        <w:t>Open Issues Requiring Further Work</w:t>
      </w:r>
    </w:p>
    <w:p w14:paraId="4CE06F26" w14:textId="77777777" w:rsidR="00AB650C" w:rsidRDefault="00000000">
      <w:pPr>
        <w:pStyle w:val="ListParagraph"/>
        <w:numPr>
          <w:ilvl w:val="0"/>
          <w:numId w:val="3"/>
        </w:numPr>
        <w:spacing w:after="80"/>
      </w:pPr>
      <w:r>
        <w:t>Constellation-sizing analysis for both tiers against stated coverage requirements.</w:t>
      </w:r>
    </w:p>
    <w:p w14:paraId="5914D50D" w14:textId="77777777" w:rsidR="00AB650C" w:rsidRDefault="00000000">
      <w:pPr>
        <w:pStyle w:val="ListParagraph"/>
        <w:numPr>
          <w:ilvl w:val="0"/>
          <w:numId w:val="3"/>
        </w:numPr>
        <w:spacing w:after="80"/>
      </w:pPr>
      <w:r>
        <w:t>Detailed wavelength selection study balancing atmospheric-absorption ground-safety against space-to-space engagement efficiency.</w:t>
      </w:r>
    </w:p>
    <w:p w14:paraId="0F3E422C" w14:textId="77777777" w:rsidR="00AB650C" w:rsidRDefault="00000000">
      <w:pPr>
        <w:pStyle w:val="ListParagraph"/>
        <w:numPr>
          <w:ilvl w:val="0"/>
          <w:numId w:val="3"/>
        </w:numPr>
        <w:spacing w:after="80"/>
      </w:pPr>
      <w:r>
        <w:t>50 MW laser technology development program — scaling pathway from current 100 kW state of the art.</w:t>
      </w:r>
    </w:p>
    <w:p w14:paraId="627D3B6B" w14:textId="77777777" w:rsidR="00AB650C" w:rsidRDefault="00000000">
      <w:pPr>
        <w:pStyle w:val="ListParagraph"/>
        <w:numPr>
          <w:ilvl w:val="0"/>
          <w:numId w:val="3"/>
        </w:numPr>
        <w:spacing w:after="80"/>
      </w:pPr>
      <w:r>
        <w:t xml:space="preserve">Large-aperture single-crystal CVD diamond manufacturing development — scaling from current centimeter-class to </w:t>
      </w:r>
      <w:proofErr w:type="gramStart"/>
      <w:r>
        <w:t>half-meter</w:t>
      </w:r>
      <w:proofErr w:type="gramEnd"/>
      <w:r>
        <w:t>-class apertures.</w:t>
      </w:r>
    </w:p>
    <w:p w14:paraId="795D62DE" w14:textId="77777777" w:rsidR="00AB650C" w:rsidRDefault="00000000">
      <w:pPr>
        <w:pStyle w:val="ListParagraph"/>
        <w:numPr>
          <w:ilvl w:val="0"/>
          <w:numId w:val="3"/>
        </w:numPr>
        <w:spacing w:after="80"/>
      </w:pPr>
      <w:r>
        <w:t>PCD optics production line engineering at required apertures and volumes for constellation supply.</w:t>
      </w:r>
    </w:p>
    <w:p w14:paraId="0EA6C72D" w14:textId="77777777" w:rsidR="00AB650C" w:rsidRDefault="00000000">
      <w:pPr>
        <w:pStyle w:val="ListParagraph"/>
        <w:numPr>
          <w:ilvl w:val="0"/>
          <w:numId w:val="3"/>
        </w:numPr>
        <w:spacing w:after="80"/>
      </w:pPr>
      <w:r>
        <w:t>Deformable mirror development at the thermal loads of 50 MW upstream operation, using diamond substrate technology.</w:t>
      </w:r>
    </w:p>
    <w:p w14:paraId="2F33CBCF" w14:textId="77777777" w:rsidR="00AB650C" w:rsidRDefault="00000000">
      <w:pPr>
        <w:pStyle w:val="ListParagraph"/>
        <w:numPr>
          <w:ilvl w:val="0"/>
          <w:numId w:val="3"/>
        </w:numPr>
        <w:spacing w:after="80"/>
      </w:pPr>
      <w:r>
        <w:t>DCGR integration study for space deployment: radiation shielding, launch vibration, restart procedures.</w:t>
      </w:r>
    </w:p>
    <w:p w14:paraId="711EA275" w14:textId="77777777" w:rsidR="00AB650C" w:rsidRDefault="00000000">
      <w:pPr>
        <w:pStyle w:val="ListParagraph"/>
        <w:numPr>
          <w:ilvl w:val="0"/>
          <w:numId w:val="3"/>
        </w:numPr>
        <w:spacing w:after="80"/>
      </w:pPr>
      <w:r>
        <w:t xml:space="preserve">Financial model </w:t>
      </w:r>
      <w:proofErr w:type="gramStart"/>
      <w:r>
        <w:t>including</w:t>
      </w:r>
      <w:proofErr w:type="gramEnd"/>
      <w:r>
        <w:t xml:space="preserve"> launch cost assumptions, subscription pricing, and sensitivity to deployment schedule.</w:t>
      </w:r>
    </w:p>
    <w:p w14:paraId="3F4B4FAD" w14:textId="77777777" w:rsidR="00AB650C" w:rsidRDefault="00000000">
      <w:pPr>
        <w:pStyle w:val="ListParagraph"/>
        <w:numPr>
          <w:ilvl w:val="0"/>
          <w:numId w:val="3"/>
        </w:numPr>
        <w:spacing w:after="80"/>
      </w:pPr>
      <w:r>
        <w:t>Legal opinion on Outer Space Treaty compliance for the specific configuration as designed.</w:t>
      </w:r>
    </w:p>
    <w:p w14:paraId="473C6C59" w14:textId="77777777" w:rsidR="00AB650C" w:rsidRDefault="00000000">
      <w:r>
        <w:br w:type="page"/>
      </w:r>
    </w:p>
    <w:p w14:paraId="74157DA0" w14:textId="77777777" w:rsidR="00AB650C" w:rsidRDefault="00000000">
      <w:pPr>
        <w:pStyle w:val="Heading1"/>
      </w:pPr>
      <w:r>
        <w:lastRenderedPageBreak/>
        <w:t>Summary</w:t>
      </w:r>
    </w:p>
    <w:p w14:paraId="77816785" w14:textId="77777777" w:rsidR="00AB650C" w:rsidRDefault="00000000">
      <w:pPr>
        <w:spacing w:after="120"/>
      </w:pPr>
      <w:r>
        <w:t>The platform as specified is technically feasible with two major development programs (50 MW space laser, large-aperture diamond optics) and careful attention to two architectural issues that earlier drafts underweighted.</w:t>
      </w:r>
    </w:p>
    <w:p w14:paraId="3A6D5805" w14:textId="77777777" w:rsidR="00AB650C" w:rsidRDefault="00000000">
      <w:pPr>
        <w:spacing w:after="120"/>
      </w:pPr>
      <w:r>
        <w:t>First: ballistic defense cannot be done from a single orbital tier. Boost-phase intercept requires LEO proximity; GEO platforms provide mid-course and debris coverage. The architecture reflects that split.</w:t>
      </w:r>
    </w:p>
    <w:p w14:paraId="0FD697A7" w14:textId="77777777" w:rsidR="00AB650C" w:rsidRDefault="00000000">
      <w:pPr>
        <w:spacing w:after="120"/>
      </w:pPr>
      <w:r>
        <w:t>Second: atmospheric physics alone does not guarantee that a high-power orbital laser cannot be used against ground targets. Physics is one layer of defense; wavelength selection, gimbal elevation stops, and the absence of ground-facing optical paths are the other three. Together, these four constraints make ground-target use infeasible without on-orbit reconfiguration by a servicing crew.</w:t>
      </w:r>
    </w:p>
    <w:p w14:paraId="3684A15C" w14:textId="77777777" w:rsidR="00AB650C" w:rsidRDefault="00000000">
      <w:pPr>
        <w:spacing w:after="120"/>
      </w:pPr>
      <w:r>
        <w:t>Revision 3 additionally commits the platform to an all-diamond optical architecture. Single-crystal CVD diamond serves as the 50 MW primary focusing element, polycrystalline sintered diamond serves all other optical functions, and an upstream deformable mirror provides adaptive beam correction. The gas-lens consumable is eliminated. Platform servicing cadence is driven by reactor fuel cycles rather than by optics maintenance, and optics lifetime extends to multi-year service intervals.</w:t>
      </w:r>
    </w:p>
    <w:p w14:paraId="192F0909" w14:textId="77777777" w:rsidR="00AB650C" w:rsidRDefault="00000000">
      <w:pPr>
        <w:spacing w:after="120"/>
      </w:pPr>
      <w:r>
        <w:t xml:space="preserve">With </w:t>
      </w:r>
      <w:proofErr w:type="gramStart"/>
      <w:r>
        <w:t>these architectures</w:t>
      </w:r>
      <w:proofErr w:type="gramEnd"/>
      <w:r>
        <w:t xml:space="preserve"> in place, the platform serves its primary debris-cleanup mission, supports a legitimate defensive capability as a secondary function, and remains consistent with the spirit of the existing international space-law regime. The revenue model is real. The strategic posture — deterrence through useful infrastructure — is a genuine contribution and, in most respects, the platform's most valuable feature.</w:t>
      </w:r>
    </w:p>
    <w:sectPr w:rsidR="00AB65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10C"/>
    <w:multiLevelType w:val="hybridMultilevel"/>
    <w:tmpl w:val="B9CAFC30"/>
    <w:lvl w:ilvl="0" w:tplc="7B224D76">
      <w:start w:val="1"/>
      <w:numFmt w:val="decimal"/>
      <w:lvlText w:val="%1."/>
      <w:lvlJc w:val="left"/>
      <w:pPr>
        <w:ind w:left="720" w:hanging="360"/>
      </w:pPr>
    </w:lvl>
    <w:lvl w:ilvl="1" w:tplc="25F823AC">
      <w:numFmt w:val="decimal"/>
      <w:lvlText w:val=""/>
      <w:lvlJc w:val="left"/>
    </w:lvl>
    <w:lvl w:ilvl="2" w:tplc="E25A17D8">
      <w:numFmt w:val="decimal"/>
      <w:lvlText w:val=""/>
      <w:lvlJc w:val="left"/>
    </w:lvl>
    <w:lvl w:ilvl="3" w:tplc="154A091C">
      <w:numFmt w:val="decimal"/>
      <w:lvlText w:val=""/>
      <w:lvlJc w:val="left"/>
    </w:lvl>
    <w:lvl w:ilvl="4" w:tplc="F21A54DA">
      <w:numFmt w:val="decimal"/>
      <w:lvlText w:val=""/>
      <w:lvlJc w:val="left"/>
    </w:lvl>
    <w:lvl w:ilvl="5" w:tplc="9042D8C4">
      <w:numFmt w:val="decimal"/>
      <w:lvlText w:val=""/>
      <w:lvlJc w:val="left"/>
    </w:lvl>
    <w:lvl w:ilvl="6" w:tplc="76C24A2C">
      <w:numFmt w:val="decimal"/>
      <w:lvlText w:val=""/>
      <w:lvlJc w:val="left"/>
    </w:lvl>
    <w:lvl w:ilvl="7" w:tplc="DC64A342">
      <w:numFmt w:val="decimal"/>
      <w:lvlText w:val=""/>
      <w:lvlJc w:val="left"/>
    </w:lvl>
    <w:lvl w:ilvl="8" w:tplc="949CB87C">
      <w:numFmt w:val="decimal"/>
      <w:lvlText w:val=""/>
      <w:lvlJc w:val="left"/>
    </w:lvl>
  </w:abstractNum>
  <w:abstractNum w:abstractNumId="1" w15:restartNumberingAfterBreak="0">
    <w:nsid w:val="0EB96F16"/>
    <w:multiLevelType w:val="hybridMultilevel"/>
    <w:tmpl w:val="01C68976"/>
    <w:lvl w:ilvl="0" w:tplc="0CC2BE22">
      <w:start w:val="1"/>
      <w:numFmt w:val="bullet"/>
      <w:lvlText w:val="•"/>
      <w:lvlJc w:val="left"/>
      <w:pPr>
        <w:ind w:left="720" w:hanging="360"/>
      </w:pPr>
    </w:lvl>
    <w:lvl w:ilvl="1" w:tplc="A0EE6346">
      <w:start w:val="1"/>
      <w:numFmt w:val="bullet"/>
      <w:lvlText w:val="◦"/>
      <w:lvlJc w:val="left"/>
      <w:pPr>
        <w:ind w:left="1440" w:hanging="360"/>
      </w:pPr>
    </w:lvl>
    <w:lvl w:ilvl="2" w:tplc="ED961880">
      <w:numFmt w:val="decimal"/>
      <w:lvlText w:val=""/>
      <w:lvlJc w:val="left"/>
    </w:lvl>
    <w:lvl w:ilvl="3" w:tplc="4C2A4C98">
      <w:numFmt w:val="decimal"/>
      <w:lvlText w:val=""/>
      <w:lvlJc w:val="left"/>
    </w:lvl>
    <w:lvl w:ilvl="4" w:tplc="F4AAB8C2">
      <w:numFmt w:val="decimal"/>
      <w:lvlText w:val=""/>
      <w:lvlJc w:val="left"/>
    </w:lvl>
    <w:lvl w:ilvl="5" w:tplc="80EA1AD2">
      <w:numFmt w:val="decimal"/>
      <w:lvlText w:val=""/>
      <w:lvlJc w:val="left"/>
    </w:lvl>
    <w:lvl w:ilvl="6" w:tplc="4554F9C6">
      <w:numFmt w:val="decimal"/>
      <w:lvlText w:val=""/>
      <w:lvlJc w:val="left"/>
    </w:lvl>
    <w:lvl w:ilvl="7" w:tplc="B4E42F82">
      <w:numFmt w:val="decimal"/>
      <w:lvlText w:val=""/>
      <w:lvlJc w:val="left"/>
    </w:lvl>
    <w:lvl w:ilvl="8" w:tplc="F2F42690">
      <w:numFmt w:val="decimal"/>
      <w:lvlText w:val=""/>
      <w:lvlJc w:val="left"/>
    </w:lvl>
  </w:abstractNum>
  <w:abstractNum w:abstractNumId="2" w15:restartNumberingAfterBreak="0">
    <w:nsid w:val="3D233170"/>
    <w:multiLevelType w:val="hybridMultilevel"/>
    <w:tmpl w:val="0860CE50"/>
    <w:lvl w:ilvl="0" w:tplc="5BD2E3CE">
      <w:start w:val="1"/>
      <w:numFmt w:val="bullet"/>
      <w:lvlText w:val="●"/>
      <w:lvlJc w:val="left"/>
      <w:pPr>
        <w:ind w:left="720" w:hanging="360"/>
      </w:pPr>
    </w:lvl>
    <w:lvl w:ilvl="1" w:tplc="E9641DBE">
      <w:start w:val="1"/>
      <w:numFmt w:val="bullet"/>
      <w:lvlText w:val="○"/>
      <w:lvlJc w:val="left"/>
      <w:pPr>
        <w:ind w:left="1440" w:hanging="360"/>
      </w:pPr>
    </w:lvl>
    <w:lvl w:ilvl="2" w:tplc="7F1E1602">
      <w:start w:val="1"/>
      <w:numFmt w:val="bullet"/>
      <w:lvlText w:val="■"/>
      <w:lvlJc w:val="left"/>
      <w:pPr>
        <w:ind w:left="2160" w:hanging="360"/>
      </w:pPr>
    </w:lvl>
    <w:lvl w:ilvl="3" w:tplc="9B904C2A">
      <w:start w:val="1"/>
      <w:numFmt w:val="bullet"/>
      <w:lvlText w:val="●"/>
      <w:lvlJc w:val="left"/>
      <w:pPr>
        <w:ind w:left="2880" w:hanging="360"/>
      </w:pPr>
    </w:lvl>
    <w:lvl w:ilvl="4" w:tplc="72E8C41A">
      <w:start w:val="1"/>
      <w:numFmt w:val="bullet"/>
      <w:lvlText w:val="○"/>
      <w:lvlJc w:val="left"/>
      <w:pPr>
        <w:ind w:left="3600" w:hanging="360"/>
      </w:pPr>
    </w:lvl>
    <w:lvl w:ilvl="5" w:tplc="C748B6A2">
      <w:start w:val="1"/>
      <w:numFmt w:val="bullet"/>
      <w:lvlText w:val="■"/>
      <w:lvlJc w:val="left"/>
      <w:pPr>
        <w:ind w:left="4320" w:hanging="360"/>
      </w:pPr>
    </w:lvl>
    <w:lvl w:ilvl="6" w:tplc="EECE12DE">
      <w:start w:val="1"/>
      <w:numFmt w:val="bullet"/>
      <w:lvlText w:val="●"/>
      <w:lvlJc w:val="left"/>
      <w:pPr>
        <w:ind w:left="5040" w:hanging="360"/>
      </w:pPr>
    </w:lvl>
    <w:lvl w:ilvl="7" w:tplc="3A3EC7B4">
      <w:start w:val="1"/>
      <w:numFmt w:val="bullet"/>
      <w:lvlText w:val="●"/>
      <w:lvlJc w:val="left"/>
      <w:pPr>
        <w:ind w:left="5760" w:hanging="360"/>
      </w:pPr>
    </w:lvl>
    <w:lvl w:ilvl="8" w:tplc="EFC6101E">
      <w:start w:val="1"/>
      <w:numFmt w:val="bullet"/>
      <w:lvlText w:val="●"/>
      <w:lvlJc w:val="left"/>
      <w:pPr>
        <w:ind w:left="6480" w:hanging="360"/>
      </w:pPr>
    </w:lvl>
  </w:abstractNum>
  <w:num w:numId="1" w16cid:durableId="16781609">
    <w:abstractNumId w:val="2"/>
    <w:lvlOverride w:ilvl="0">
      <w:startOverride w:val="1"/>
    </w:lvlOverride>
  </w:num>
  <w:num w:numId="2" w16cid:durableId="2095319216">
    <w:abstractNumId w:val="1"/>
    <w:lvlOverride w:ilvl="0">
      <w:startOverride w:val="1"/>
    </w:lvlOverride>
  </w:num>
  <w:num w:numId="3" w16cid:durableId="19981451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50C"/>
    <w:rsid w:val="00AB650C"/>
    <w:rsid w:val="00CA08F4"/>
    <w:rsid w:val="00D26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3CE03"/>
  <w15:docId w15:val="{BDC65E7A-5C45-46CD-834C-9B21A802C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10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4646</Words>
  <Characters>26487</Characters>
  <Application>Microsoft Office Word</Application>
  <DocSecurity>0</DocSecurity>
  <Lines>220</Lines>
  <Paragraphs>62</Paragraphs>
  <ScaleCrop>false</ScaleCrop>
  <Company/>
  <LinksUpToDate>false</LinksUpToDate>
  <CharactersWithSpaces>31071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Straub, John T.</cp:lastModifiedBy>
  <cp:revision>2</cp:revision>
  <dcterms:created xsi:type="dcterms:W3CDTF">2026-04-17T07:44:00Z</dcterms:created>
  <dcterms:modified xsi:type="dcterms:W3CDTF">2026-04-17T07:44:00Z</dcterms:modified>
</cp:coreProperties>
</file>