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3E947" w14:textId="77777777" w:rsidR="00872694" w:rsidRDefault="00872694" w:rsidP="00CF7F6E">
      <w:pPr>
        <w:keepNext/>
        <w:keepLines/>
        <w:jc w:val="center"/>
        <w:rPr>
          <w:b/>
          <w:color w:val="002060"/>
          <w:sz w:val="84"/>
          <w:szCs w:val="84"/>
        </w:rPr>
      </w:pPr>
    </w:p>
    <w:p w14:paraId="12893AC3" w14:textId="77777777" w:rsidR="000D3BD2" w:rsidRDefault="000D3BD2" w:rsidP="00CF7F6E">
      <w:pPr>
        <w:keepNext/>
        <w:keepLines/>
        <w:jc w:val="center"/>
        <w:rPr>
          <w:b/>
          <w:color w:val="002060"/>
          <w:sz w:val="84"/>
          <w:szCs w:val="84"/>
        </w:rPr>
      </w:pPr>
    </w:p>
    <w:p w14:paraId="35A008F5" w14:textId="77777777" w:rsidR="00872694" w:rsidRPr="00872694" w:rsidRDefault="00872694" w:rsidP="00CF7F6E">
      <w:pPr>
        <w:keepNext/>
        <w:keepLines/>
        <w:jc w:val="center"/>
        <w:rPr>
          <w:b/>
          <w:color w:val="002060"/>
          <w:sz w:val="84"/>
          <w:szCs w:val="84"/>
        </w:rPr>
      </w:pPr>
      <w:r w:rsidRPr="00872694">
        <w:rPr>
          <w:b/>
          <w:color w:val="002060"/>
          <w:sz w:val="84"/>
          <w:szCs w:val="84"/>
        </w:rPr>
        <w:t>PROTOCOLO DE GESTIÓN DE POSTVENTA</w:t>
      </w:r>
    </w:p>
    <w:p w14:paraId="578468BB" w14:textId="77777777" w:rsidR="00872694" w:rsidRPr="00FE6C52" w:rsidRDefault="00872694" w:rsidP="00CF7F6E">
      <w:pPr>
        <w:keepNext/>
        <w:keepLines/>
        <w:jc w:val="center"/>
        <w:rPr>
          <w:color w:val="002060"/>
          <w:sz w:val="44"/>
          <w:szCs w:val="84"/>
        </w:rPr>
      </w:pPr>
    </w:p>
    <w:p w14:paraId="0DB2C3F3" w14:textId="77777777" w:rsidR="00872694" w:rsidRPr="00FE6C52" w:rsidRDefault="00872694" w:rsidP="00CF7F6E">
      <w:pPr>
        <w:keepNext/>
        <w:keepLines/>
        <w:ind w:left="-1560" w:right="-851"/>
        <w:jc w:val="center"/>
        <w:rPr>
          <w:sz w:val="72"/>
          <w:szCs w:val="84"/>
        </w:rPr>
      </w:pPr>
      <w:r w:rsidRPr="00FE6C52">
        <w:rPr>
          <w:color w:val="002060"/>
          <w:sz w:val="72"/>
          <w:szCs w:val="84"/>
        </w:rPr>
        <w:t>(BBVA-SERVICER INMOBILIARIO)</w:t>
      </w:r>
    </w:p>
    <w:p w14:paraId="1E13F7FA" w14:textId="77777777" w:rsidR="00872694" w:rsidRDefault="00872694" w:rsidP="00CF7F6E">
      <w:pPr>
        <w:keepNext/>
        <w:keepLines/>
      </w:pPr>
    </w:p>
    <w:p w14:paraId="7F1CFC38" w14:textId="77777777" w:rsidR="005969C6" w:rsidRDefault="005969C6" w:rsidP="00CF7F6E">
      <w:pPr>
        <w:keepNext/>
        <w:keepLines/>
        <w:rPr>
          <w:rFonts w:ascii="BBVABentonSans" w:hAnsi="BBVABentonSans" w:cstheme="minorHAnsi"/>
          <w:color w:val="0A5FB4" w:themeColor="text2"/>
        </w:rPr>
      </w:pPr>
    </w:p>
    <w:p w14:paraId="1604FEB6" w14:textId="77777777" w:rsidR="005969C6" w:rsidRDefault="005969C6" w:rsidP="00CF7F6E">
      <w:pPr>
        <w:keepNext/>
        <w:keepLines/>
        <w:rPr>
          <w:rFonts w:ascii="BBVABentonSans" w:hAnsi="BBVABentonSans" w:cstheme="minorHAnsi"/>
          <w:color w:val="0A5FB4" w:themeColor="text2"/>
        </w:rPr>
      </w:pPr>
    </w:p>
    <w:p w14:paraId="58AC4416" w14:textId="77777777" w:rsidR="005969C6" w:rsidRDefault="005969C6" w:rsidP="00CF7F6E">
      <w:pPr>
        <w:keepNext/>
        <w:keepLines/>
        <w:rPr>
          <w:rFonts w:ascii="BBVABentonSans" w:hAnsi="BBVABentonSans" w:cstheme="minorHAnsi"/>
          <w:color w:val="0A5FB4" w:themeColor="text2"/>
        </w:rPr>
      </w:pPr>
    </w:p>
    <w:p w14:paraId="63BCF421" w14:textId="77777777" w:rsidR="005969C6" w:rsidRDefault="005969C6" w:rsidP="00CF7F6E">
      <w:pPr>
        <w:keepNext/>
        <w:keepLines/>
        <w:rPr>
          <w:rFonts w:ascii="BBVABentonSans" w:hAnsi="BBVABentonSans" w:cstheme="minorHAnsi"/>
          <w:color w:val="0A5FB4" w:themeColor="text2"/>
        </w:rPr>
      </w:pPr>
    </w:p>
    <w:p w14:paraId="62EE84A8" w14:textId="77777777" w:rsidR="005969C6" w:rsidRDefault="005969C6" w:rsidP="00CF7F6E">
      <w:pPr>
        <w:keepNext/>
        <w:keepLines/>
        <w:rPr>
          <w:rFonts w:ascii="BBVABentonSans" w:hAnsi="BBVABentonSans" w:cstheme="minorHAnsi"/>
          <w:color w:val="0A5FB4" w:themeColor="text2"/>
        </w:rPr>
      </w:pPr>
    </w:p>
    <w:p w14:paraId="736405BB" w14:textId="77777777" w:rsidR="005969C6" w:rsidRDefault="005969C6" w:rsidP="00CF7F6E">
      <w:pPr>
        <w:keepNext/>
        <w:keepLines/>
        <w:rPr>
          <w:rFonts w:ascii="BBVABentonSans" w:hAnsi="BBVABentonSans" w:cstheme="minorHAnsi"/>
          <w:color w:val="0A5FB4" w:themeColor="text2"/>
        </w:rPr>
      </w:pPr>
    </w:p>
    <w:p w14:paraId="5F3CDBEE" w14:textId="77777777" w:rsidR="005969C6" w:rsidRDefault="005969C6" w:rsidP="00CF7F6E">
      <w:pPr>
        <w:keepNext/>
        <w:keepLines/>
        <w:rPr>
          <w:rFonts w:ascii="BBVABentonSans" w:hAnsi="BBVABentonSans" w:cstheme="minorHAnsi"/>
          <w:color w:val="0A5FB4" w:themeColor="text2"/>
        </w:rPr>
      </w:pPr>
    </w:p>
    <w:p w14:paraId="3CCE232F" w14:textId="77777777" w:rsidR="005969C6" w:rsidRDefault="005969C6" w:rsidP="00CF7F6E">
      <w:pPr>
        <w:keepNext/>
        <w:keepLines/>
        <w:rPr>
          <w:rFonts w:ascii="BBVABentonSans" w:hAnsi="BBVABentonSans" w:cstheme="minorHAnsi"/>
          <w:color w:val="0A5FB4" w:themeColor="text2"/>
        </w:rPr>
      </w:pPr>
    </w:p>
    <w:p w14:paraId="4B28A73A" w14:textId="77777777" w:rsidR="005969C6" w:rsidRDefault="005969C6" w:rsidP="00CF7F6E">
      <w:pPr>
        <w:keepNext/>
        <w:keepLines/>
        <w:rPr>
          <w:rFonts w:ascii="BBVABentonSans" w:hAnsi="BBVABentonSans" w:cstheme="minorHAnsi"/>
          <w:color w:val="0A5FB4" w:themeColor="text2"/>
        </w:rPr>
      </w:pPr>
    </w:p>
    <w:p w14:paraId="71A43E26" w14:textId="77777777" w:rsidR="005969C6" w:rsidRDefault="005969C6" w:rsidP="00CF7F6E">
      <w:pPr>
        <w:keepNext/>
        <w:keepLines/>
        <w:rPr>
          <w:rFonts w:ascii="BBVABentonSans" w:hAnsi="BBVABentonSans" w:cstheme="minorHAnsi"/>
          <w:color w:val="0A5FB4" w:themeColor="text2"/>
        </w:rPr>
      </w:pPr>
    </w:p>
    <w:p w14:paraId="44F12F17" w14:textId="77777777" w:rsidR="005969C6" w:rsidRDefault="005969C6" w:rsidP="00CF7F6E">
      <w:pPr>
        <w:keepNext/>
        <w:keepLines/>
        <w:rPr>
          <w:rFonts w:ascii="BBVABentonSans" w:hAnsi="BBVABentonSans" w:cstheme="minorHAnsi"/>
          <w:color w:val="0A5FB4" w:themeColor="text2"/>
        </w:rPr>
      </w:pPr>
    </w:p>
    <w:p w14:paraId="73A865C9" w14:textId="77777777" w:rsidR="005969C6" w:rsidRDefault="005969C6" w:rsidP="00CF7F6E">
      <w:pPr>
        <w:keepNext/>
        <w:keepLines/>
        <w:rPr>
          <w:rFonts w:ascii="BBVABentonSans" w:hAnsi="BBVABentonSans" w:cstheme="minorHAnsi"/>
          <w:color w:val="0A5FB4" w:themeColor="text2"/>
        </w:rPr>
      </w:pPr>
    </w:p>
    <w:p w14:paraId="1E55C775" w14:textId="77777777" w:rsidR="005969C6" w:rsidRDefault="005969C6" w:rsidP="00CF7F6E">
      <w:pPr>
        <w:keepNext/>
        <w:keepLines/>
        <w:rPr>
          <w:rFonts w:ascii="BBVABentonSans" w:hAnsi="BBVABentonSans" w:cstheme="minorHAnsi"/>
          <w:color w:val="0A5FB4" w:themeColor="text2"/>
        </w:rPr>
      </w:pPr>
    </w:p>
    <w:p w14:paraId="5BD19BA9" w14:textId="77777777" w:rsidR="005969C6" w:rsidRDefault="005969C6" w:rsidP="00CF7F6E">
      <w:pPr>
        <w:keepNext/>
        <w:keepLines/>
        <w:rPr>
          <w:rFonts w:ascii="BBVABentonSans" w:hAnsi="BBVABentonSans" w:cstheme="minorHAnsi"/>
          <w:color w:val="0A5FB4" w:themeColor="text2"/>
        </w:rPr>
      </w:pPr>
    </w:p>
    <w:p w14:paraId="134D792A" w14:textId="77777777" w:rsidR="005969C6" w:rsidRDefault="005969C6" w:rsidP="00CF7F6E">
      <w:pPr>
        <w:keepNext/>
        <w:keepLines/>
        <w:rPr>
          <w:rFonts w:ascii="BBVABentonSans" w:hAnsi="BBVABentonSans" w:cstheme="minorHAnsi"/>
          <w:color w:val="0A5FB4" w:themeColor="text2"/>
        </w:rPr>
      </w:pPr>
    </w:p>
    <w:p w14:paraId="1E2E00C6" w14:textId="77777777" w:rsidR="005969C6" w:rsidRDefault="005969C6" w:rsidP="005969C6">
      <w:pPr>
        <w:keepNext/>
        <w:keepLines/>
        <w:ind w:left="5387"/>
        <w:rPr>
          <w:rFonts w:ascii="BBVABentonSans" w:hAnsi="BBVABentonSans" w:cstheme="minorHAnsi"/>
          <w:color w:val="0A5FB4" w:themeColor="text2"/>
        </w:rPr>
      </w:pPr>
    </w:p>
    <w:p w14:paraId="65E06E77" w14:textId="77777777" w:rsidR="005969C6" w:rsidRDefault="005969C6" w:rsidP="005969C6">
      <w:pPr>
        <w:keepNext/>
        <w:keepLines/>
        <w:ind w:left="5387"/>
        <w:rPr>
          <w:rFonts w:ascii="BBVABentonSans" w:hAnsi="BBVABentonSans" w:cstheme="minorHAnsi"/>
          <w:color w:val="0A5FB4" w:themeColor="text2"/>
        </w:rPr>
      </w:pPr>
    </w:p>
    <w:p w14:paraId="6DFAB075" w14:textId="77777777" w:rsidR="00872694" w:rsidRDefault="005969C6" w:rsidP="005969C6">
      <w:pPr>
        <w:keepNext/>
        <w:keepLines/>
        <w:ind w:left="5387"/>
      </w:pPr>
      <w:r w:rsidRPr="006728B1">
        <w:rPr>
          <w:rFonts w:ascii="BBVABentonSans" w:hAnsi="BBVABentonSans" w:cstheme="minorHAnsi"/>
          <w:color w:val="0A5FB4" w:themeColor="text2"/>
        </w:rPr>
        <w:t>Estrategia y Gestión Inmobiliaria BBVA</w:t>
      </w:r>
    </w:p>
    <w:p w14:paraId="4550618E" w14:textId="77777777" w:rsidR="00872694" w:rsidRDefault="00872694" w:rsidP="00CF7F6E">
      <w:pPr>
        <w:keepNext/>
        <w:keepLines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7272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BB518A" w14:textId="77777777" w:rsidR="00126527" w:rsidRPr="007469AD" w:rsidRDefault="007469AD" w:rsidP="001E6513">
          <w:pPr>
            <w:pStyle w:val="TtuloTDC"/>
            <w:rPr>
              <w:b/>
              <w:color w:val="00B0F0"/>
            </w:rPr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t xml:space="preserve">       </w:t>
          </w:r>
          <w:r w:rsidR="00126527" w:rsidRPr="007469AD">
            <w:rPr>
              <w:b/>
              <w:color w:val="00B0F0"/>
            </w:rPr>
            <w:t>Índice</w:t>
          </w:r>
        </w:p>
        <w:p w14:paraId="2833E384" w14:textId="77777777" w:rsidR="00126527" w:rsidRPr="00126527" w:rsidRDefault="00126527" w:rsidP="00126527">
          <w:pPr>
            <w:rPr>
              <w:lang w:eastAsia="es-ES"/>
            </w:rPr>
          </w:pPr>
        </w:p>
        <w:p w14:paraId="69AC0442" w14:textId="77777777" w:rsidR="00126527" w:rsidRPr="007469AD" w:rsidRDefault="00126527" w:rsidP="007469AD">
          <w:pPr>
            <w:pStyle w:val="TDC1"/>
            <w:numPr>
              <w:ilvl w:val="0"/>
              <w:numId w:val="0"/>
            </w:numPr>
            <w:tabs>
              <w:tab w:val="clear" w:pos="9214"/>
            </w:tabs>
            <w:ind w:left="360"/>
            <w:jc w:val="both"/>
            <w:rPr>
              <w:rFonts w:ascii="BBVABentonSans" w:eastAsiaTheme="minorEastAsia" w:hAnsi="BBVABentonSans"/>
              <w:b/>
              <w:noProof/>
              <w:lang w:eastAsia="es-ES"/>
            </w:rPr>
          </w:pPr>
          <w:r w:rsidRPr="007469AD">
            <w:rPr>
              <w:rFonts w:ascii="BBVABentonSans" w:hAnsi="BBVABentonSans"/>
              <w:b/>
              <w:bCs/>
            </w:rPr>
            <w:fldChar w:fldCharType="begin"/>
          </w:r>
          <w:r w:rsidRPr="007469AD">
            <w:rPr>
              <w:rFonts w:ascii="BBVABentonSans" w:hAnsi="BBVABentonSans"/>
              <w:b/>
              <w:bCs/>
            </w:rPr>
            <w:instrText xml:space="preserve"> TOC \o "1-3" \h \z \u </w:instrText>
          </w:r>
          <w:r w:rsidRPr="007469AD">
            <w:rPr>
              <w:rFonts w:ascii="BBVABentonSans" w:hAnsi="BBVABentonSans"/>
              <w:b/>
              <w:bCs/>
            </w:rPr>
            <w:fldChar w:fldCharType="separate"/>
          </w:r>
          <w:hyperlink w:anchor="_Toc44949254" w:history="1">
            <w:r w:rsidRPr="007469AD">
              <w:rPr>
                <w:rStyle w:val="Hipervnculo"/>
                <w:rFonts w:ascii="BBVABentonSans" w:hAnsi="BBVABentonSans"/>
                <w:b/>
                <w:noProof/>
                <w:u w:val="none"/>
              </w:rPr>
              <w:t>1.</w:t>
            </w:r>
            <w:r w:rsidRPr="007469AD">
              <w:rPr>
                <w:rFonts w:ascii="BBVABentonSans" w:eastAsiaTheme="minorEastAsia" w:hAnsi="BBVABentonSans"/>
                <w:b/>
                <w:noProof/>
                <w:lang w:eastAsia="es-ES"/>
              </w:rPr>
              <w:tab/>
            </w:r>
            <w:r w:rsidRPr="007469AD">
              <w:rPr>
                <w:rStyle w:val="Hipervnculo"/>
                <w:rFonts w:ascii="BBVABentonSans" w:hAnsi="BBVABentonSans"/>
                <w:b/>
                <w:noProof/>
                <w:u w:val="none"/>
              </w:rPr>
              <w:t>Control de versiones</w:t>
            </w:r>
            <w:r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7469AD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Pr="007469AD">
              <w:rPr>
                <w:rFonts w:ascii="BBVABentonSans" w:hAnsi="BBVABentonSans"/>
                <w:b/>
                <w:noProof/>
                <w:webHidden/>
              </w:rPr>
              <w:fldChar w:fldCharType="begin"/>
            </w:r>
            <w:r w:rsidRPr="007469AD">
              <w:rPr>
                <w:rFonts w:ascii="BBVABentonSans" w:hAnsi="BBVABentonSans"/>
                <w:b/>
                <w:noProof/>
                <w:webHidden/>
              </w:rPr>
              <w:instrText xml:space="preserve"> PAGEREF _Toc44949254 \h </w:instrText>
            </w:r>
            <w:r w:rsidRPr="007469AD">
              <w:rPr>
                <w:rFonts w:ascii="BBVABentonSans" w:hAnsi="BBVABentonSans"/>
                <w:b/>
                <w:noProof/>
                <w:webHidden/>
              </w:rPr>
            </w:r>
            <w:r w:rsidRPr="007469AD">
              <w:rPr>
                <w:rFonts w:ascii="BBVABentonSans" w:hAnsi="BBVABentonSans"/>
                <w:b/>
                <w:noProof/>
                <w:webHidden/>
              </w:rPr>
              <w:fldChar w:fldCharType="separate"/>
            </w:r>
            <w:r w:rsidRPr="007469AD">
              <w:rPr>
                <w:rFonts w:ascii="BBVABentonSans" w:hAnsi="BBVABentonSans"/>
                <w:b/>
                <w:noProof/>
                <w:webHidden/>
              </w:rPr>
              <w:t>3</w:t>
            </w:r>
            <w:r w:rsidRPr="007469AD">
              <w:rPr>
                <w:rFonts w:ascii="BBVABentonSans" w:hAnsi="BBVABentonSans"/>
                <w:b/>
                <w:noProof/>
                <w:webHidden/>
              </w:rPr>
              <w:fldChar w:fldCharType="end"/>
            </w:r>
          </w:hyperlink>
        </w:p>
        <w:p w14:paraId="072C58DB" w14:textId="77777777" w:rsidR="00126527" w:rsidRPr="007469AD" w:rsidRDefault="00952D96" w:rsidP="007469AD">
          <w:pPr>
            <w:pStyle w:val="TDC1"/>
            <w:numPr>
              <w:ilvl w:val="0"/>
              <w:numId w:val="0"/>
            </w:numPr>
            <w:tabs>
              <w:tab w:val="clear" w:pos="9214"/>
            </w:tabs>
            <w:ind w:left="360"/>
            <w:jc w:val="both"/>
            <w:rPr>
              <w:rFonts w:ascii="BBVABentonSans" w:eastAsiaTheme="minorEastAsia" w:hAnsi="BBVABentonSans"/>
              <w:b/>
              <w:noProof/>
              <w:lang w:eastAsia="es-ES"/>
            </w:rPr>
          </w:pPr>
          <w:hyperlink w:anchor="_Toc44949255" w:history="1">
            <w:r w:rsidR="00126527" w:rsidRPr="007469AD">
              <w:rPr>
                <w:rStyle w:val="Hipervnculo"/>
                <w:rFonts w:ascii="BBVABentonSans" w:hAnsi="BBVABentonSans"/>
                <w:b/>
                <w:noProof/>
                <w:u w:val="none"/>
              </w:rPr>
              <w:t>2.</w:t>
            </w:r>
            <w:r w:rsidR="00126527" w:rsidRPr="007469AD">
              <w:rPr>
                <w:rFonts w:ascii="BBVABentonSans" w:eastAsiaTheme="minorEastAsia" w:hAnsi="BBVABentonSans"/>
                <w:b/>
                <w:noProof/>
                <w:lang w:eastAsia="es-ES"/>
              </w:rPr>
              <w:tab/>
            </w:r>
            <w:r w:rsidR="00126527" w:rsidRPr="007469AD">
              <w:rPr>
                <w:rStyle w:val="Hipervnculo"/>
                <w:rFonts w:ascii="BBVABentonSans" w:hAnsi="BBVABentonSans"/>
                <w:b/>
                <w:noProof/>
                <w:u w:val="none"/>
              </w:rPr>
              <w:t>Objetivo</w:t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fldChar w:fldCharType="begin"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instrText xml:space="preserve"> PAGEREF _Toc44949255 \h </w:instrText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fldChar w:fldCharType="separate"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>3</w:t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fldChar w:fldCharType="end"/>
            </w:r>
          </w:hyperlink>
        </w:p>
        <w:p w14:paraId="4B598D38" w14:textId="77777777" w:rsidR="00126527" w:rsidRPr="007469AD" w:rsidRDefault="00952D96" w:rsidP="007469AD">
          <w:pPr>
            <w:pStyle w:val="TDC1"/>
            <w:numPr>
              <w:ilvl w:val="0"/>
              <w:numId w:val="0"/>
            </w:numPr>
            <w:tabs>
              <w:tab w:val="clear" w:pos="9214"/>
            </w:tabs>
            <w:ind w:left="360"/>
            <w:jc w:val="both"/>
            <w:rPr>
              <w:rFonts w:ascii="BBVABentonSans" w:eastAsiaTheme="minorEastAsia" w:hAnsi="BBVABentonSans"/>
              <w:b/>
              <w:noProof/>
              <w:lang w:eastAsia="es-ES"/>
            </w:rPr>
          </w:pPr>
          <w:hyperlink w:anchor="_Toc44949256" w:history="1">
            <w:r w:rsidR="00126527" w:rsidRPr="007469AD">
              <w:rPr>
                <w:rStyle w:val="Hipervnculo"/>
                <w:rFonts w:ascii="BBVABentonSans" w:hAnsi="BBVABentonSans"/>
                <w:b/>
                <w:noProof/>
                <w:u w:val="none"/>
              </w:rPr>
              <w:t>3.</w:t>
            </w:r>
            <w:r w:rsidR="00126527" w:rsidRPr="007469AD">
              <w:rPr>
                <w:rFonts w:ascii="BBVABentonSans" w:eastAsiaTheme="minorEastAsia" w:hAnsi="BBVABentonSans"/>
                <w:b/>
                <w:noProof/>
                <w:lang w:eastAsia="es-ES"/>
              </w:rPr>
              <w:tab/>
            </w:r>
            <w:r w:rsidR="00126527" w:rsidRPr="007469AD">
              <w:rPr>
                <w:rStyle w:val="Hipervnculo"/>
                <w:rFonts w:ascii="BBVABentonSans" w:hAnsi="BBVABentonSans"/>
                <w:b/>
                <w:noProof/>
                <w:u w:val="none"/>
              </w:rPr>
              <w:t>Medios de comunicación</w:t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7469AD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fldChar w:fldCharType="begin"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instrText xml:space="preserve"> PAGEREF _Toc44949256 \h </w:instrText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fldChar w:fldCharType="separate"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>3</w:t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fldChar w:fldCharType="end"/>
            </w:r>
          </w:hyperlink>
        </w:p>
        <w:p w14:paraId="458B7802" w14:textId="77777777" w:rsidR="00126527" w:rsidRPr="007469AD" w:rsidRDefault="00952D96" w:rsidP="007469AD">
          <w:pPr>
            <w:pStyle w:val="TDC1"/>
            <w:numPr>
              <w:ilvl w:val="0"/>
              <w:numId w:val="0"/>
            </w:numPr>
            <w:tabs>
              <w:tab w:val="clear" w:pos="9214"/>
            </w:tabs>
            <w:ind w:left="360"/>
            <w:jc w:val="both"/>
            <w:rPr>
              <w:rFonts w:ascii="BBVABentonSans" w:eastAsiaTheme="minorEastAsia" w:hAnsi="BBVABentonSans"/>
              <w:b/>
              <w:noProof/>
              <w:lang w:eastAsia="es-ES"/>
            </w:rPr>
          </w:pPr>
          <w:hyperlink w:anchor="_Toc44949257" w:history="1">
            <w:r w:rsidR="00126527" w:rsidRPr="007469AD">
              <w:rPr>
                <w:rStyle w:val="Hipervnculo"/>
                <w:rFonts w:ascii="BBVABentonSans" w:hAnsi="BBVABentonSans"/>
                <w:b/>
                <w:noProof/>
                <w:u w:val="none"/>
              </w:rPr>
              <w:t>4.</w:t>
            </w:r>
            <w:r w:rsidR="00126527" w:rsidRPr="007469AD">
              <w:rPr>
                <w:rFonts w:ascii="BBVABentonSans" w:eastAsiaTheme="minorEastAsia" w:hAnsi="BBVABentonSans"/>
                <w:b/>
                <w:noProof/>
                <w:lang w:eastAsia="es-ES"/>
              </w:rPr>
              <w:tab/>
            </w:r>
            <w:r w:rsidR="00126527" w:rsidRPr="007469AD">
              <w:rPr>
                <w:rStyle w:val="Hipervnculo"/>
                <w:rFonts w:ascii="BBVABentonSans" w:hAnsi="BBVABentonSans"/>
                <w:b/>
                <w:noProof/>
                <w:u w:val="none"/>
              </w:rPr>
              <w:t>Detalle de la operativa</w:t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fldChar w:fldCharType="begin"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instrText xml:space="preserve"> PAGEREF _Toc44949257 \h </w:instrText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fldChar w:fldCharType="separate"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>4</w:t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fldChar w:fldCharType="end"/>
            </w:r>
          </w:hyperlink>
        </w:p>
        <w:p w14:paraId="1287B654" w14:textId="77777777" w:rsidR="00126527" w:rsidRPr="007469AD" w:rsidRDefault="00952D96" w:rsidP="007469AD">
          <w:pPr>
            <w:pStyle w:val="TDC1"/>
            <w:numPr>
              <w:ilvl w:val="0"/>
              <w:numId w:val="0"/>
            </w:numPr>
            <w:tabs>
              <w:tab w:val="clear" w:pos="9214"/>
            </w:tabs>
            <w:ind w:left="360"/>
            <w:jc w:val="both"/>
            <w:rPr>
              <w:rFonts w:ascii="BBVABentonSans" w:eastAsiaTheme="minorEastAsia" w:hAnsi="BBVABentonSans"/>
              <w:b/>
              <w:noProof/>
              <w:lang w:eastAsia="es-ES"/>
            </w:rPr>
          </w:pPr>
          <w:hyperlink w:anchor="_Toc44949258" w:history="1">
            <w:r w:rsidR="00126527" w:rsidRPr="007469AD">
              <w:rPr>
                <w:rStyle w:val="Hipervnculo"/>
                <w:rFonts w:ascii="BBVABentonSans" w:hAnsi="BBVABentonSans"/>
                <w:b/>
                <w:noProof/>
                <w:u w:val="none"/>
              </w:rPr>
              <w:t>5.</w:t>
            </w:r>
            <w:r w:rsidR="00126527" w:rsidRPr="007469AD">
              <w:rPr>
                <w:rFonts w:ascii="BBVABentonSans" w:eastAsiaTheme="minorEastAsia" w:hAnsi="BBVABentonSans"/>
                <w:b/>
                <w:noProof/>
                <w:lang w:eastAsia="es-ES"/>
              </w:rPr>
              <w:tab/>
            </w:r>
            <w:r w:rsidR="00126527" w:rsidRPr="007469AD">
              <w:rPr>
                <w:rStyle w:val="Hipervnculo"/>
                <w:rFonts w:ascii="BBVABentonSans" w:hAnsi="BBVABentonSans"/>
                <w:b/>
                <w:noProof/>
                <w:u w:val="none"/>
              </w:rPr>
              <w:t>Revisiones Periódicas por BBVA</w:t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7469AD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fldChar w:fldCharType="begin"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instrText xml:space="preserve"> PAGEREF _Toc44949258 \h </w:instrText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fldChar w:fldCharType="separate"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>8</w:t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fldChar w:fldCharType="end"/>
            </w:r>
          </w:hyperlink>
        </w:p>
        <w:p w14:paraId="7B6A6092" w14:textId="77777777" w:rsidR="00126527" w:rsidRPr="007469AD" w:rsidRDefault="00952D96" w:rsidP="007469AD">
          <w:pPr>
            <w:pStyle w:val="TDC1"/>
            <w:numPr>
              <w:ilvl w:val="0"/>
              <w:numId w:val="0"/>
            </w:numPr>
            <w:tabs>
              <w:tab w:val="clear" w:pos="9214"/>
            </w:tabs>
            <w:ind w:left="360"/>
            <w:jc w:val="both"/>
            <w:rPr>
              <w:rFonts w:ascii="BBVABentonSans" w:eastAsiaTheme="minorEastAsia" w:hAnsi="BBVABentonSans"/>
              <w:b/>
              <w:noProof/>
              <w:lang w:eastAsia="es-ES"/>
            </w:rPr>
          </w:pPr>
          <w:hyperlink w:anchor="_Toc44949259" w:history="1">
            <w:r w:rsidR="00126527" w:rsidRPr="007469AD">
              <w:rPr>
                <w:rStyle w:val="Hipervnculo"/>
                <w:rFonts w:ascii="BBVABentonSans" w:hAnsi="BBVABentonSans"/>
                <w:b/>
                <w:noProof/>
                <w:u w:val="none"/>
              </w:rPr>
              <w:t>6.</w:t>
            </w:r>
            <w:r w:rsidR="00126527" w:rsidRPr="007469AD">
              <w:rPr>
                <w:rFonts w:ascii="BBVABentonSans" w:eastAsiaTheme="minorEastAsia" w:hAnsi="BBVABentonSans"/>
                <w:b/>
                <w:noProof/>
                <w:lang w:eastAsia="es-ES"/>
              </w:rPr>
              <w:tab/>
            </w:r>
            <w:r w:rsidR="00126527" w:rsidRPr="007469AD">
              <w:rPr>
                <w:rStyle w:val="Hipervnculo"/>
                <w:rFonts w:ascii="BBVABentonSans" w:hAnsi="BBVABentonSans"/>
                <w:b/>
                <w:noProof/>
                <w:u w:val="none"/>
              </w:rPr>
              <w:t>Revisión por Auditoría Interna BBVA</w:t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fldChar w:fldCharType="begin"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instrText xml:space="preserve"> PAGEREF _Toc44949259 \h </w:instrText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fldChar w:fldCharType="separate"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>8</w:t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fldChar w:fldCharType="end"/>
            </w:r>
          </w:hyperlink>
        </w:p>
        <w:p w14:paraId="3B07B9C0" w14:textId="77777777" w:rsidR="00126527" w:rsidRPr="007469AD" w:rsidRDefault="00952D96" w:rsidP="007469AD">
          <w:pPr>
            <w:pStyle w:val="TDC1"/>
            <w:numPr>
              <w:ilvl w:val="0"/>
              <w:numId w:val="0"/>
            </w:numPr>
            <w:tabs>
              <w:tab w:val="clear" w:pos="9214"/>
            </w:tabs>
            <w:ind w:left="360"/>
            <w:jc w:val="both"/>
            <w:rPr>
              <w:rFonts w:ascii="BBVABentonSans" w:eastAsiaTheme="minorEastAsia" w:hAnsi="BBVABentonSans"/>
              <w:b/>
              <w:noProof/>
              <w:lang w:eastAsia="es-ES"/>
            </w:rPr>
          </w:pPr>
          <w:hyperlink w:anchor="_Toc44949260" w:history="1">
            <w:r w:rsidR="00126527" w:rsidRPr="007469AD">
              <w:rPr>
                <w:rStyle w:val="Hipervnculo"/>
                <w:rFonts w:ascii="BBVABentonSans" w:hAnsi="BBVABentonSans"/>
                <w:b/>
                <w:noProof/>
                <w:u w:val="none"/>
              </w:rPr>
              <w:t>7.</w:t>
            </w:r>
            <w:r w:rsidR="00126527" w:rsidRPr="007469AD">
              <w:rPr>
                <w:rFonts w:ascii="BBVABentonSans" w:eastAsiaTheme="minorEastAsia" w:hAnsi="BBVABentonSans"/>
                <w:b/>
                <w:noProof/>
                <w:lang w:eastAsia="es-ES"/>
              </w:rPr>
              <w:tab/>
            </w:r>
            <w:r w:rsidR="00126527" w:rsidRPr="007469AD">
              <w:rPr>
                <w:rStyle w:val="Hipervnculo"/>
                <w:rFonts w:ascii="BBVABentonSans" w:hAnsi="BBVABentonSans"/>
                <w:b/>
                <w:noProof/>
                <w:u w:val="none"/>
              </w:rPr>
              <w:t>Atribuciones y delegaciones.</w:t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7469AD" w:rsidRPr="007469AD">
              <w:rPr>
                <w:rFonts w:ascii="BBVABentonSans" w:hAnsi="BBVABentonSans"/>
                <w:b/>
                <w:noProof/>
                <w:webHidden/>
              </w:rPr>
              <w:tab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fldChar w:fldCharType="begin"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instrText xml:space="preserve"> PAGEREF _Toc44949260 \h </w:instrText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fldChar w:fldCharType="separate"/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t>8</w:t>
            </w:r>
            <w:r w:rsidR="00126527" w:rsidRPr="007469AD">
              <w:rPr>
                <w:rFonts w:ascii="BBVABentonSans" w:hAnsi="BBVABentonSans"/>
                <w:b/>
                <w:noProof/>
                <w:webHidden/>
              </w:rPr>
              <w:fldChar w:fldCharType="end"/>
            </w:r>
          </w:hyperlink>
        </w:p>
        <w:p w14:paraId="326DC634" w14:textId="163D226D" w:rsidR="00126527" w:rsidRDefault="00126527" w:rsidP="007469AD">
          <w:pPr>
            <w:jc w:val="both"/>
          </w:pPr>
          <w:r w:rsidRPr="007469AD">
            <w:rPr>
              <w:rFonts w:ascii="BBVABentonSans" w:hAnsi="BBVABentonSans"/>
              <w:b/>
              <w:bCs/>
            </w:rPr>
            <w:fldChar w:fldCharType="end"/>
          </w:r>
        </w:p>
      </w:sdtContent>
    </w:sdt>
    <w:p w14:paraId="38598F5C" w14:textId="77777777" w:rsidR="00975421" w:rsidRDefault="00975421" w:rsidP="00975421"/>
    <w:p w14:paraId="5EDD876C" w14:textId="77777777" w:rsidR="00975421" w:rsidRDefault="00975421" w:rsidP="00975421">
      <w:pPr>
        <w:pStyle w:val="Prrafodelista"/>
        <w:ind w:left="1440"/>
      </w:pPr>
    </w:p>
    <w:p w14:paraId="73A1339E" w14:textId="77777777" w:rsidR="00872694" w:rsidRDefault="00872694" w:rsidP="00CF7F6E">
      <w:pPr>
        <w:keepNext/>
        <w:keepLines/>
      </w:pPr>
      <w:r>
        <w:br w:type="page"/>
      </w:r>
    </w:p>
    <w:p w14:paraId="0A461822" w14:textId="77777777" w:rsidR="00872694" w:rsidRPr="000D3BD2" w:rsidRDefault="00872694" w:rsidP="00613767">
      <w:pPr>
        <w:pStyle w:val="Ttulo1"/>
        <w:numPr>
          <w:ilvl w:val="0"/>
          <w:numId w:val="5"/>
        </w:numPr>
        <w:ind w:left="-284" w:hanging="425"/>
        <w:rPr>
          <w:b/>
          <w:sz w:val="24"/>
        </w:rPr>
      </w:pPr>
      <w:bookmarkStart w:id="0" w:name="_Control_de_versiones"/>
      <w:bookmarkStart w:id="1" w:name="_Toc44949254"/>
      <w:bookmarkStart w:id="2" w:name="_Ref25595360"/>
      <w:bookmarkEnd w:id="0"/>
      <w:r w:rsidRPr="000D3BD2">
        <w:rPr>
          <w:b/>
          <w:sz w:val="24"/>
        </w:rPr>
        <w:lastRenderedPageBreak/>
        <w:t>Control de versiones</w:t>
      </w:r>
      <w:bookmarkEnd w:id="1"/>
    </w:p>
    <w:p w14:paraId="3E187AD6" w14:textId="77777777" w:rsidR="00E550FD" w:rsidRDefault="00E550FD" w:rsidP="00CF7F6E">
      <w:pPr>
        <w:keepNext/>
        <w:keepLines/>
      </w:pPr>
    </w:p>
    <w:tbl>
      <w:tblPr>
        <w:tblStyle w:val="Sombreadomedio1-nfasis5"/>
        <w:tblW w:w="100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985"/>
        <w:gridCol w:w="5086"/>
      </w:tblGrid>
      <w:tr w:rsidR="00E550FD" w14:paraId="5906537F" w14:textId="77777777" w:rsidTr="00E5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2A86CA" w:themeColor="accent1"/>
              <w:left w:val="single" w:sz="4" w:space="0" w:color="2A86CA" w:themeColor="accent1"/>
              <w:bottom w:val="single" w:sz="4" w:space="0" w:color="2A86CA" w:themeColor="accent1"/>
              <w:right w:val="single" w:sz="4" w:space="0" w:color="2A86CA" w:themeColor="accent1"/>
            </w:tcBorders>
            <w:shd w:val="clear" w:color="auto" w:fill="C2DEFB" w:themeFill="text2" w:themeFillTint="33"/>
          </w:tcPr>
          <w:p w14:paraId="4C2D3D35" w14:textId="77777777" w:rsidR="00E550FD" w:rsidRPr="00780FC5" w:rsidRDefault="00E550FD" w:rsidP="00AD255D">
            <w:pPr>
              <w:keepNext/>
              <w:keepLines/>
              <w:jc w:val="center"/>
              <w:rPr>
                <w:rFonts w:ascii="BBVABentonSans" w:hAnsi="BBVABentonSans"/>
                <w:b w:val="0"/>
                <w:color w:val="auto"/>
                <w:szCs w:val="22"/>
              </w:rPr>
            </w:pPr>
            <w:r w:rsidRPr="00780FC5">
              <w:rPr>
                <w:rFonts w:ascii="BBVABentonSans" w:hAnsi="BBVABentonSans"/>
                <w:b w:val="0"/>
                <w:color w:val="auto"/>
                <w:szCs w:val="22"/>
              </w:rPr>
              <w:t>Fecha versión</w:t>
            </w:r>
          </w:p>
        </w:tc>
        <w:tc>
          <w:tcPr>
            <w:tcW w:w="1559" w:type="dxa"/>
            <w:tcBorders>
              <w:top w:val="single" w:sz="4" w:space="0" w:color="2A86CA" w:themeColor="accent1"/>
              <w:left w:val="single" w:sz="4" w:space="0" w:color="2A86CA" w:themeColor="accent1"/>
              <w:bottom w:val="single" w:sz="4" w:space="0" w:color="2A86CA" w:themeColor="accent1"/>
              <w:right w:val="single" w:sz="4" w:space="0" w:color="2A86CA" w:themeColor="accent1"/>
            </w:tcBorders>
            <w:shd w:val="clear" w:color="auto" w:fill="C2DEFB" w:themeFill="text2" w:themeFillTint="33"/>
          </w:tcPr>
          <w:p w14:paraId="7E91EF72" w14:textId="77777777" w:rsidR="00E550FD" w:rsidRPr="00780FC5" w:rsidRDefault="00E550FD" w:rsidP="00AD255D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BVABentonSans" w:hAnsi="BBVABentonSans"/>
                <w:b w:val="0"/>
                <w:color w:val="auto"/>
                <w:szCs w:val="22"/>
              </w:rPr>
            </w:pPr>
            <w:r w:rsidRPr="00780FC5">
              <w:rPr>
                <w:rFonts w:ascii="BBVABentonSans" w:hAnsi="BBVABentonSans"/>
                <w:b w:val="0"/>
                <w:color w:val="auto"/>
                <w:szCs w:val="22"/>
              </w:rPr>
              <w:t>Ámbito</w:t>
            </w:r>
          </w:p>
        </w:tc>
        <w:tc>
          <w:tcPr>
            <w:tcW w:w="1985" w:type="dxa"/>
            <w:tcBorders>
              <w:top w:val="single" w:sz="4" w:space="0" w:color="2A86CA" w:themeColor="accent1"/>
              <w:left w:val="single" w:sz="4" w:space="0" w:color="2A86CA" w:themeColor="accent1"/>
              <w:bottom w:val="single" w:sz="4" w:space="0" w:color="2A86CA" w:themeColor="accent1"/>
              <w:right w:val="single" w:sz="4" w:space="0" w:color="2A86CA" w:themeColor="accent1"/>
            </w:tcBorders>
            <w:shd w:val="clear" w:color="auto" w:fill="C2DEFB" w:themeFill="text2" w:themeFillTint="33"/>
          </w:tcPr>
          <w:p w14:paraId="3F9BD669" w14:textId="77777777" w:rsidR="00E550FD" w:rsidRPr="00780FC5" w:rsidRDefault="00E550FD" w:rsidP="00AD255D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BVABentonSans" w:hAnsi="BBVABentonSans"/>
                <w:b w:val="0"/>
                <w:color w:val="auto"/>
                <w:szCs w:val="22"/>
              </w:rPr>
            </w:pPr>
            <w:r w:rsidRPr="00780FC5">
              <w:rPr>
                <w:rFonts w:ascii="BBVABentonSans" w:hAnsi="BBVABentonSans"/>
                <w:b w:val="0"/>
                <w:color w:val="auto"/>
                <w:szCs w:val="22"/>
              </w:rPr>
              <w:t>Unidad origen</w:t>
            </w:r>
          </w:p>
        </w:tc>
        <w:tc>
          <w:tcPr>
            <w:tcW w:w="5086" w:type="dxa"/>
            <w:tcBorders>
              <w:top w:val="single" w:sz="4" w:space="0" w:color="2A86CA" w:themeColor="accent1"/>
              <w:left w:val="single" w:sz="4" w:space="0" w:color="2A86CA" w:themeColor="accent1"/>
              <w:bottom w:val="single" w:sz="4" w:space="0" w:color="2A86CA" w:themeColor="accent1"/>
              <w:right w:val="single" w:sz="4" w:space="0" w:color="2A86CA" w:themeColor="accent1"/>
            </w:tcBorders>
            <w:shd w:val="clear" w:color="auto" w:fill="C2DEFB" w:themeFill="text2" w:themeFillTint="33"/>
          </w:tcPr>
          <w:p w14:paraId="587D467F" w14:textId="77777777" w:rsidR="00E550FD" w:rsidRPr="00780FC5" w:rsidRDefault="00E550FD" w:rsidP="00AD255D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BVABentonSans" w:hAnsi="BBVABentonSans"/>
                <w:b w:val="0"/>
                <w:color w:val="auto"/>
                <w:szCs w:val="22"/>
              </w:rPr>
            </w:pPr>
            <w:r w:rsidRPr="00780FC5">
              <w:rPr>
                <w:rFonts w:ascii="BBVABentonSans" w:hAnsi="BBVABentonSans"/>
                <w:b w:val="0"/>
                <w:color w:val="auto"/>
                <w:szCs w:val="22"/>
              </w:rPr>
              <w:t>Comentarios/ modificaciones</w:t>
            </w:r>
          </w:p>
        </w:tc>
      </w:tr>
      <w:tr w:rsidR="00E550FD" w14:paraId="0BA1E00E" w14:textId="77777777" w:rsidTr="00E55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2A86CA" w:themeColor="accent1"/>
              <w:left w:val="single" w:sz="4" w:space="0" w:color="2A86CA" w:themeColor="accent1"/>
              <w:bottom w:val="single" w:sz="4" w:space="0" w:color="2A86CA" w:themeColor="accent1"/>
              <w:right w:val="single" w:sz="4" w:space="0" w:color="2A86CA" w:themeColor="accent1"/>
            </w:tcBorders>
            <w:shd w:val="clear" w:color="auto" w:fill="FFFFFF" w:themeFill="background1"/>
          </w:tcPr>
          <w:p w14:paraId="62BE1569" w14:textId="77777777" w:rsidR="00E550FD" w:rsidRPr="006D1EFA" w:rsidRDefault="00E550FD" w:rsidP="007469AD">
            <w:pPr>
              <w:keepNext/>
              <w:keepLines/>
              <w:rPr>
                <w:b w:val="0"/>
              </w:rPr>
            </w:pPr>
            <w:r>
              <w:rPr>
                <w:b w:val="0"/>
              </w:rPr>
              <w:t xml:space="preserve">Versión 1.0 </w:t>
            </w:r>
            <w:r w:rsidR="007469AD">
              <w:rPr>
                <w:b w:val="0"/>
              </w:rPr>
              <w:t>08</w:t>
            </w:r>
            <w:r w:rsidRPr="006D1EFA">
              <w:rPr>
                <w:b w:val="0"/>
              </w:rPr>
              <w:t>/</w:t>
            </w:r>
            <w:r w:rsidR="007469AD">
              <w:rPr>
                <w:b w:val="0"/>
              </w:rPr>
              <w:t>07</w:t>
            </w:r>
            <w:r w:rsidRPr="006D1EFA">
              <w:rPr>
                <w:b w:val="0"/>
              </w:rPr>
              <w:t>/20</w:t>
            </w:r>
            <w:r w:rsidR="007469AD">
              <w:rPr>
                <w:b w:val="0"/>
              </w:rPr>
              <w:t>20</w:t>
            </w:r>
          </w:p>
        </w:tc>
        <w:tc>
          <w:tcPr>
            <w:tcW w:w="1559" w:type="dxa"/>
            <w:tcBorders>
              <w:top w:val="single" w:sz="4" w:space="0" w:color="2A86CA" w:themeColor="accent1"/>
              <w:left w:val="single" w:sz="4" w:space="0" w:color="2A86CA" w:themeColor="accent1"/>
              <w:bottom w:val="single" w:sz="4" w:space="0" w:color="2A86CA" w:themeColor="accent1"/>
              <w:right w:val="single" w:sz="4" w:space="0" w:color="2A86CA" w:themeColor="accent1"/>
            </w:tcBorders>
            <w:shd w:val="clear" w:color="auto" w:fill="FFFFFF" w:themeFill="background1"/>
          </w:tcPr>
          <w:p w14:paraId="31485B06" w14:textId="77777777" w:rsidR="00E550FD" w:rsidRPr="006D1EFA" w:rsidRDefault="00E550FD" w:rsidP="00E550F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EFA">
              <w:t>Área de Negocio España</w:t>
            </w:r>
          </w:p>
        </w:tc>
        <w:tc>
          <w:tcPr>
            <w:tcW w:w="1985" w:type="dxa"/>
            <w:tcBorders>
              <w:top w:val="single" w:sz="4" w:space="0" w:color="2A86CA" w:themeColor="accent1"/>
              <w:left w:val="single" w:sz="4" w:space="0" w:color="2A86CA" w:themeColor="accent1"/>
              <w:bottom w:val="single" w:sz="4" w:space="0" w:color="2A86CA" w:themeColor="accent1"/>
              <w:right w:val="single" w:sz="4" w:space="0" w:color="2A86CA" w:themeColor="accent1"/>
            </w:tcBorders>
            <w:shd w:val="clear" w:color="auto" w:fill="FFFFFF" w:themeFill="background1"/>
          </w:tcPr>
          <w:p w14:paraId="3FD8D503" w14:textId="77777777" w:rsidR="00E550FD" w:rsidRPr="006D1EFA" w:rsidRDefault="00E550FD" w:rsidP="00E550F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EFA">
              <w:t>GRM Spain- Recuperaciones- EGI</w:t>
            </w:r>
          </w:p>
        </w:tc>
        <w:tc>
          <w:tcPr>
            <w:tcW w:w="5086" w:type="dxa"/>
            <w:tcBorders>
              <w:top w:val="single" w:sz="4" w:space="0" w:color="2A86CA" w:themeColor="accent1"/>
              <w:left w:val="single" w:sz="4" w:space="0" w:color="2A86CA" w:themeColor="accent1"/>
              <w:bottom w:val="single" w:sz="4" w:space="0" w:color="2A86CA" w:themeColor="accent1"/>
              <w:right w:val="single" w:sz="4" w:space="0" w:color="2A86CA" w:themeColor="accent1"/>
            </w:tcBorders>
            <w:shd w:val="clear" w:color="auto" w:fill="FFFFFF" w:themeFill="background1"/>
          </w:tcPr>
          <w:p w14:paraId="7C70BA24" w14:textId="77777777" w:rsidR="00E550FD" w:rsidRPr="006D1EFA" w:rsidRDefault="00E550FD" w:rsidP="00E550FD">
            <w:pPr>
              <w:keepNext/>
              <w:keepLine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EFA">
              <w:t xml:space="preserve">Creación de protocolo para regular el modelo de relación entre BBVA y el Servicer Inmobiliario asociado a la gestión de </w:t>
            </w:r>
            <w:r>
              <w:t xml:space="preserve">la </w:t>
            </w:r>
            <w:r w:rsidRPr="006D1EFA">
              <w:t xml:space="preserve">postventa de inmuebles propiedad del Banco. </w:t>
            </w:r>
          </w:p>
        </w:tc>
      </w:tr>
    </w:tbl>
    <w:p w14:paraId="5C1D3EFE" w14:textId="77777777" w:rsidR="00E550FD" w:rsidRDefault="00E550FD" w:rsidP="00E550FD">
      <w:pPr>
        <w:keepNext/>
        <w:keepLines/>
        <w:ind w:left="-709"/>
      </w:pPr>
    </w:p>
    <w:p w14:paraId="6906822B" w14:textId="77777777" w:rsidR="00872694" w:rsidRPr="000D3BD2" w:rsidRDefault="00872694" w:rsidP="00613767">
      <w:pPr>
        <w:pStyle w:val="Ttulo1"/>
        <w:numPr>
          <w:ilvl w:val="0"/>
          <w:numId w:val="5"/>
        </w:numPr>
        <w:ind w:left="-284" w:hanging="425"/>
        <w:rPr>
          <w:b/>
          <w:sz w:val="24"/>
        </w:rPr>
      </w:pPr>
      <w:bookmarkStart w:id="3" w:name="_Toc44949255"/>
      <w:r w:rsidRPr="000D3BD2">
        <w:rPr>
          <w:b/>
          <w:sz w:val="24"/>
        </w:rPr>
        <w:t>Objetivo</w:t>
      </w:r>
      <w:bookmarkEnd w:id="2"/>
      <w:bookmarkEnd w:id="3"/>
    </w:p>
    <w:p w14:paraId="39BC9B0A" w14:textId="77777777" w:rsidR="00872694" w:rsidRDefault="00872694" w:rsidP="00CF7F6E">
      <w:pPr>
        <w:keepNext/>
        <w:keepLines/>
        <w:ind w:left="-709"/>
        <w:jc w:val="both"/>
      </w:pPr>
      <w:r w:rsidRPr="00370718">
        <w:t xml:space="preserve">El presente documento tiene como objetivo establecer y coordinar la operativa de comunicación, información y autorizaciones entre </w:t>
      </w:r>
      <w:r w:rsidRPr="00AA7554">
        <w:t xml:space="preserve">BBVA y Haya Real Estate, S.A.U (en adelante “Servicer”) relativo al proceso de gestión de </w:t>
      </w:r>
      <w:r>
        <w:t xml:space="preserve">la </w:t>
      </w:r>
      <w:r w:rsidRPr="00AA7554">
        <w:t xml:space="preserve">postventa sobre: </w:t>
      </w:r>
    </w:p>
    <w:p w14:paraId="1394AC4C" w14:textId="77777777" w:rsidR="00613767" w:rsidRPr="00AA7554" w:rsidRDefault="00613767" w:rsidP="00CF7F6E">
      <w:pPr>
        <w:keepNext/>
        <w:keepLines/>
        <w:ind w:left="-709"/>
        <w:jc w:val="both"/>
      </w:pPr>
    </w:p>
    <w:p w14:paraId="49A29508" w14:textId="77777777" w:rsidR="00872694" w:rsidRPr="00613767" w:rsidRDefault="00872694" w:rsidP="00613767">
      <w:pPr>
        <w:pStyle w:val="Prrafodelista"/>
        <w:keepNext/>
        <w:keepLines/>
        <w:numPr>
          <w:ilvl w:val="0"/>
          <w:numId w:val="28"/>
        </w:numPr>
        <w:ind w:left="-142" w:hanging="567"/>
        <w:jc w:val="both"/>
      </w:pPr>
      <w:r w:rsidRPr="00613767">
        <w:t xml:space="preserve">Activos cuya promoción se desarrolla a través del Servicer en nombre de BBVA y con carácter previo a su entrega a los clientes finales. </w:t>
      </w:r>
    </w:p>
    <w:p w14:paraId="7D3C414C" w14:textId="77777777" w:rsidR="00872694" w:rsidRPr="00613767" w:rsidRDefault="00872694" w:rsidP="00613767">
      <w:pPr>
        <w:pStyle w:val="Prrafodelista"/>
        <w:keepNext/>
        <w:keepLines/>
        <w:numPr>
          <w:ilvl w:val="0"/>
          <w:numId w:val="28"/>
        </w:numPr>
        <w:ind w:left="-142" w:hanging="567"/>
        <w:jc w:val="both"/>
      </w:pPr>
      <w:r w:rsidRPr="00613767">
        <w:t xml:space="preserve">Activos en balance de cualquiera de las Sociedades del Grupo BBVA comercializados por el Servicer, con posterioridad a su entrega a los clientes finales. </w:t>
      </w:r>
    </w:p>
    <w:p w14:paraId="0BA2084F" w14:textId="41210B30" w:rsidR="00872694" w:rsidRPr="00613767" w:rsidRDefault="00354BC1" w:rsidP="00613767">
      <w:pPr>
        <w:pStyle w:val="Prrafodelista"/>
        <w:keepNext/>
        <w:keepLines/>
        <w:numPr>
          <w:ilvl w:val="0"/>
          <w:numId w:val="28"/>
        </w:numPr>
        <w:ind w:left="-142" w:hanging="567"/>
        <w:jc w:val="both"/>
      </w:pPr>
      <w:r w:rsidRPr="00613767">
        <w:t>Asimismo,</w:t>
      </w:r>
      <w:r w:rsidR="00872694" w:rsidRPr="00613767">
        <w:t xml:space="preserve"> el alcance del presente protocolo incluye la gestión y resolución en forma y plazo de incidencias técnicas asumidas como sociedad promotora y/o comercializadora de activos inmobiliarios por el Grupo BBVA con posterioridad a su venta a terceros y sean pertenecientes al perímetro de gestión del Servicer</w:t>
      </w:r>
      <w:r w:rsidR="00F50A3F" w:rsidRPr="00613767">
        <w:t xml:space="preserve"> (amparado bajo el SLA)</w:t>
      </w:r>
      <w:r w:rsidR="00872694" w:rsidRPr="00613767">
        <w:t>.</w:t>
      </w:r>
    </w:p>
    <w:p w14:paraId="62257060" w14:textId="77777777" w:rsidR="00872694" w:rsidRDefault="00872694" w:rsidP="00CF7F6E">
      <w:pPr>
        <w:keepNext/>
        <w:keepLines/>
        <w:ind w:left="-709"/>
        <w:jc w:val="both"/>
      </w:pPr>
    </w:p>
    <w:p w14:paraId="5154FD1F" w14:textId="77777777" w:rsidR="00872694" w:rsidRPr="00370718" w:rsidRDefault="00872694" w:rsidP="00CF7F6E">
      <w:pPr>
        <w:keepNext/>
        <w:keepLines/>
        <w:ind w:left="-709"/>
        <w:jc w:val="both"/>
      </w:pPr>
      <w:r>
        <w:t>Se e</w:t>
      </w:r>
      <w:r w:rsidRPr="00370718">
        <w:t xml:space="preserve">xcluyen los activos asociados a las distintas políticas del Grupo BBVA relativas </w:t>
      </w:r>
      <w:r>
        <w:t>a activos en régimen de arrendamiento y activos de</w:t>
      </w:r>
      <w:r w:rsidRPr="00370718">
        <w:t xml:space="preserve"> alquiler de Vivienda Social.</w:t>
      </w:r>
    </w:p>
    <w:p w14:paraId="447F7DD4" w14:textId="77777777" w:rsidR="00872694" w:rsidRPr="00A86815" w:rsidRDefault="00872694" w:rsidP="00CF7F6E">
      <w:pPr>
        <w:keepNext/>
        <w:keepLines/>
        <w:ind w:left="-709"/>
        <w:jc w:val="both"/>
        <w:rPr>
          <w:highlight w:val="yellow"/>
        </w:rPr>
      </w:pPr>
    </w:p>
    <w:p w14:paraId="6A0B199C" w14:textId="77777777" w:rsidR="00872694" w:rsidRPr="00370718" w:rsidRDefault="00872694" w:rsidP="00CF7F6E">
      <w:pPr>
        <w:keepNext/>
        <w:keepLines/>
        <w:ind w:left="-709"/>
        <w:jc w:val="both"/>
      </w:pPr>
      <w:r w:rsidRPr="00370718">
        <w:t>Este documento resulta de obligado cumplimiento para todos los intervinientes y deberá evolucionar para desarrollar en mayor medida la relación entre BBVA y el Servicer. Cualquier cambio que supongan modificaciones en el proceso deberá ser refrendado en nuevas versiones del mismo.</w:t>
      </w:r>
    </w:p>
    <w:p w14:paraId="46E26F95" w14:textId="77777777" w:rsidR="00872694" w:rsidRPr="00B73E4B" w:rsidRDefault="00872694" w:rsidP="00CF7F6E">
      <w:pPr>
        <w:keepNext/>
        <w:keepLines/>
        <w:jc w:val="both"/>
        <w:rPr>
          <w:rFonts w:asciiTheme="majorHAnsi" w:hAnsiTheme="majorHAnsi"/>
          <w:highlight w:val="yellow"/>
        </w:rPr>
      </w:pPr>
    </w:p>
    <w:p w14:paraId="77DF6EE8" w14:textId="77777777" w:rsidR="00872694" w:rsidRPr="000D3BD2" w:rsidRDefault="00872694" w:rsidP="00613767">
      <w:pPr>
        <w:pStyle w:val="Ttulo1"/>
        <w:numPr>
          <w:ilvl w:val="0"/>
          <w:numId w:val="5"/>
        </w:numPr>
        <w:ind w:left="-284" w:hanging="425"/>
        <w:rPr>
          <w:b/>
          <w:sz w:val="24"/>
        </w:rPr>
      </w:pPr>
      <w:bookmarkStart w:id="4" w:name="_Toc44949256"/>
      <w:r w:rsidRPr="000D3BD2">
        <w:rPr>
          <w:b/>
          <w:sz w:val="24"/>
        </w:rPr>
        <w:t>Medios de comunicación</w:t>
      </w:r>
      <w:bookmarkEnd w:id="4"/>
      <w:r w:rsidRPr="000D3BD2">
        <w:rPr>
          <w:b/>
          <w:sz w:val="24"/>
        </w:rPr>
        <w:t xml:space="preserve">  </w:t>
      </w:r>
    </w:p>
    <w:p w14:paraId="24293526" w14:textId="77777777" w:rsidR="00776430" w:rsidRDefault="00605829" w:rsidP="00776430">
      <w:pPr>
        <w:pStyle w:val="Prrafodelista"/>
        <w:ind w:left="-709"/>
        <w:jc w:val="both"/>
      </w:pPr>
      <w:r>
        <w:t xml:space="preserve">Se </w:t>
      </w:r>
      <w:r w:rsidR="00872694" w:rsidRPr="00370718">
        <w:t xml:space="preserve">establece como canales de comunicación en el caso de BBVA el buzón </w:t>
      </w:r>
      <w:hyperlink r:id="rId8" w:history="1">
        <w:r w:rsidR="00872694" w:rsidRPr="005647BB">
          <w:rPr>
            <w:rStyle w:val="Hipervnculo"/>
            <w:color w:val="0070C0"/>
          </w:rPr>
          <w:t>egi.gestionactivos@bbva.com</w:t>
        </w:r>
      </w:hyperlink>
      <w:r w:rsidR="00872694" w:rsidRPr="008D380A">
        <w:rPr>
          <w:rStyle w:val="Hipervnculo"/>
          <w:color w:val="auto"/>
          <w:u w:val="none"/>
        </w:rPr>
        <w:t xml:space="preserve"> (en adelante Buzón BBVA)</w:t>
      </w:r>
      <w:r w:rsidR="00872694" w:rsidRPr="008D380A">
        <w:t xml:space="preserve"> </w:t>
      </w:r>
      <w:r w:rsidR="00872694" w:rsidRPr="00E33D97">
        <w:t xml:space="preserve">a través del cual  se </w:t>
      </w:r>
      <w:r w:rsidR="00872694" w:rsidRPr="00370718">
        <w:t xml:space="preserve">remitirá cualquier comunicación de información requerida </w:t>
      </w:r>
      <w:r w:rsidR="00872694">
        <w:t xml:space="preserve">, </w:t>
      </w:r>
      <w:r w:rsidR="00872694" w:rsidRPr="00370718">
        <w:t xml:space="preserve">petición de autorizaciones </w:t>
      </w:r>
      <w:r w:rsidR="00872694">
        <w:t xml:space="preserve">a </w:t>
      </w:r>
      <w:r w:rsidR="00872694" w:rsidRPr="00370718">
        <w:t xml:space="preserve">BBVA relativas a la gestión de activos </w:t>
      </w:r>
      <w:r w:rsidR="00872694">
        <w:t xml:space="preserve">Post-Venta </w:t>
      </w:r>
      <w:r w:rsidR="00872694" w:rsidRPr="00370718">
        <w:t>que se encuentran fuera de las atribuciones establecidas en el protocolo</w:t>
      </w:r>
      <w:r w:rsidR="00872694">
        <w:t xml:space="preserve"> y el Reporting de activ</w:t>
      </w:r>
      <w:r w:rsidR="00E33D97">
        <w:t>idad.</w:t>
      </w:r>
    </w:p>
    <w:p w14:paraId="51AEBAEF" w14:textId="4C96D6AC" w:rsidR="000D3BD2" w:rsidRPr="00776430" w:rsidRDefault="00872694" w:rsidP="00776430">
      <w:pPr>
        <w:pStyle w:val="Prrafodelista"/>
        <w:ind w:left="-709"/>
        <w:jc w:val="both"/>
        <w:rPr>
          <w:color w:val="0070C0"/>
          <w:u w:val="single"/>
        </w:rPr>
      </w:pPr>
      <w:r w:rsidRPr="00370718">
        <w:t>En el caso del Servicer el canal de comunicación será</w:t>
      </w:r>
      <w:r w:rsidR="00776430">
        <w:t xml:space="preserve"> </w:t>
      </w:r>
      <w:hyperlink r:id="rId9" w:history="1">
        <w:r w:rsidR="00776430" w:rsidRPr="00545C3E">
          <w:rPr>
            <w:rStyle w:val="Hipervnculo"/>
          </w:rPr>
          <w:t>desarrolloinmobiliario@haya.es</w:t>
        </w:r>
      </w:hyperlink>
      <w:r w:rsidR="00776430" w:rsidRPr="00776430">
        <w:rPr>
          <w:rStyle w:val="Hipervnculo"/>
          <w:color w:val="0070C0"/>
          <w:u w:val="none"/>
        </w:rPr>
        <w:t xml:space="preserve"> </w:t>
      </w:r>
      <w:r w:rsidR="00776430" w:rsidRPr="00776430">
        <w:t>si se trata de promociones</w:t>
      </w:r>
      <w:r w:rsidR="00776430">
        <w:rPr>
          <w:rStyle w:val="Hipervnculo"/>
          <w:color w:val="0070C0"/>
        </w:rPr>
        <w:t xml:space="preserve"> </w:t>
      </w:r>
      <w:r w:rsidR="00776430" w:rsidRPr="00776430">
        <w:t xml:space="preserve">o </w:t>
      </w:r>
      <w:hyperlink r:id="rId10" w:history="1">
        <w:r w:rsidR="00776430" w:rsidRPr="00776430">
          <w:rPr>
            <w:rStyle w:val="Hipervnculo"/>
            <w:color w:val="0070C0"/>
          </w:rPr>
          <w:t>serviciosfacility@haya.es</w:t>
        </w:r>
      </w:hyperlink>
      <w:r w:rsidR="00776430" w:rsidRPr="00776430">
        <w:rPr>
          <w:rStyle w:val="Hipervnculo"/>
          <w:rFonts w:ascii="Segoe UI" w:hAnsi="Segoe UI" w:cs="Segoe UI"/>
          <w:sz w:val="21"/>
          <w:szCs w:val="21"/>
          <w:u w:val="none"/>
          <w:lang w:eastAsia="es-ES"/>
        </w:rPr>
        <w:t xml:space="preserve"> </w:t>
      </w:r>
      <w:r w:rsidR="00776430" w:rsidRPr="00776430">
        <w:t>para asuntos de mantenimiento</w:t>
      </w:r>
      <w:r w:rsidR="00776430">
        <w:t xml:space="preserve"> (</w:t>
      </w:r>
      <w:r w:rsidRPr="006F349C">
        <w:t xml:space="preserve">en adelante Buzón Servicer) </w:t>
      </w:r>
      <w:r w:rsidRPr="00370718">
        <w:t>al que se enviará cualquier petición de información o autorizaciones para determinadas actuaciones.</w:t>
      </w:r>
    </w:p>
    <w:p w14:paraId="37463805" w14:textId="77777777" w:rsidR="00DD0F36" w:rsidRPr="00DD0F36" w:rsidRDefault="00DD0F36" w:rsidP="00DD0F36"/>
    <w:p w14:paraId="1BDFDF73" w14:textId="77777777" w:rsidR="00872694" w:rsidRPr="000D3BD2" w:rsidRDefault="00872694" w:rsidP="00613767">
      <w:pPr>
        <w:pStyle w:val="Ttulo1"/>
        <w:numPr>
          <w:ilvl w:val="0"/>
          <w:numId w:val="5"/>
        </w:numPr>
        <w:ind w:left="-284" w:hanging="425"/>
        <w:rPr>
          <w:b/>
          <w:sz w:val="24"/>
        </w:rPr>
      </w:pPr>
      <w:bookmarkStart w:id="5" w:name="_Toc44949257"/>
      <w:r w:rsidRPr="000D3BD2">
        <w:rPr>
          <w:b/>
          <w:sz w:val="24"/>
        </w:rPr>
        <w:lastRenderedPageBreak/>
        <w:t>Detalle de la operativa</w:t>
      </w:r>
      <w:bookmarkEnd w:id="5"/>
      <w:r w:rsidRPr="000D3BD2">
        <w:rPr>
          <w:b/>
          <w:sz w:val="24"/>
        </w:rPr>
        <w:t xml:space="preserve">  </w:t>
      </w:r>
    </w:p>
    <w:p w14:paraId="768C0B20" w14:textId="77777777" w:rsidR="00872694" w:rsidRDefault="00872694" w:rsidP="00CF7F6E">
      <w:pPr>
        <w:keepNext/>
        <w:keepLines/>
        <w:ind w:left="-709"/>
        <w:jc w:val="both"/>
      </w:pPr>
      <w:r w:rsidRPr="00370718">
        <w:t xml:space="preserve">El proceso de gestión </w:t>
      </w:r>
      <w:r>
        <w:t xml:space="preserve">postventa se divide en dos fases:   </w:t>
      </w:r>
    </w:p>
    <w:p w14:paraId="7593CE59" w14:textId="77777777" w:rsidR="00872694" w:rsidRDefault="00872694" w:rsidP="00CF7F6E">
      <w:pPr>
        <w:pStyle w:val="Prrafodelista"/>
        <w:keepNext/>
        <w:keepLines/>
        <w:numPr>
          <w:ilvl w:val="0"/>
          <w:numId w:val="14"/>
        </w:numPr>
        <w:ind w:left="-142" w:hanging="425"/>
        <w:jc w:val="both"/>
      </w:pPr>
      <w:r>
        <w:t xml:space="preserve">Revisión técnica de la Promoción desarrollada y/o comercializada por el Grupo BBVA y antes de su entrega al cliente. </w:t>
      </w:r>
    </w:p>
    <w:p w14:paraId="426012C2" w14:textId="77777777" w:rsidR="00872694" w:rsidRPr="00A10E60" w:rsidRDefault="00872694" w:rsidP="00CF7F6E">
      <w:pPr>
        <w:pStyle w:val="Prrafodelista"/>
        <w:keepNext/>
        <w:keepLines/>
        <w:numPr>
          <w:ilvl w:val="0"/>
          <w:numId w:val="14"/>
        </w:numPr>
        <w:ind w:left="-142" w:hanging="425"/>
        <w:jc w:val="both"/>
      </w:pPr>
      <w:r>
        <w:t>Con posterioridad a la formalización de la venta a tercero y durante el plazo de garantía fijada en la legislación aplicable a dicho activo;</w:t>
      </w:r>
      <w:r w:rsidRPr="00370718">
        <w:t xml:space="preserve"> a partir de ese momento, es el Servicer, el responsable de las tareas de gestión de</w:t>
      </w:r>
      <w:r>
        <w:t xml:space="preserve"> resolución de </w:t>
      </w:r>
      <w:r w:rsidRPr="00370718">
        <w:t>l</w:t>
      </w:r>
      <w:r>
        <w:t xml:space="preserve">as incidencias técnicas, quejas y reclamaciones de </w:t>
      </w:r>
      <w:r w:rsidRPr="00A10E60">
        <w:t>cliente</w:t>
      </w:r>
      <w:r>
        <w:t>s</w:t>
      </w:r>
      <w:r w:rsidRPr="00A10E60">
        <w:t xml:space="preserve"> </w:t>
      </w:r>
      <w:r>
        <w:t>que se presenten vía judicial o extrajudicial (</w:t>
      </w:r>
      <w:r w:rsidRPr="00A10E60">
        <w:rPr>
          <w:rFonts w:cstheme="minorHAnsi"/>
          <w:bCs/>
          <w:kern w:val="32"/>
        </w:rPr>
        <w:t>dentro de los plazos establecidos en la Ley de Ordenación de Edificación</w:t>
      </w:r>
      <w:r>
        <w:rPr>
          <w:rFonts w:cstheme="minorHAnsi"/>
          <w:bCs/>
          <w:kern w:val="32"/>
        </w:rPr>
        <w:t>)</w:t>
      </w:r>
      <w:r>
        <w:rPr>
          <w:rFonts w:cstheme="minorHAnsi"/>
          <w:bCs/>
          <w:kern w:val="32"/>
          <w:sz w:val="20"/>
          <w:szCs w:val="26"/>
        </w:rPr>
        <w:t xml:space="preserve">. </w:t>
      </w:r>
    </w:p>
    <w:p w14:paraId="7ABC8200" w14:textId="77777777" w:rsidR="00872694" w:rsidRPr="00A86815" w:rsidRDefault="00872694" w:rsidP="00CF7F6E">
      <w:pPr>
        <w:keepNext/>
        <w:keepLines/>
        <w:ind w:left="-709"/>
        <w:jc w:val="both"/>
        <w:rPr>
          <w:highlight w:val="yellow"/>
        </w:rPr>
      </w:pPr>
    </w:p>
    <w:p w14:paraId="2CD43EED" w14:textId="77777777" w:rsidR="00872694" w:rsidRDefault="00872694" w:rsidP="00CF7F6E">
      <w:pPr>
        <w:keepNext/>
        <w:keepLines/>
        <w:ind w:left="-709"/>
        <w:jc w:val="both"/>
      </w:pPr>
      <w:r w:rsidRPr="00270F13">
        <w:t xml:space="preserve">Los Activos se clasifican </w:t>
      </w:r>
      <w:r>
        <w:t xml:space="preserve">en función del régimen de responsabilidades y garantías aplicables según legislación vigente </w:t>
      </w:r>
      <w:r w:rsidRPr="00270F13">
        <w:t>en:</w:t>
      </w:r>
    </w:p>
    <w:p w14:paraId="657EC690" w14:textId="77777777" w:rsidR="00872694" w:rsidRPr="00270F13" w:rsidRDefault="00872694" w:rsidP="00CF7F6E">
      <w:pPr>
        <w:keepNext/>
        <w:keepLines/>
        <w:ind w:left="-709"/>
        <w:jc w:val="both"/>
      </w:pPr>
    </w:p>
    <w:p w14:paraId="4B94728E" w14:textId="77777777" w:rsidR="00872694" w:rsidRDefault="00872694" w:rsidP="00CF7F6E">
      <w:pPr>
        <w:pStyle w:val="Prrafodelista"/>
        <w:keepNext/>
        <w:keepLines/>
        <w:numPr>
          <w:ilvl w:val="0"/>
          <w:numId w:val="7"/>
        </w:numPr>
        <w:ind w:left="-284" w:hanging="425"/>
        <w:jc w:val="both"/>
      </w:pPr>
      <w:r w:rsidRPr="00F43D9C">
        <w:rPr>
          <w:b/>
        </w:rPr>
        <w:t>Activos de Obra Nueva de Primera Transmisión</w:t>
      </w:r>
      <w:r>
        <w:t>.</w:t>
      </w:r>
      <w:r w:rsidRPr="00270F13">
        <w:t xml:space="preserve"> </w:t>
      </w:r>
      <w:r>
        <w:t>Son los activos promovidos y trasmitidos por cualquiera de las sociedades del Grupo BBVA a los clientes tras la terminación de la construcción y legalización. Es de aplicación la Ley de Ordenación de la Edificación (LOE).</w:t>
      </w:r>
    </w:p>
    <w:p w14:paraId="18FB8F2D" w14:textId="77777777" w:rsidR="00872694" w:rsidRDefault="00872694" w:rsidP="00CF7F6E">
      <w:pPr>
        <w:pStyle w:val="Prrafodelista"/>
        <w:keepNext/>
        <w:keepLines/>
        <w:numPr>
          <w:ilvl w:val="0"/>
          <w:numId w:val="7"/>
        </w:numPr>
        <w:ind w:left="-284" w:hanging="425"/>
        <w:jc w:val="both"/>
      </w:pPr>
      <w:r w:rsidRPr="00F43D9C">
        <w:rPr>
          <w:b/>
        </w:rPr>
        <w:t>Activos de Obra Nueva de Segunda Transmisión</w:t>
      </w:r>
      <w:r>
        <w:t>. Son los activos comercializados y trasmitidos a los clientes por cualquiera de las sociedades del Grupo BBVA. Es de aplicación el Código Civil si ya ha vencido el plazo de garantías de la LOE.</w:t>
      </w:r>
    </w:p>
    <w:p w14:paraId="05B05FCF" w14:textId="77777777" w:rsidR="00872694" w:rsidRDefault="00872694" w:rsidP="00CF7F6E">
      <w:pPr>
        <w:pStyle w:val="Prrafodelista"/>
        <w:keepNext/>
        <w:keepLines/>
        <w:numPr>
          <w:ilvl w:val="0"/>
          <w:numId w:val="7"/>
        </w:numPr>
        <w:ind w:left="-284" w:hanging="425"/>
        <w:jc w:val="both"/>
      </w:pPr>
      <w:r w:rsidRPr="00F43D9C">
        <w:rPr>
          <w:b/>
        </w:rPr>
        <w:t>Activos de Segunda Mano</w:t>
      </w:r>
      <w:r>
        <w:t>. Es de aplicación el Código Civil.</w:t>
      </w:r>
    </w:p>
    <w:p w14:paraId="5A582CFD" w14:textId="77777777" w:rsidR="00872694" w:rsidRDefault="00872694" w:rsidP="00CF7F6E">
      <w:pPr>
        <w:keepNext/>
        <w:keepLines/>
        <w:ind w:left="-709"/>
        <w:jc w:val="both"/>
      </w:pPr>
    </w:p>
    <w:p w14:paraId="03C2C6DF" w14:textId="77777777" w:rsidR="00872694" w:rsidRPr="00613767" w:rsidRDefault="00872694" w:rsidP="00CF7F6E">
      <w:pPr>
        <w:keepNext/>
        <w:keepLines/>
        <w:ind w:left="-709"/>
        <w:jc w:val="both"/>
      </w:pPr>
      <w:r w:rsidRPr="00613767">
        <w:t>Para todos los activos es de aplicación la Ley General de Defensa de los Consumidores y Usuarios RD 1/2007 de 16 de Noviembre.</w:t>
      </w:r>
      <w:r w:rsidR="006C4EA4" w:rsidRPr="00613767">
        <w:t xml:space="preserve"> </w:t>
      </w:r>
      <w:r w:rsidR="00613767">
        <w:t xml:space="preserve"> </w:t>
      </w:r>
    </w:p>
    <w:p w14:paraId="62540E22" w14:textId="77777777" w:rsidR="00EB3CBF" w:rsidRDefault="00EB3CBF" w:rsidP="00EB3CBF">
      <w:pPr>
        <w:keepNext/>
        <w:keepLines/>
        <w:ind w:left="-709"/>
        <w:jc w:val="both"/>
      </w:pPr>
    </w:p>
    <w:p w14:paraId="4DAF263C" w14:textId="77777777" w:rsidR="00657B59" w:rsidRPr="006C4EA4" w:rsidRDefault="00613767" w:rsidP="00EB3CBF">
      <w:pPr>
        <w:keepNext/>
        <w:keepLines/>
        <w:ind w:left="-709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  <w:color w:val="002060"/>
        </w:rPr>
        <w:t xml:space="preserve">4.1 </w:t>
      </w:r>
      <w:r w:rsidR="00657B59" w:rsidRPr="006C4EA4">
        <w:rPr>
          <w:rFonts w:asciiTheme="majorHAnsi" w:hAnsiTheme="majorHAnsi"/>
          <w:b/>
          <w:color w:val="002060"/>
        </w:rPr>
        <w:t>Solicitud de autorizaciones por parte del Servicer</w:t>
      </w:r>
    </w:p>
    <w:p w14:paraId="535ABD9D" w14:textId="77777777" w:rsidR="000D3BD2" w:rsidRDefault="00872694" w:rsidP="00CF7F6E">
      <w:pPr>
        <w:keepNext/>
        <w:keepLines/>
        <w:ind w:left="-709"/>
        <w:jc w:val="both"/>
      </w:pPr>
      <w:r w:rsidRPr="00AC401F">
        <w:t>El Servicer deberá informar y</w:t>
      </w:r>
      <w:r>
        <w:t>,</w:t>
      </w:r>
      <w:r w:rsidRPr="00AC401F">
        <w:t xml:space="preserve"> en su caso</w:t>
      </w:r>
      <w:r>
        <w:t>,</w:t>
      </w:r>
      <w:r w:rsidRPr="00AC401F">
        <w:t xml:space="preserve"> solicitar autorización a la Unidad de Estrategia y Gestión</w:t>
      </w:r>
      <w:r>
        <w:t xml:space="preserve"> Inmobiliaria de</w:t>
      </w:r>
      <w:r w:rsidRPr="00AC401F">
        <w:t xml:space="preserve"> BBVA </w:t>
      </w:r>
      <w:r>
        <w:t xml:space="preserve">(EGI) </w:t>
      </w:r>
      <w:r w:rsidRPr="00AC401F">
        <w:t xml:space="preserve">en todas aquellas actuaciones relativas a la gestión </w:t>
      </w:r>
      <w:r>
        <w:t>postventa y atención al cliente</w:t>
      </w:r>
      <w:r w:rsidRPr="00AC401F">
        <w:t xml:space="preserve"> que se encuentren </w:t>
      </w:r>
      <w:r w:rsidRPr="000C4C96">
        <w:t>fuera de la delegación otorgada al Servicer, en particular:</w:t>
      </w:r>
    </w:p>
    <w:p w14:paraId="5B290680" w14:textId="77777777" w:rsidR="00657B59" w:rsidRPr="009E3590" w:rsidRDefault="00657B59" w:rsidP="00613767">
      <w:pPr>
        <w:pStyle w:val="Prrafodelista"/>
        <w:keepNext/>
        <w:keepLines/>
        <w:numPr>
          <w:ilvl w:val="0"/>
          <w:numId w:val="26"/>
        </w:numPr>
        <w:ind w:left="-284" w:hanging="283"/>
        <w:jc w:val="both"/>
      </w:pPr>
      <w:r w:rsidRPr="009E3590">
        <w:rPr>
          <w:b/>
          <w:bCs/>
        </w:rPr>
        <w:t>Autorización de liberación de Provisiones</w:t>
      </w:r>
      <w:r w:rsidRPr="009E3590">
        <w:t xml:space="preserve"> retenidas como garantía al constructor en Promociones del Grupo BBVA.</w:t>
      </w:r>
      <w:r w:rsidRPr="009E3590">
        <w:tab/>
      </w:r>
    </w:p>
    <w:p w14:paraId="4FEB4DDE" w14:textId="77777777" w:rsidR="00657B59" w:rsidRPr="00D241BB" w:rsidRDefault="00657B59" w:rsidP="00613767">
      <w:pPr>
        <w:pStyle w:val="Prrafodelista"/>
        <w:keepNext/>
        <w:keepLines/>
        <w:numPr>
          <w:ilvl w:val="0"/>
          <w:numId w:val="26"/>
        </w:numPr>
        <w:ind w:left="-284" w:hanging="283"/>
        <w:jc w:val="both"/>
      </w:pPr>
      <w:r w:rsidRPr="00D241BB">
        <w:rPr>
          <w:b/>
          <w:bCs/>
        </w:rPr>
        <w:t>Autorización de encargo de informes</w:t>
      </w:r>
      <w:r w:rsidRPr="00D241BB">
        <w:t xml:space="preserve"> y gestión técnica externa que estén fuera de delegación del Servicer.</w:t>
      </w:r>
    </w:p>
    <w:p w14:paraId="111710AC" w14:textId="77777777" w:rsidR="00657B59" w:rsidRPr="009E3590" w:rsidRDefault="00657B59" w:rsidP="00613767">
      <w:pPr>
        <w:pStyle w:val="Prrafodelista"/>
        <w:keepNext/>
        <w:keepLines/>
        <w:numPr>
          <w:ilvl w:val="0"/>
          <w:numId w:val="26"/>
        </w:numPr>
        <w:ind w:left="-284" w:hanging="283"/>
        <w:jc w:val="both"/>
      </w:pPr>
      <w:r w:rsidRPr="00D241BB">
        <w:rPr>
          <w:b/>
          <w:bCs/>
        </w:rPr>
        <w:t xml:space="preserve">Autorización de </w:t>
      </w:r>
      <w:r w:rsidRPr="009E3590">
        <w:rPr>
          <w:b/>
          <w:bCs/>
        </w:rPr>
        <w:t>gastos de reparación</w:t>
      </w:r>
      <w:r w:rsidRPr="009E3590">
        <w:t xml:space="preserve"> y subsanación de incidencias y reclamaciones que estén fuera de delegación del Servicer.</w:t>
      </w:r>
      <w:r w:rsidRPr="009E3590">
        <w:tab/>
      </w:r>
    </w:p>
    <w:p w14:paraId="3CE753DA" w14:textId="77777777" w:rsidR="00657B59" w:rsidRPr="009E3590" w:rsidRDefault="00657B59" w:rsidP="00613767">
      <w:pPr>
        <w:pStyle w:val="Prrafodelista"/>
        <w:keepNext/>
        <w:keepLines/>
        <w:numPr>
          <w:ilvl w:val="0"/>
          <w:numId w:val="26"/>
        </w:numPr>
        <w:ind w:left="-284" w:hanging="283"/>
        <w:jc w:val="both"/>
      </w:pPr>
      <w:r w:rsidRPr="009E3590">
        <w:rPr>
          <w:b/>
          <w:bCs/>
        </w:rPr>
        <w:t>Autorización de pagos a terceros</w:t>
      </w:r>
      <w:r w:rsidRPr="009E3590">
        <w:t xml:space="preserve"> por Servicios Técnicos Externos de urgencia que estén fuera de delegación del Servicer.</w:t>
      </w:r>
      <w:r>
        <w:t xml:space="preserve"> </w:t>
      </w:r>
    </w:p>
    <w:p w14:paraId="1188A2F9" w14:textId="77777777" w:rsidR="00657B59" w:rsidRDefault="00657B59" w:rsidP="00CF7F6E">
      <w:pPr>
        <w:keepNext/>
        <w:keepLines/>
        <w:ind w:left="-709"/>
        <w:jc w:val="both"/>
      </w:pPr>
    </w:p>
    <w:p w14:paraId="41E0D697" w14:textId="77777777" w:rsidR="00872694" w:rsidRPr="00F778E7" w:rsidRDefault="00872694" w:rsidP="00CF7F6E">
      <w:pPr>
        <w:keepNext/>
        <w:keepLines/>
        <w:ind w:left="-709"/>
        <w:jc w:val="both"/>
      </w:pPr>
      <w:r w:rsidRPr="00F778E7">
        <w:t>Cualquier solicitud o envío de información al buzón deberá ir codificada de acuerdo al detalle de la operativa antes indicado, es decir, se mencionará en el asunto a que se refiere y seguidamente la petición en cuestión.</w:t>
      </w:r>
    </w:p>
    <w:p w14:paraId="1C98B73E" w14:textId="77777777" w:rsidR="00AE6E04" w:rsidRDefault="00AE6E04" w:rsidP="005647BB">
      <w:pPr>
        <w:keepNext/>
        <w:keepLines/>
        <w:jc w:val="both"/>
      </w:pPr>
    </w:p>
    <w:p w14:paraId="195F261B" w14:textId="77777777" w:rsidR="00763DAE" w:rsidRDefault="00763DAE" w:rsidP="005647BB">
      <w:pPr>
        <w:keepNext/>
        <w:keepLines/>
        <w:jc w:val="both"/>
      </w:pPr>
    </w:p>
    <w:p w14:paraId="29BA9566" w14:textId="77777777" w:rsidR="00872694" w:rsidRPr="00605829" w:rsidRDefault="00E33D97" w:rsidP="00E33D97">
      <w:pPr>
        <w:keepNext/>
        <w:keepLines/>
        <w:ind w:left="-709"/>
        <w:jc w:val="both"/>
        <w:rPr>
          <w:b/>
        </w:rPr>
      </w:pPr>
      <w:r w:rsidRPr="00605829">
        <w:rPr>
          <w:b/>
        </w:rPr>
        <w:t>Desarrollo:</w:t>
      </w:r>
    </w:p>
    <w:p w14:paraId="760235A8" w14:textId="77777777" w:rsidR="00872694" w:rsidRPr="0017719D" w:rsidRDefault="00872694" w:rsidP="00613767">
      <w:pPr>
        <w:pStyle w:val="Prrafodelista"/>
        <w:keepNext/>
        <w:keepLines/>
        <w:numPr>
          <w:ilvl w:val="0"/>
          <w:numId w:val="27"/>
        </w:numPr>
        <w:ind w:left="-284" w:hanging="283"/>
        <w:jc w:val="both"/>
        <w:rPr>
          <w:b/>
          <w:color w:val="002060"/>
        </w:rPr>
      </w:pPr>
      <w:r w:rsidRPr="00CC5321">
        <w:rPr>
          <w:b/>
          <w:color w:val="002060"/>
        </w:rPr>
        <w:lastRenderedPageBreak/>
        <w:t>Autorización de la liberación de Provisiones retenidas como garantía al constructor</w:t>
      </w:r>
      <w:r>
        <w:rPr>
          <w:b/>
          <w:color w:val="002060"/>
        </w:rPr>
        <w:t>. Promociones Grupo BBVA</w:t>
      </w:r>
      <w:r w:rsidRPr="0017719D">
        <w:t>.</w:t>
      </w:r>
    </w:p>
    <w:p w14:paraId="4DD1526F" w14:textId="77777777" w:rsidR="00872694" w:rsidRPr="005B3E83" w:rsidRDefault="00872694" w:rsidP="00613767">
      <w:pPr>
        <w:pStyle w:val="Prrafodelista"/>
        <w:keepNext/>
        <w:keepLines/>
        <w:numPr>
          <w:ilvl w:val="0"/>
          <w:numId w:val="28"/>
        </w:numPr>
        <w:ind w:left="142" w:hanging="426"/>
        <w:jc w:val="both"/>
      </w:pPr>
      <w:r w:rsidRPr="00276A30">
        <w:t>Para la autorización de liberación de provisiones retenidas como garantía al constructor en los A</w:t>
      </w:r>
      <w:r w:rsidRPr="001622B2">
        <w:t xml:space="preserve">ctivos promovidos por el Grupo BBVA, el Servicer deberá remitir petición al buzón BBVA </w:t>
      </w:r>
      <w:r w:rsidRPr="005B3E83">
        <w:t xml:space="preserve">para la obtención de la autorización por parte de la Unidad de Estrategia y Gestión Inmobiliaria de BBVA.  </w:t>
      </w:r>
    </w:p>
    <w:p w14:paraId="72545572" w14:textId="77777777" w:rsidR="00872694" w:rsidRPr="003B06E8" w:rsidRDefault="00872694" w:rsidP="00613767">
      <w:pPr>
        <w:pStyle w:val="Prrafodelista"/>
        <w:keepNext/>
        <w:keepLines/>
        <w:numPr>
          <w:ilvl w:val="0"/>
          <w:numId w:val="28"/>
        </w:numPr>
        <w:ind w:left="142" w:hanging="426"/>
        <w:jc w:val="both"/>
      </w:pPr>
      <w:r w:rsidRPr="005B3E83">
        <w:t xml:space="preserve">La retención al constructor se devolverá cumplido el plazo de un año desde la firma del CFO, </w:t>
      </w:r>
      <w:r w:rsidRPr="001622B2">
        <w:t>para responder de los daños materiales por vicios o defectos de ejecución que afecten a elementos de terminación o acabado de las obras. La</w:t>
      </w:r>
      <w:r w:rsidRPr="005B3E83">
        <w:t xml:space="preserve"> petición de la retención deberá estar debidamente justificada y debe contener la conformidad por parte de Dirección Técnica de Operaciones del Servicer de que se han llevado a cabo la reparación y subsanación de los </w:t>
      </w:r>
      <w:r w:rsidRPr="001622B2">
        <w:t xml:space="preserve">defectos y/o remates recogidos en las listas de repasos de clientes y tienen su Vº Bº y/o en su caso del Vº Bº del servicio de Gestión Postventa del Servicer, y que no hay pendiente ninguna reserva a dicha devolución. </w:t>
      </w:r>
    </w:p>
    <w:p w14:paraId="285EF08D" w14:textId="77777777" w:rsidR="00872694" w:rsidRDefault="00872694" w:rsidP="00613767">
      <w:pPr>
        <w:pStyle w:val="Prrafodelista"/>
        <w:keepNext/>
        <w:keepLines/>
        <w:numPr>
          <w:ilvl w:val="0"/>
          <w:numId w:val="28"/>
        </w:numPr>
        <w:ind w:left="142" w:hanging="426"/>
        <w:jc w:val="both"/>
      </w:pPr>
      <w:r w:rsidRPr="003B06E8">
        <w:t xml:space="preserve">El plazo de comunicación de la autorización será de </w:t>
      </w:r>
      <w:r w:rsidRPr="001622B2">
        <w:t>10 días hábiles desde la fecha de petición</w:t>
      </w:r>
      <w:r>
        <w:t xml:space="preserve">. </w:t>
      </w:r>
    </w:p>
    <w:p w14:paraId="5D3F07B2" w14:textId="77777777" w:rsidR="00872694" w:rsidRPr="003B06E8" w:rsidRDefault="00872694" w:rsidP="00613767">
      <w:pPr>
        <w:pStyle w:val="Prrafodelista"/>
        <w:keepNext/>
        <w:keepLines/>
        <w:numPr>
          <w:ilvl w:val="0"/>
          <w:numId w:val="28"/>
        </w:numPr>
        <w:ind w:left="142" w:hanging="426"/>
        <w:jc w:val="both"/>
      </w:pPr>
      <w:r w:rsidRPr="003B06E8">
        <w:t xml:space="preserve">Cualquier documentación adicional o aclaración que se necesite será solicitada al buzón del Servicer a través del buzón </w:t>
      </w:r>
      <w:r w:rsidRPr="00D959CF">
        <w:t>BBVA</w:t>
      </w:r>
      <w:r w:rsidRPr="003B06E8">
        <w:t xml:space="preserve">. </w:t>
      </w:r>
    </w:p>
    <w:p w14:paraId="56171386" w14:textId="77777777" w:rsidR="00872694" w:rsidRPr="00A86815" w:rsidRDefault="00872694" w:rsidP="00CF7F6E">
      <w:pPr>
        <w:keepNext/>
        <w:keepLines/>
        <w:ind w:left="-491" w:hanging="218"/>
        <w:jc w:val="both"/>
        <w:rPr>
          <w:highlight w:val="yellow"/>
        </w:rPr>
      </w:pPr>
    </w:p>
    <w:p w14:paraId="4E54F00B" w14:textId="77777777" w:rsidR="00872694" w:rsidRPr="00CC5321" w:rsidRDefault="0023192A" w:rsidP="00613767">
      <w:pPr>
        <w:pStyle w:val="Prrafodelista"/>
        <w:keepNext/>
        <w:keepLines/>
        <w:numPr>
          <w:ilvl w:val="0"/>
          <w:numId w:val="27"/>
        </w:numPr>
        <w:ind w:left="-284" w:hanging="283"/>
        <w:rPr>
          <w:b/>
          <w:color w:val="002060"/>
        </w:rPr>
      </w:pPr>
      <w:r>
        <w:rPr>
          <w:b/>
          <w:color w:val="002060"/>
        </w:rPr>
        <w:t xml:space="preserve"> </w:t>
      </w:r>
      <w:r w:rsidR="00872694" w:rsidRPr="00CC5321">
        <w:rPr>
          <w:b/>
          <w:color w:val="002060"/>
        </w:rPr>
        <w:t xml:space="preserve">Autorización de encargo de </w:t>
      </w:r>
      <w:r w:rsidR="00872694">
        <w:rPr>
          <w:b/>
          <w:color w:val="002060"/>
        </w:rPr>
        <w:t>informe</w:t>
      </w:r>
      <w:r w:rsidR="00872694" w:rsidRPr="00CC5321">
        <w:rPr>
          <w:b/>
          <w:color w:val="002060"/>
        </w:rPr>
        <w:t xml:space="preserve">s </w:t>
      </w:r>
      <w:r w:rsidR="00872694">
        <w:rPr>
          <w:b/>
          <w:color w:val="002060"/>
        </w:rPr>
        <w:t xml:space="preserve">y gestión técnica externa </w:t>
      </w:r>
      <w:r w:rsidR="00872694" w:rsidRPr="00CC5321">
        <w:rPr>
          <w:b/>
          <w:color w:val="002060"/>
        </w:rPr>
        <w:t>que estén fuera de delegación del Servicer.</w:t>
      </w:r>
    </w:p>
    <w:p w14:paraId="5CACD098" w14:textId="113A9703" w:rsidR="00182C42" w:rsidRPr="005647BB" w:rsidRDefault="00872694" w:rsidP="005647BB">
      <w:pPr>
        <w:keepNext/>
        <w:keepLines/>
        <w:ind w:left="-284"/>
        <w:jc w:val="both"/>
      </w:pPr>
      <w:r w:rsidRPr="0017719D">
        <w:t xml:space="preserve">Para la autorización de </w:t>
      </w:r>
      <w:r>
        <w:t xml:space="preserve">encargos a </w:t>
      </w:r>
      <w:r w:rsidRPr="003B06E8">
        <w:t>Empresas de Gestión Postventa</w:t>
      </w:r>
      <w:r>
        <w:t xml:space="preserve"> de informes técnicos y gestión para las inspecciones previas y realización de listas de repasos y su seguimiento </w:t>
      </w:r>
      <w:r w:rsidRPr="0017719D">
        <w:t xml:space="preserve">en los Activos </w:t>
      </w:r>
      <w:r>
        <w:t>de Obra Nueva Primera Trasmisión promovidos por el Grupo BBVA</w:t>
      </w:r>
      <w:r w:rsidRPr="0017719D">
        <w:t xml:space="preserve">, </w:t>
      </w:r>
      <w:r>
        <w:t xml:space="preserve">y de informes técnicos de incidencias en Activos de </w:t>
      </w:r>
      <w:r w:rsidRPr="000D6C6B">
        <w:t xml:space="preserve">Obra Nueva de Segunda Transmisión </w:t>
      </w:r>
      <w:r>
        <w:t>y Activos de Segunda Mano, que estén fuera de la delegación d</w:t>
      </w:r>
      <w:r w:rsidRPr="0017719D">
        <w:t>el Servicer</w:t>
      </w:r>
      <w:r>
        <w:t>, éste</w:t>
      </w:r>
      <w:r w:rsidRPr="0017719D">
        <w:t xml:space="preserve"> deberá remitir petición </w:t>
      </w:r>
      <w:r>
        <w:t xml:space="preserve">debidamente justificada </w:t>
      </w:r>
      <w:r w:rsidRPr="0017719D">
        <w:t xml:space="preserve">al buzón BBVA </w:t>
      </w:r>
      <w:r w:rsidRPr="003B06E8">
        <w:t xml:space="preserve">para la obtención de la autorización por parte de la Unidad de Estrategia y Gestión Inmobiliaria de BBVA.  </w:t>
      </w:r>
    </w:p>
    <w:p w14:paraId="6CCB36FA" w14:textId="77777777" w:rsidR="00872694" w:rsidRPr="003B06E8" w:rsidRDefault="00872694" w:rsidP="00182C42">
      <w:pPr>
        <w:keepNext/>
        <w:keepLines/>
        <w:ind w:left="-709"/>
        <w:jc w:val="both"/>
      </w:pPr>
    </w:p>
    <w:p w14:paraId="4B08F3E7" w14:textId="77777777" w:rsidR="00872694" w:rsidRPr="00CC5321" w:rsidRDefault="0023192A" w:rsidP="00182C42">
      <w:pPr>
        <w:pStyle w:val="Prrafodelista"/>
        <w:keepNext/>
        <w:keepLines/>
        <w:numPr>
          <w:ilvl w:val="0"/>
          <w:numId w:val="27"/>
        </w:numPr>
        <w:ind w:left="-284" w:hanging="283"/>
        <w:jc w:val="both"/>
        <w:rPr>
          <w:b/>
          <w:color w:val="002060"/>
        </w:rPr>
      </w:pPr>
      <w:r>
        <w:rPr>
          <w:b/>
          <w:color w:val="002060"/>
        </w:rPr>
        <w:t xml:space="preserve"> </w:t>
      </w:r>
      <w:r w:rsidR="00872694" w:rsidRPr="00CC5321">
        <w:rPr>
          <w:b/>
          <w:color w:val="002060"/>
        </w:rPr>
        <w:t xml:space="preserve">Autorización de gastos </w:t>
      </w:r>
      <w:r w:rsidR="00872694">
        <w:rPr>
          <w:b/>
          <w:color w:val="002060"/>
        </w:rPr>
        <w:t xml:space="preserve">de reparación y subsanación de incidencias y reclamaciones </w:t>
      </w:r>
      <w:r w:rsidR="00872694" w:rsidRPr="00CC5321">
        <w:rPr>
          <w:b/>
          <w:color w:val="002060"/>
        </w:rPr>
        <w:t>que estén fuera de delegación del Servicer.</w:t>
      </w:r>
    </w:p>
    <w:p w14:paraId="5B7B7477" w14:textId="0FBFF847" w:rsidR="00104BE6" w:rsidRPr="003B06E8" w:rsidRDefault="00872694" w:rsidP="005647BB">
      <w:pPr>
        <w:keepNext/>
        <w:keepLines/>
        <w:ind w:left="-284"/>
        <w:jc w:val="both"/>
      </w:pPr>
      <w:r w:rsidRPr="0017719D">
        <w:t xml:space="preserve">Para la autorización de </w:t>
      </w:r>
      <w:r>
        <w:t xml:space="preserve">gastos por servicio postventa a </w:t>
      </w:r>
      <w:r w:rsidRPr="003B06E8">
        <w:t>Empresas de Reparación de Postventa</w:t>
      </w:r>
      <w:r>
        <w:t xml:space="preserve"> que estén fuera de delegación del Servicer, se presentará presupuesto debidamente justificado y</w:t>
      </w:r>
      <w:r w:rsidRPr="0017719D">
        <w:t xml:space="preserve"> </w:t>
      </w:r>
      <w:r>
        <w:t xml:space="preserve">el Servicer remitirá </w:t>
      </w:r>
      <w:r w:rsidRPr="0017719D">
        <w:t xml:space="preserve">petición al buzón BBVA </w:t>
      </w:r>
      <w:r w:rsidRPr="003B06E8">
        <w:t xml:space="preserve">para la obtención de la autorización por parte de la Unidad de Estrategia y Gestión Inmobiliaria de BBVA.  </w:t>
      </w:r>
    </w:p>
    <w:p w14:paraId="2A2FF10B" w14:textId="77777777" w:rsidR="00872694" w:rsidRDefault="00872694" w:rsidP="00CF7F6E">
      <w:pPr>
        <w:keepNext/>
        <w:keepLines/>
        <w:ind w:left="-709"/>
        <w:jc w:val="both"/>
      </w:pPr>
    </w:p>
    <w:p w14:paraId="0C3EF77C" w14:textId="77777777" w:rsidR="00890B6F" w:rsidRDefault="0023192A" w:rsidP="00613767">
      <w:pPr>
        <w:pStyle w:val="Prrafodelista"/>
        <w:keepNext/>
        <w:keepLines/>
        <w:numPr>
          <w:ilvl w:val="0"/>
          <w:numId w:val="27"/>
        </w:numPr>
        <w:ind w:left="-284" w:hanging="283"/>
        <w:jc w:val="both"/>
        <w:rPr>
          <w:b/>
          <w:color w:val="002060"/>
        </w:rPr>
      </w:pPr>
      <w:r>
        <w:rPr>
          <w:b/>
          <w:color w:val="002060"/>
        </w:rPr>
        <w:t xml:space="preserve"> </w:t>
      </w:r>
      <w:r w:rsidR="00872694" w:rsidRPr="00CC5321">
        <w:rPr>
          <w:b/>
          <w:color w:val="002060"/>
        </w:rPr>
        <w:t xml:space="preserve">Autorización de pagos a terceros </w:t>
      </w:r>
      <w:r w:rsidR="00872694">
        <w:rPr>
          <w:b/>
          <w:color w:val="002060"/>
        </w:rPr>
        <w:t>p</w:t>
      </w:r>
      <w:r w:rsidR="00872694" w:rsidRPr="00CC5321">
        <w:rPr>
          <w:b/>
          <w:color w:val="002060"/>
        </w:rPr>
        <w:t xml:space="preserve">or Servicios Técnicos </w:t>
      </w:r>
      <w:r w:rsidR="00872694">
        <w:rPr>
          <w:b/>
          <w:color w:val="002060"/>
        </w:rPr>
        <w:t xml:space="preserve">de urgencia </w:t>
      </w:r>
      <w:r w:rsidR="00872694" w:rsidRPr="00CC5321">
        <w:rPr>
          <w:b/>
          <w:color w:val="002060"/>
        </w:rPr>
        <w:t>que estén fuera de delegación del Servicer.</w:t>
      </w:r>
    </w:p>
    <w:p w14:paraId="66A90445" w14:textId="77777777" w:rsidR="00872694" w:rsidRPr="00613767" w:rsidRDefault="00872694" w:rsidP="00613767">
      <w:pPr>
        <w:pStyle w:val="Prrafodelista"/>
        <w:keepNext/>
        <w:keepLines/>
        <w:numPr>
          <w:ilvl w:val="0"/>
          <w:numId w:val="28"/>
        </w:numPr>
        <w:ind w:left="142" w:hanging="426"/>
        <w:jc w:val="both"/>
      </w:pPr>
      <w:r w:rsidRPr="007D0FB1">
        <w:t>En los activos en los que se ha producido in</w:t>
      </w:r>
      <w:r>
        <w:t>cidencias y ha sido necesario su resolución con carácter de urgencia estando el presupuesto y gasto fuera de la delegación establecida por el Servicer</w:t>
      </w:r>
      <w:r w:rsidRPr="007D0FB1">
        <w:t xml:space="preserve">, para </w:t>
      </w:r>
      <w:r>
        <w:t>la autorización</w:t>
      </w:r>
      <w:r w:rsidRPr="007D0FB1">
        <w:t xml:space="preserve"> de </w:t>
      </w:r>
      <w:r>
        <w:t>estos pagos</w:t>
      </w:r>
      <w:r w:rsidRPr="007D0FB1">
        <w:t xml:space="preserve"> el Servicer </w:t>
      </w:r>
      <w:r>
        <w:t>remitirá</w:t>
      </w:r>
      <w:r w:rsidRPr="007D0FB1">
        <w:t xml:space="preserve"> petición de </w:t>
      </w:r>
      <w:r>
        <w:t>conformidad</w:t>
      </w:r>
      <w:r w:rsidRPr="007D0FB1">
        <w:t xml:space="preserve"> al buzón BBVA </w:t>
      </w:r>
      <w:r>
        <w:t xml:space="preserve">debidamente justificada, </w:t>
      </w:r>
      <w:r w:rsidRPr="003B06E8">
        <w:t xml:space="preserve">para la obtención de la autorización por parte de la Unidad de Estrategia y Gestión Inmobiliaria de BBVA.  </w:t>
      </w:r>
    </w:p>
    <w:p w14:paraId="7D15BC0E" w14:textId="77777777" w:rsidR="001622B2" w:rsidRPr="00613767" w:rsidRDefault="00AE6E04" w:rsidP="00613767">
      <w:pPr>
        <w:pStyle w:val="Prrafodelista"/>
        <w:keepNext/>
        <w:keepLines/>
        <w:numPr>
          <w:ilvl w:val="0"/>
          <w:numId w:val="28"/>
        </w:numPr>
        <w:ind w:left="142" w:hanging="426"/>
        <w:jc w:val="both"/>
        <w:rPr>
          <w:u w:val="single"/>
        </w:rPr>
      </w:pPr>
      <w:r>
        <w:rPr>
          <w:u w:val="single"/>
        </w:rPr>
        <w:t>E</w:t>
      </w:r>
      <w:r w:rsidR="00872694" w:rsidRPr="00613767">
        <w:rPr>
          <w:u w:val="single"/>
        </w:rPr>
        <w:t xml:space="preserve">l plazo de comunicación de las mencionadas autorizaciones será de 10 días hábiles desde la fecha de petición. </w:t>
      </w:r>
    </w:p>
    <w:p w14:paraId="32A81F52" w14:textId="67BF5CF7" w:rsidR="000D3BD2" w:rsidRDefault="00872694" w:rsidP="005647BB">
      <w:pPr>
        <w:pStyle w:val="Prrafodelista"/>
        <w:keepNext/>
        <w:keepLines/>
        <w:numPr>
          <w:ilvl w:val="0"/>
          <w:numId w:val="28"/>
        </w:numPr>
        <w:ind w:left="142" w:hanging="426"/>
        <w:jc w:val="both"/>
      </w:pPr>
      <w:r w:rsidRPr="003B06E8">
        <w:lastRenderedPageBreak/>
        <w:t xml:space="preserve">Cualquier documentación adicional o aclaración que se necesite será solicitada al buzón del Servicer a través del buzón </w:t>
      </w:r>
      <w:r w:rsidRPr="007D0FB1">
        <w:t>BBVA</w:t>
      </w:r>
      <w:r>
        <w:t xml:space="preserve">. </w:t>
      </w:r>
    </w:p>
    <w:p w14:paraId="76C662A7" w14:textId="77777777" w:rsidR="00872694" w:rsidRPr="006C4EA4" w:rsidRDefault="00613767" w:rsidP="006C4EA4">
      <w:pPr>
        <w:keepNext/>
        <w:keepLines/>
        <w:ind w:left="-709"/>
        <w:jc w:val="both"/>
        <w:rPr>
          <w:rFonts w:asciiTheme="majorHAnsi" w:hAnsiTheme="majorHAnsi"/>
          <w:b/>
          <w:color w:val="002060"/>
        </w:rPr>
      </w:pPr>
      <w:r>
        <w:rPr>
          <w:rFonts w:asciiTheme="majorHAnsi" w:hAnsiTheme="majorHAnsi"/>
          <w:b/>
          <w:color w:val="002060"/>
        </w:rPr>
        <w:t xml:space="preserve">4.2 </w:t>
      </w:r>
      <w:r w:rsidR="00657B59" w:rsidRPr="006C4EA4">
        <w:rPr>
          <w:rFonts w:asciiTheme="majorHAnsi" w:hAnsiTheme="majorHAnsi"/>
          <w:b/>
          <w:color w:val="002060"/>
        </w:rPr>
        <w:t>Informe de actividad de Postventa: Actuaciones a incluir</w:t>
      </w:r>
      <w:r w:rsidR="000F1A60" w:rsidRPr="006C4EA4">
        <w:rPr>
          <w:rFonts w:asciiTheme="majorHAnsi" w:hAnsiTheme="majorHAnsi"/>
          <w:b/>
          <w:color w:val="002060"/>
        </w:rPr>
        <w:t>.</w:t>
      </w:r>
    </w:p>
    <w:p w14:paraId="33C3A704" w14:textId="77777777" w:rsidR="000F1A60" w:rsidRPr="0076149C" w:rsidRDefault="000F1A60" w:rsidP="00CF7F6E">
      <w:pPr>
        <w:pStyle w:val="Prrafodelista"/>
        <w:keepNext/>
        <w:keepLines/>
        <w:ind w:left="-709"/>
        <w:rPr>
          <w:color w:val="002060"/>
        </w:rPr>
      </w:pPr>
      <w:r w:rsidRPr="0076149C">
        <w:rPr>
          <w:color w:val="002060"/>
        </w:rPr>
        <w:t>Listado de inspecciones previas y ejecución de repasos</w:t>
      </w:r>
      <w:r>
        <w:rPr>
          <w:color w:val="002060"/>
        </w:rPr>
        <w:t>:</w:t>
      </w:r>
      <w:r w:rsidRPr="0076149C">
        <w:rPr>
          <w:color w:val="002060"/>
        </w:rPr>
        <w:t xml:space="preserve"> </w:t>
      </w:r>
    </w:p>
    <w:p w14:paraId="73EB1227" w14:textId="77777777" w:rsidR="000F1A60" w:rsidRDefault="000F1A60" w:rsidP="00613767">
      <w:pPr>
        <w:pStyle w:val="Prrafodelista"/>
        <w:keepNext/>
        <w:keepLines/>
        <w:numPr>
          <w:ilvl w:val="0"/>
          <w:numId w:val="29"/>
        </w:numPr>
        <w:jc w:val="both"/>
      </w:pPr>
      <w:r>
        <w:t>Estado y</w:t>
      </w:r>
      <w:r w:rsidR="00CF7F6E">
        <w:t xml:space="preserve"> situación de la incidencia (por ejemplo</w:t>
      </w:r>
      <w:r>
        <w:t>. resuelta, pendiente, denegada por la constructora, etc.) y supervisión de plazos establecidos para su solución.</w:t>
      </w:r>
    </w:p>
    <w:p w14:paraId="1C2449DF" w14:textId="77777777" w:rsidR="000F1A60" w:rsidRDefault="000F1A60" w:rsidP="00613767">
      <w:pPr>
        <w:pStyle w:val="Prrafodelista"/>
        <w:keepNext/>
        <w:keepLines/>
        <w:numPr>
          <w:ilvl w:val="0"/>
          <w:numId w:val="29"/>
        </w:numPr>
        <w:jc w:val="both"/>
      </w:pPr>
      <w:r>
        <w:t xml:space="preserve">Revisión con carácter previo a la finalización de los contratos de obra a las constructoras y devolución de las retenciones, de que las incidencias identificadas están resueltas. </w:t>
      </w:r>
    </w:p>
    <w:p w14:paraId="3732B279" w14:textId="77777777" w:rsidR="000F1A60" w:rsidRDefault="000F1A60" w:rsidP="00613767">
      <w:pPr>
        <w:pStyle w:val="Prrafodelista"/>
        <w:keepNext/>
        <w:keepLines/>
        <w:numPr>
          <w:ilvl w:val="0"/>
          <w:numId w:val="29"/>
        </w:numPr>
        <w:jc w:val="both"/>
      </w:pPr>
      <w:r>
        <w:t>Soporte documental.</w:t>
      </w:r>
    </w:p>
    <w:p w14:paraId="2EF5AA38" w14:textId="77777777" w:rsidR="000F1A60" w:rsidRDefault="000F1A60" w:rsidP="00CF7F6E">
      <w:pPr>
        <w:keepNext/>
        <w:keepLines/>
        <w:jc w:val="both"/>
      </w:pPr>
    </w:p>
    <w:p w14:paraId="218FED27" w14:textId="77777777" w:rsidR="000F1A60" w:rsidRPr="0076149C" w:rsidRDefault="000F1A60" w:rsidP="00CF7F6E">
      <w:pPr>
        <w:pStyle w:val="Prrafodelista"/>
        <w:keepNext/>
        <w:keepLines/>
        <w:ind w:left="-709"/>
        <w:rPr>
          <w:color w:val="002060"/>
        </w:rPr>
      </w:pPr>
      <w:r w:rsidRPr="0076149C">
        <w:rPr>
          <w:color w:val="002060"/>
        </w:rPr>
        <w:t>Listado de repasos con clientes previos a la entrega</w:t>
      </w:r>
    </w:p>
    <w:p w14:paraId="2989BD99" w14:textId="77777777" w:rsidR="000F1A60" w:rsidRPr="00890B6F" w:rsidRDefault="000F1A60" w:rsidP="00613767">
      <w:pPr>
        <w:pStyle w:val="Prrafodelista"/>
        <w:keepNext/>
        <w:keepLines/>
        <w:numPr>
          <w:ilvl w:val="0"/>
          <w:numId w:val="29"/>
        </w:numPr>
        <w:jc w:val="both"/>
      </w:pPr>
      <w:r w:rsidRPr="00890B6F">
        <w:t>Razonabilidad de las incidencias reclamadas por clientes y documentación de la justificación de la aceptación o no de la resolución de la incidencia y si el coste es asumido por BBVA o es reclamado al constructor.</w:t>
      </w:r>
    </w:p>
    <w:p w14:paraId="243B548D" w14:textId="77777777" w:rsidR="000F1A60" w:rsidRPr="000F1A60" w:rsidRDefault="000F1A60" w:rsidP="00613767">
      <w:pPr>
        <w:pStyle w:val="Prrafodelista"/>
        <w:keepNext/>
        <w:keepLines/>
        <w:numPr>
          <w:ilvl w:val="0"/>
          <w:numId w:val="29"/>
        </w:numPr>
        <w:jc w:val="both"/>
      </w:pPr>
      <w:r w:rsidRPr="00890B6F">
        <w:t>Si el coste es asumido por BBVA, realizar un seguimiento presupuestario del total de incidencias y reclamaciones asumidas por área de gestión y proyecto en base al presupuesto anual autorizado.</w:t>
      </w:r>
    </w:p>
    <w:p w14:paraId="13276105" w14:textId="77777777" w:rsidR="000F1A60" w:rsidRDefault="000F1A60" w:rsidP="00CF7F6E">
      <w:pPr>
        <w:keepNext/>
        <w:keepLines/>
        <w:jc w:val="both"/>
      </w:pPr>
    </w:p>
    <w:p w14:paraId="68C1AE58" w14:textId="77777777" w:rsidR="000F1A60" w:rsidRDefault="000F1A60" w:rsidP="00CF7F6E">
      <w:pPr>
        <w:pStyle w:val="Prrafodelista"/>
        <w:keepNext/>
        <w:keepLines/>
        <w:ind w:left="-709"/>
        <w:rPr>
          <w:color w:val="002060"/>
        </w:rPr>
      </w:pPr>
      <w:r w:rsidRPr="000F1A60">
        <w:rPr>
          <w:color w:val="002060"/>
        </w:rPr>
        <w:t xml:space="preserve">Incidencias posteriores a la entrega </w:t>
      </w:r>
    </w:p>
    <w:p w14:paraId="694A4247" w14:textId="77777777" w:rsidR="000F1A60" w:rsidRPr="000F1A60" w:rsidRDefault="000F1A60" w:rsidP="00613767">
      <w:pPr>
        <w:pStyle w:val="Prrafodelista"/>
        <w:keepNext/>
        <w:keepLines/>
        <w:numPr>
          <w:ilvl w:val="0"/>
          <w:numId w:val="29"/>
        </w:numPr>
        <w:jc w:val="both"/>
      </w:pPr>
      <w:r w:rsidRPr="000F1A60">
        <w:t>Base de datos íntegra del conjunto de incidencias y reclamaciones posteriores a la entrega que hayan sido realizadas por clientes, organismos públicos y otros terceros, si es denegada, los motivos de la denegación, indicando activo y promoción.</w:t>
      </w:r>
    </w:p>
    <w:p w14:paraId="60DD959A" w14:textId="77777777" w:rsidR="000F1A60" w:rsidRPr="000F1A60" w:rsidRDefault="000F1A60" w:rsidP="00613767">
      <w:pPr>
        <w:pStyle w:val="Prrafodelista"/>
        <w:keepNext/>
        <w:keepLines/>
        <w:numPr>
          <w:ilvl w:val="0"/>
          <w:numId w:val="29"/>
        </w:numPr>
        <w:jc w:val="both"/>
      </w:pPr>
      <w:r w:rsidRPr="000F1A60">
        <w:t xml:space="preserve">Validación de SSJJ en caso de ser necesaria. </w:t>
      </w:r>
    </w:p>
    <w:p w14:paraId="2FC11FCB" w14:textId="77777777" w:rsidR="000F1A60" w:rsidRPr="000F1A60" w:rsidRDefault="000F1A60" w:rsidP="00613767">
      <w:pPr>
        <w:pStyle w:val="Prrafodelista"/>
        <w:keepNext/>
        <w:keepLines/>
        <w:numPr>
          <w:ilvl w:val="0"/>
          <w:numId w:val="29"/>
        </w:numPr>
        <w:jc w:val="both"/>
      </w:pPr>
      <w:r w:rsidRPr="000F1A60">
        <w:t>Adjudicación del servicio a empresas homologadas.</w:t>
      </w:r>
    </w:p>
    <w:p w14:paraId="1EED8956" w14:textId="77777777" w:rsidR="000F1A60" w:rsidRPr="000F1A60" w:rsidRDefault="000F1A60" w:rsidP="00613767">
      <w:pPr>
        <w:pStyle w:val="Prrafodelista"/>
        <w:keepNext/>
        <w:keepLines/>
        <w:numPr>
          <w:ilvl w:val="0"/>
          <w:numId w:val="29"/>
        </w:numPr>
        <w:jc w:val="both"/>
      </w:pPr>
      <w:r w:rsidRPr="000F1A60">
        <w:t>Presupuesto, coste real y facturación.</w:t>
      </w:r>
    </w:p>
    <w:p w14:paraId="19BA72E0" w14:textId="77777777" w:rsidR="000F1A60" w:rsidRPr="000F1A60" w:rsidRDefault="000F1A60" w:rsidP="00613767">
      <w:pPr>
        <w:pStyle w:val="Prrafodelista"/>
        <w:keepNext/>
        <w:keepLines/>
        <w:numPr>
          <w:ilvl w:val="0"/>
          <w:numId w:val="29"/>
        </w:numPr>
        <w:jc w:val="both"/>
      </w:pPr>
      <w:r w:rsidRPr="000F1A60">
        <w:t>Fechas de entrada de la reclamación, envío de la EMS, envió a EGI, cierre de la incidencia.</w:t>
      </w:r>
    </w:p>
    <w:p w14:paraId="20D5AB8E" w14:textId="77777777" w:rsidR="000F1A60" w:rsidRPr="000F1A60" w:rsidRDefault="000F1A60" w:rsidP="00613767">
      <w:pPr>
        <w:pStyle w:val="Prrafodelista"/>
        <w:keepNext/>
        <w:keepLines/>
        <w:numPr>
          <w:ilvl w:val="0"/>
          <w:numId w:val="29"/>
        </w:numPr>
        <w:jc w:val="both"/>
      </w:pPr>
      <w:r w:rsidRPr="000F1A60">
        <w:t>Seguimiento de la ejecución de los trabajos.</w:t>
      </w:r>
    </w:p>
    <w:p w14:paraId="4023388F" w14:textId="77777777" w:rsidR="000F1A60" w:rsidRPr="000F1A60" w:rsidRDefault="000F1A60" w:rsidP="00613767">
      <w:pPr>
        <w:pStyle w:val="Prrafodelista"/>
        <w:keepNext/>
        <w:keepLines/>
        <w:numPr>
          <w:ilvl w:val="0"/>
          <w:numId w:val="29"/>
        </w:numPr>
        <w:jc w:val="both"/>
      </w:pPr>
      <w:r w:rsidRPr="000F1A60">
        <w:t>Conformidad del cliente.</w:t>
      </w:r>
    </w:p>
    <w:p w14:paraId="2F842CF0" w14:textId="77777777" w:rsidR="007469AD" w:rsidRDefault="007469AD" w:rsidP="005647BB">
      <w:pPr>
        <w:keepNext/>
        <w:keepLines/>
        <w:jc w:val="both"/>
        <w:rPr>
          <w:b/>
        </w:rPr>
      </w:pPr>
    </w:p>
    <w:p w14:paraId="7CBCC06F" w14:textId="092B634A" w:rsidR="00872694" w:rsidRPr="00FC47B5" w:rsidRDefault="00872694" w:rsidP="00146BB0">
      <w:pPr>
        <w:keepNext/>
        <w:keepLines/>
        <w:ind w:left="-709"/>
        <w:jc w:val="both"/>
      </w:pPr>
      <w:r w:rsidRPr="00613767">
        <w:rPr>
          <w:u w:val="single"/>
        </w:rPr>
        <w:t>Con carácter mensual,</w:t>
      </w:r>
      <w:r w:rsidRPr="00FC47B5">
        <w:t xml:space="preserve"> el Servicer remitirá al buzón BBVA </w:t>
      </w:r>
      <w:r w:rsidR="00B87759" w:rsidRPr="001622B2">
        <w:t>(</w:t>
      </w:r>
      <w:hyperlink r:id="rId11" w:history="1">
        <w:r w:rsidR="001622B2" w:rsidRPr="00855AF0">
          <w:rPr>
            <w:rStyle w:val="Hipervnculo"/>
          </w:rPr>
          <w:t>egi.gestionactivos@bbva.com</w:t>
        </w:r>
      </w:hyperlink>
      <w:r w:rsidR="00B87759">
        <w:t xml:space="preserve">) </w:t>
      </w:r>
      <w:r w:rsidRPr="00FC47B5">
        <w:t xml:space="preserve">un informe que recoja toda la actividad realizada de actuaciones de Postventa desde su Alta y Registro, Tramitación, Resolución y Cierre. </w:t>
      </w:r>
    </w:p>
    <w:p w14:paraId="702F6CF0" w14:textId="77777777" w:rsidR="00872694" w:rsidRDefault="00872694" w:rsidP="00CF7F6E">
      <w:pPr>
        <w:keepNext/>
        <w:keepLines/>
        <w:ind w:left="-491" w:hanging="218"/>
        <w:jc w:val="both"/>
      </w:pPr>
    </w:p>
    <w:p w14:paraId="667334E3" w14:textId="77777777" w:rsidR="00872694" w:rsidRDefault="00872694" w:rsidP="00613767">
      <w:pPr>
        <w:pStyle w:val="Prrafodelista"/>
        <w:keepNext/>
        <w:keepLines/>
        <w:numPr>
          <w:ilvl w:val="0"/>
          <w:numId w:val="29"/>
        </w:numPr>
        <w:jc w:val="both"/>
      </w:pPr>
      <w:r>
        <w:t xml:space="preserve">Adicionalmente, si hay cobertura de garantía y/o de seguro según tipo de Activo Obra Nueva 1ºTrasmisión, ON 2º Transmisión y Segunda Mano, etc., </w:t>
      </w:r>
      <w:r w:rsidRPr="007D0FB1">
        <w:t xml:space="preserve">así como la situación actualizada de las mismas. </w:t>
      </w:r>
    </w:p>
    <w:p w14:paraId="6CC0D27C" w14:textId="7D4ACE56" w:rsidR="00872694" w:rsidRPr="00613767" w:rsidRDefault="00872694" w:rsidP="00613767">
      <w:pPr>
        <w:pStyle w:val="Prrafodelista"/>
        <w:keepNext/>
        <w:keepLines/>
        <w:numPr>
          <w:ilvl w:val="0"/>
          <w:numId w:val="29"/>
        </w:numPr>
        <w:jc w:val="both"/>
      </w:pPr>
      <w:r w:rsidRPr="00613767">
        <w:t xml:space="preserve">Cualquier documentación adicional o aclaración que se necesite será solicitada al </w:t>
      </w:r>
      <w:r w:rsidR="00776430">
        <w:t xml:space="preserve">buzón Servicer </w:t>
      </w:r>
      <w:hyperlink r:id="rId12" w:history="1">
        <w:r w:rsidR="00776430" w:rsidRPr="00545C3E">
          <w:rPr>
            <w:rStyle w:val="Hipervnculo"/>
          </w:rPr>
          <w:t>desarrolloinmobiliario@haya.es</w:t>
        </w:r>
      </w:hyperlink>
      <w:r w:rsidR="00776430" w:rsidRPr="00776430">
        <w:rPr>
          <w:rStyle w:val="Hipervnculo"/>
          <w:color w:val="0070C0"/>
          <w:u w:val="none"/>
        </w:rPr>
        <w:t xml:space="preserve"> </w:t>
      </w:r>
      <w:r w:rsidR="00776430" w:rsidRPr="00776430">
        <w:t>si se trata de promociones</w:t>
      </w:r>
      <w:r w:rsidR="00776430" w:rsidRPr="00776430">
        <w:rPr>
          <w:rStyle w:val="Hipervnculo"/>
          <w:color w:val="0070C0"/>
          <w:u w:val="none"/>
        </w:rPr>
        <w:t xml:space="preserve"> </w:t>
      </w:r>
      <w:r w:rsidR="00776430" w:rsidRPr="00776430">
        <w:t xml:space="preserve">o </w:t>
      </w:r>
      <w:hyperlink r:id="rId13" w:history="1">
        <w:r w:rsidR="00776430" w:rsidRPr="00776430">
          <w:rPr>
            <w:rStyle w:val="Hipervnculo"/>
          </w:rPr>
          <w:t>serviciosfacility@haya.es</w:t>
        </w:r>
      </w:hyperlink>
      <w:r w:rsidR="00776430" w:rsidRPr="00776430">
        <w:rPr>
          <w:rStyle w:val="Hipervnculo"/>
          <w:rFonts w:ascii="Segoe UI" w:hAnsi="Segoe UI" w:cs="Segoe UI"/>
          <w:sz w:val="21"/>
          <w:szCs w:val="21"/>
          <w:u w:val="none"/>
          <w:lang w:eastAsia="es-ES"/>
        </w:rPr>
        <w:t xml:space="preserve"> </w:t>
      </w:r>
      <w:r w:rsidR="00776430" w:rsidRPr="00776430">
        <w:t>para asuntos de mantenimiento</w:t>
      </w:r>
      <w:r w:rsidRPr="00613767">
        <w:t xml:space="preserve"> </w:t>
      </w:r>
      <w:r w:rsidR="00776430">
        <w:t xml:space="preserve">a </w:t>
      </w:r>
      <w:r w:rsidRPr="00613767">
        <w:t xml:space="preserve">través del buzón </w:t>
      </w:r>
      <w:r w:rsidR="00AE78A3" w:rsidRPr="00776430">
        <w:rPr>
          <w:rStyle w:val="Hipervnculo"/>
        </w:rPr>
        <w:t>egi.gestionactivos@bbva.com</w:t>
      </w:r>
      <w:r w:rsidRPr="00776430">
        <w:rPr>
          <w:rStyle w:val="Hipervnculo"/>
        </w:rPr>
        <w:t>.</w:t>
      </w:r>
      <w:r w:rsidRPr="00613767">
        <w:t xml:space="preserve"> </w:t>
      </w:r>
    </w:p>
    <w:p w14:paraId="3C57E013" w14:textId="77777777" w:rsidR="005B3E83" w:rsidRDefault="005B3E83" w:rsidP="005B3E83">
      <w:pPr>
        <w:pStyle w:val="Prrafodelista"/>
        <w:keepNext/>
        <w:keepLines/>
        <w:ind w:left="-426"/>
        <w:jc w:val="both"/>
        <w:rPr>
          <w:rStyle w:val="Hipervnculo"/>
          <w:color w:val="auto"/>
          <w:u w:val="none"/>
        </w:rPr>
      </w:pPr>
    </w:p>
    <w:p w14:paraId="123C0AA7" w14:textId="77777777" w:rsidR="00285762" w:rsidRDefault="00182C42" w:rsidP="00285762">
      <w:pPr>
        <w:pStyle w:val="Prrafodelista"/>
        <w:keepNext/>
        <w:keepLines/>
        <w:ind w:left="-709"/>
        <w:jc w:val="both"/>
        <w:rPr>
          <w:rStyle w:val="Hipervnculo"/>
          <w:b/>
          <w:color w:val="auto"/>
          <w:u w:val="none"/>
        </w:rPr>
      </w:pPr>
      <w:r w:rsidRPr="00285762">
        <w:rPr>
          <w:rStyle w:val="Hipervnculo"/>
          <w:b/>
          <w:color w:val="auto"/>
          <w:u w:val="none"/>
        </w:rPr>
        <w:t xml:space="preserve">Funciones Control interno de HAYA: </w:t>
      </w:r>
    </w:p>
    <w:p w14:paraId="247162AA" w14:textId="77777777" w:rsidR="00285762" w:rsidRDefault="00285762" w:rsidP="00285762">
      <w:pPr>
        <w:pStyle w:val="Prrafodelista"/>
        <w:keepNext/>
        <w:keepLines/>
        <w:ind w:left="-709"/>
        <w:jc w:val="both"/>
      </w:pPr>
      <w:r>
        <w:t xml:space="preserve">Verificar que: </w:t>
      </w:r>
    </w:p>
    <w:p w14:paraId="2CE2DDDD" w14:textId="77777777" w:rsidR="00182C42" w:rsidRPr="00285762" w:rsidRDefault="00285762" w:rsidP="00285762">
      <w:pPr>
        <w:pStyle w:val="Prrafodelista"/>
        <w:keepNext/>
        <w:keepLines/>
        <w:numPr>
          <w:ilvl w:val="0"/>
          <w:numId w:val="29"/>
        </w:numPr>
        <w:jc w:val="both"/>
      </w:pPr>
      <w:r>
        <w:t>E</w:t>
      </w:r>
      <w:r w:rsidR="00182C42" w:rsidRPr="00285762">
        <w:t>l proveedor pertenece al grupo homologado</w:t>
      </w:r>
      <w:r>
        <w:t xml:space="preserve"> según los requisitos de BBVA</w:t>
      </w:r>
      <w:r w:rsidR="00182C42" w:rsidRPr="00285762">
        <w:t xml:space="preserve">. </w:t>
      </w:r>
    </w:p>
    <w:p w14:paraId="1666336A" w14:textId="77777777" w:rsidR="00182C42" w:rsidRPr="00285762" w:rsidRDefault="00285762" w:rsidP="00285762">
      <w:pPr>
        <w:pStyle w:val="Prrafodelista"/>
        <w:keepNext/>
        <w:keepLines/>
        <w:numPr>
          <w:ilvl w:val="0"/>
          <w:numId w:val="29"/>
        </w:numPr>
        <w:jc w:val="both"/>
      </w:pPr>
      <w:r>
        <w:t>S</w:t>
      </w:r>
      <w:r w:rsidR="00182C42" w:rsidRPr="00285762">
        <w:t>e han aplicado las tarifas contratadas en el Contrato Marco</w:t>
      </w:r>
      <w:r>
        <w:t>.</w:t>
      </w:r>
    </w:p>
    <w:p w14:paraId="69CF31F6" w14:textId="77777777" w:rsidR="00182C42" w:rsidRPr="00285762" w:rsidRDefault="00285762" w:rsidP="00285762">
      <w:pPr>
        <w:pStyle w:val="Prrafodelista"/>
        <w:keepNext/>
        <w:keepLines/>
        <w:numPr>
          <w:ilvl w:val="0"/>
          <w:numId w:val="29"/>
        </w:numPr>
        <w:jc w:val="both"/>
      </w:pPr>
      <w:r>
        <w:lastRenderedPageBreak/>
        <w:t>L</w:t>
      </w:r>
      <w:r w:rsidR="00182C42" w:rsidRPr="00285762">
        <w:t>a incidencia tiene el expediente documental completo, desde la entrada hasta la conformidad del cliente.</w:t>
      </w:r>
    </w:p>
    <w:p w14:paraId="4CBC9D02" w14:textId="77777777" w:rsidR="00182C42" w:rsidRPr="00432D60" w:rsidRDefault="00182C42" w:rsidP="00182C42">
      <w:pPr>
        <w:pStyle w:val="Prrafodelista"/>
        <w:keepNext/>
        <w:keepLines/>
        <w:ind w:left="-426"/>
        <w:jc w:val="both"/>
        <w:rPr>
          <w:rStyle w:val="Hipervnculo"/>
          <w:color w:val="auto"/>
          <w:u w:val="none"/>
        </w:rPr>
      </w:pPr>
    </w:p>
    <w:p w14:paraId="7AE02C1E" w14:textId="77777777" w:rsidR="00872694" w:rsidRPr="006C4EA4" w:rsidRDefault="00613767" w:rsidP="006C4EA4">
      <w:pPr>
        <w:keepNext/>
        <w:keepLines/>
        <w:ind w:left="-709"/>
        <w:jc w:val="both"/>
        <w:rPr>
          <w:rFonts w:asciiTheme="majorHAnsi" w:hAnsiTheme="majorHAnsi"/>
          <w:b/>
          <w:color w:val="002060"/>
        </w:rPr>
      </w:pPr>
      <w:r>
        <w:rPr>
          <w:rFonts w:asciiTheme="majorHAnsi" w:hAnsiTheme="majorHAnsi"/>
          <w:b/>
          <w:color w:val="002060"/>
        </w:rPr>
        <w:t xml:space="preserve">4.3 </w:t>
      </w:r>
      <w:r w:rsidR="00872694" w:rsidRPr="006C4EA4">
        <w:rPr>
          <w:rFonts w:asciiTheme="majorHAnsi" w:hAnsiTheme="majorHAnsi"/>
          <w:b/>
          <w:color w:val="002060"/>
        </w:rPr>
        <w:t xml:space="preserve">Casos de notificaciones a clientes </w:t>
      </w:r>
    </w:p>
    <w:p w14:paraId="0509654D" w14:textId="77777777" w:rsidR="00872694" w:rsidRDefault="00872694" w:rsidP="00CF7F6E">
      <w:pPr>
        <w:pStyle w:val="Bulletnivel1"/>
        <w:keepNext/>
        <w:keepLines/>
        <w:numPr>
          <w:ilvl w:val="0"/>
          <w:numId w:val="19"/>
        </w:numPr>
        <w:spacing w:after="0"/>
        <w:ind w:left="-415" w:hanging="294"/>
        <w:rPr>
          <w:rFonts w:asciiTheme="minorHAnsi" w:hAnsiTheme="minorHAnsi" w:cstheme="minorHAnsi"/>
          <w:bCs/>
          <w:color w:val="auto"/>
          <w:kern w:val="32"/>
          <w:sz w:val="22"/>
          <w:szCs w:val="26"/>
        </w:rPr>
      </w:pPr>
      <w:r w:rsidRPr="00B75945">
        <w:rPr>
          <w:rFonts w:asciiTheme="minorHAnsi" w:hAnsiTheme="minorHAnsi" w:cstheme="minorHAnsi"/>
          <w:bCs/>
          <w:color w:val="auto"/>
          <w:kern w:val="32"/>
          <w:sz w:val="22"/>
          <w:szCs w:val="26"/>
        </w:rPr>
        <w:t>Todas las comunicaciones de resolución y/o cierre de incidencias técnicas que se remitan a los clientes por escrito serán elabora</w:t>
      </w:r>
      <w:r w:rsidR="00432D60">
        <w:rPr>
          <w:rFonts w:asciiTheme="minorHAnsi" w:hAnsiTheme="minorHAnsi" w:cstheme="minorHAnsi"/>
          <w:bCs/>
          <w:color w:val="auto"/>
          <w:kern w:val="32"/>
          <w:sz w:val="22"/>
          <w:szCs w:val="26"/>
        </w:rPr>
        <w:t xml:space="preserve">dos y firmados por el Servicer </w:t>
      </w:r>
      <w:r w:rsidRPr="00B75945">
        <w:rPr>
          <w:rFonts w:asciiTheme="minorHAnsi" w:hAnsiTheme="minorHAnsi" w:cstheme="minorHAnsi"/>
          <w:bCs/>
          <w:color w:val="auto"/>
          <w:kern w:val="32"/>
          <w:sz w:val="22"/>
          <w:szCs w:val="26"/>
        </w:rPr>
        <w:t>actuando, según las facultades otorgadas por BBVA</w:t>
      </w:r>
      <w:r>
        <w:rPr>
          <w:rFonts w:asciiTheme="minorHAnsi" w:hAnsiTheme="minorHAnsi" w:cstheme="minorHAnsi"/>
          <w:bCs/>
          <w:color w:val="auto"/>
          <w:kern w:val="32"/>
          <w:sz w:val="22"/>
          <w:szCs w:val="26"/>
        </w:rPr>
        <w:t xml:space="preserve">. </w:t>
      </w:r>
    </w:p>
    <w:p w14:paraId="547FEBC0" w14:textId="77777777" w:rsidR="00872694" w:rsidRPr="005B3E83" w:rsidRDefault="00872694" w:rsidP="005B3E83">
      <w:pPr>
        <w:pStyle w:val="Bulletnivel1"/>
        <w:keepNext/>
        <w:keepLines/>
        <w:numPr>
          <w:ilvl w:val="0"/>
          <w:numId w:val="19"/>
        </w:numPr>
        <w:spacing w:after="0"/>
        <w:ind w:left="-415" w:hanging="294"/>
        <w:rPr>
          <w:rFonts w:asciiTheme="minorHAnsi" w:hAnsiTheme="minorHAnsi" w:cstheme="minorHAnsi"/>
          <w:bCs/>
          <w:color w:val="auto"/>
          <w:kern w:val="32"/>
          <w:sz w:val="22"/>
          <w:szCs w:val="26"/>
        </w:rPr>
      </w:pPr>
      <w:r w:rsidRPr="005B3E83">
        <w:rPr>
          <w:rFonts w:asciiTheme="minorHAnsi" w:hAnsiTheme="minorHAnsi" w:cstheme="minorHAnsi"/>
          <w:bCs/>
          <w:color w:val="auto"/>
          <w:kern w:val="32"/>
          <w:sz w:val="22"/>
          <w:szCs w:val="26"/>
        </w:rPr>
        <w:t xml:space="preserve">Casos: </w:t>
      </w:r>
    </w:p>
    <w:p w14:paraId="4A84081B" w14:textId="77777777" w:rsidR="00872694" w:rsidRPr="00B75945" w:rsidRDefault="00872694" w:rsidP="006C4EA4">
      <w:pPr>
        <w:pStyle w:val="Bulletnivel1"/>
        <w:keepNext/>
        <w:keepLines/>
        <w:numPr>
          <w:ilvl w:val="0"/>
          <w:numId w:val="18"/>
        </w:numPr>
        <w:spacing w:after="0"/>
        <w:ind w:left="0" w:hanging="284"/>
        <w:rPr>
          <w:rFonts w:asciiTheme="minorHAnsi" w:hAnsiTheme="minorHAnsi" w:cstheme="minorHAnsi"/>
          <w:bCs/>
          <w:color w:val="auto"/>
          <w:kern w:val="32"/>
          <w:sz w:val="22"/>
          <w:szCs w:val="26"/>
        </w:rPr>
      </w:pPr>
      <w:r w:rsidRPr="00B75945">
        <w:rPr>
          <w:rFonts w:asciiTheme="minorHAnsi" w:hAnsiTheme="minorHAnsi" w:cstheme="minorHAnsi"/>
          <w:bCs/>
          <w:color w:val="auto"/>
          <w:kern w:val="32"/>
          <w:sz w:val="22"/>
          <w:szCs w:val="26"/>
        </w:rPr>
        <w:t>Cuando no se obtenga la conformidad del cliente a la resolución y/o reparación de la Incidencia Técnica.</w:t>
      </w:r>
    </w:p>
    <w:p w14:paraId="4637C81A" w14:textId="77777777" w:rsidR="000F1A60" w:rsidRPr="00CF7F6E" w:rsidRDefault="00872694" w:rsidP="006C4EA4">
      <w:pPr>
        <w:pStyle w:val="Bulletnivel1"/>
        <w:keepNext/>
        <w:keepLines/>
        <w:numPr>
          <w:ilvl w:val="0"/>
          <w:numId w:val="18"/>
        </w:numPr>
        <w:spacing w:after="0"/>
        <w:ind w:left="0" w:hanging="284"/>
        <w:rPr>
          <w:color w:val="auto"/>
          <w:u w:val="single"/>
        </w:rPr>
      </w:pPr>
      <w:r w:rsidRPr="00CF7F6E">
        <w:rPr>
          <w:rFonts w:asciiTheme="minorHAnsi" w:hAnsiTheme="minorHAnsi" w:cstheme="minorHAnsi"/>
          <w:bCs/>
          <w:color w:val="auto"/>
          <w:kern w:val="32"/>
          <w:sz w:val="22"/>
          <w:szCs w:val="26"/>
        </w:rPr>
        <w:t>Cuando se concluya a base del análisis realizado de la incidencia que no resulta procedente la resolución y/o reparación de la Incidencia Técnica.</w:t>
      </w:r>
    </w:p>
    <w:p w14:paraId="6504748B" w14:textId="77777777" w:rsidR="00872694" w:rsidRDefault="000F1A60" w:rsidP="00CF7F6E">
      <w:pPr>
        <w:pStyle w:val="Bulletnivel1"/>
        <w:keepNext/>
        <w:keepLines/>
        <w:numPr>
          <w:ilvl w:val="0"/>
          <w:numId w:val="0"/>
        </w:numPr>
        <w:spacing w:after="0"/>
        <w:ind w:left="360" w:hanging="360"/>
        <w:rPr>
          <w:rStyle w:val="Hipervnculo"/>
          <w:highlight w:val="yellow"/>
        </w:rPr>
      </w:pPr>
      <w:r>
        <w:rPr>
          <w:rStyle w:val="Hipervnculo"/>
          <w:highlight w:val="yellow"/>
        </w:rPr>
        <w:t xml:space="preserve"> </w:t>
      </w:r>
    </w:p>
    <w:p w14:paraId="76F7F64C" w14:textId="77777777" w:rsidR="00846787" w:rsidRPr="006C4EA4" w:rsidRDefault="00613767" w:rsidP="00EB3CBF">
      <w:pPr>
        <w:keepNext/>
        <w:keepLines/>
        <w:ind w:left="-709"/>
        <w:jc w:val="both"/>
        <w:rPr>
          <w:rFonts w:asciiTheme="majorHAnsi" w:hAnsiTheme="majorHAnsi"/>
          <w:b/>
          <w:color w:val="002060"/>
        </w:rPr>
      </w:pPr>
      <w:r>
        <w:rPr>
          <w:rFonts w:asciiTheme="majorHAnsi" w:hAnsiTheme="majorHAnsi"/>
          <w:b/>
          <w:color w:val="002060"/>
        </w:rPr>
        <w:t xml:space="preserve">4.4 </w:t>
      </w:r>
      <w:r w:rsidR="000F1A60" w:rsidRPr="006C4EA4">
        <w:rPr>
          <w:rFonts w:asciiTheme="majorHAnsi" w:hAnsiTheme="majorHAnsi"/>
          <w:b/>
          <w:color w:val="002060"/>
        </w:rPr>
        <w:t>Controles a realizar por el Servicer según Atribuciones conferidas</w:t>
      </w:r>
    </w:p>
    <w:p w14:paraId="21B0C0D7" w14:textId="3DAE782D" w:rsidR="000F1A60" w:rsidRPr="00432D60" w:rsidRDefault="000F1A60" w:rsidP="006F349C">
      <w:pPr>
        <w:keepNext/>
        <w:keepLines/>
        <w:ind w:left="-709"/>
        <w:jc w:val="both"/>
      </w:pPr>
      <w:r w:rsidRPr="00432D60">
        <w:t xml:space="preserve">El Servicer enviará mensualmente al citado buzón de BBVA </w:t>
      </w:r>
      <w:r w:rsidRPr="005647BB">
        <w:rPr>
          <w:color w:val="0070C0"/>
          <w:u w:val="single"/>
        </w:rPr>
        <w:t>egi.gestionactivos@bbva.com</w:t>
      </w:r>
      <w:r w:rsidRPr="00432D60">
        <w:t xml:space="preserve"> el reporte sobre los siguientes controles realizados: </w:t>
      </w:r>
    </w:p>
    <w:p w14:paraId="14E2BC12" w14:textId="77777777" w:rsidR="000F1A60" w:rsidRPr="00432D60" w:rsidRDefault="000F1A60" w:rsidP="00613767">
      <w:pPr>
        <w:pStyle w:val="Prrafodelista"/>
        <w:keepNext/>
        <w:keepLines/>
        <w:numPr>
          <w:ilvl w:val="0"/>
          <w:numId w:val="29"/>
        </w:numPr>
        <w:jc w:val="both"/>
      </w:pPr>
      <w:r w:rsidRPr="00432D60">
        <w:t>Inventario de las actuaciones realizadas en el mes analizado.</w:t>
      </w:r>
    </w:p>
    <w:p w14:paraId="5955A859" w14:textId="77777777" w:rsidR="000F1A60" w:rsidRPr="00432D60" w:rsidRDefault="000F1A60" w:rsidP="00613767">
      <w:pPr>
        <w:pStyle w:val="Prrafodelista"/>
        <w:keepNext/>
        <w:keepLines/>
        <w:numPr>
          <w:ilvl w:val="0"/>
          <w:numId w:val="29"/>
        </w:numPr>
        <w:jc w:val="both"/>
      </w:pPr>
      <w:r w:rsidRPr="00432D60">
        <w:t>Cata realizada sobre dichas actuaciones verificando la correcta aplicación de las delegaci</w:t>
      </w:r>
      <w:r w:rsidRPr="00B65886">
        <w:t xml:space="preserve">ones </w:t>
      </w:r>
      <w:r w:rsidRPr="00432D60">
        <w:t>otorgadas y de las autorizaciones establecidas. La cata será de un 5% de las actuaciones con un mínimo de 7 actuaciones. En el caso de detectar indecencias, se ampliará la muestra en un 10% adicional.</w:t>
      </w:r>
    </w:p>
    <w:p w14:paraId="462845CF" w14:textId="77777777" w:rsidR="000F1A60" w:rsidRPr="00432D60" w:rsidRDefault="000F1A60" w:rsidP="00613767">
      <w:pPr>
        <w:pStyle w:val="Prrafodelista"/>
        <w:keepNext/>
        <w:keepLines/>
        <w:numPr>
          <w:ilvl w:val="0"/>
          <w:numId w:val="29"/>
        </w:numPr>
        <w:jc w:val="both"/>
      </w:pPr>
      <w:r w:rsidRPr="00432D60">
        <w:t>Soporte documental de la correcta aplicación de las atribuciones otorgadas.</w:t>
      </w:r>
    </w:p>
    <w:p w14:paraId="120AEA1F" w14:textId="77777777" w:rsidR="000F1A60" w:rsidRPr="00432D60" w:rsidRDefault="000F1A60" w:rsidP="00613767">
      <w:pPr>
        <w:pStyle w:val="Prrafodelista"/>
        <w:keepNext/>
        <w:keepLines/>
        <w:numPr>
          <w:ilvl w:val="0"/>
          <w:numId w:val="29"/>
        </w:numPr>
        <w:jc w:val="both"/>
      </w:pPr>
      <w:r w:rsidRPr="00432D60">
        <w:t>Soporte documental de la verificación que el proveedor pertenece al grupo homologado, que se han aplicado las tarifas del acuerdo marco y que la incidencia tiene el expediente documental completo, desde la entrada hasta la conformidad del cliente.</w:t>
      </w:r>
    </w:p>
    <w:p w14:paraId="47C46B85" w14:textId="77777777" w:rsidR="00872694" w:rsidRDefault="000F1A60" w:rsidP="00613767">
      <w:pPr>
        <w:pStyle w:val="Prrafodelista"/>
        <w:keepNext/>
        <w:keepLines/>
        <w:numPr>
          <w:ilvl w:val="0"/>
          <w:numId w:val="29"/>
        </w:numPr>
        <w:jc w:val="both"/>
      </w:pPr>
      <w:r w:rsidRPr="00432D60">
        <w:t>Conclusiones sobre la cata realizada y para aquellos casos en los que se haya detectado incidencias, en función de la naturaleza o alcance de las mismas, se exigirá evidencia de la subsanación y/o el estab</w:t>
      </w:r>
      <w:r>
        <w:t>lecimiento de planes de acción</w:t>
      </w:r>
      <w:r w:rsidR="00CF7F6E">
        <w:t xml:space="preserve">. </w:t>
      </w:r>
    </w:p>
    <w:p w14:paraId="608CD67D" w14:textId="77777777" w:rsidR="00146BB0" w:rsidRDefault="00146BB0" w:rsidP="00146BB0">
      <w:pPr>
        <w:keepNext/>
        <w:keepLines/>
        <w:jc w:val="both"/>
      </w:pPr>
    </w:p>
    <w:p w14:paraId="50546140" w14:textId="77777777" w:rsidR="00146BB0" w:rsidRDefault="00146BB0" w:rsidP="00146BB0">
      <w:pPr>
        <w:keepNext/>
        <w:keepLines/>
        <w:jc w:val="both"/>
      </w:pPr>
    </w:p>
    <w:p w14:paraId="2E568BB0" w14:textId="77777777" w:rsidR="00146BB0" w:rsidRDefault="00146BB0" w:rsidP="00146BB0">
      <w:pPr>
        <w:keepNext/>
        <w:keepLines/>
        <w:jc w:val="both"/>
      </w:pPr>
    </w:p>
    <w:p w14:paraId="555DB95D" w14:textId="77777777" w:rsidR="00872694" w:rsidRPr="00AE2919" w:rsidRDefault="00872694" w:rsidP="00613767">
      <w:pPr>
        <w:pStyle w:val="Ttulo1"/>
        <w:numPr>
          <w:ilvl w:val="0"/>
          <w:numId w:val="5"/>
        </w:numPr>
        <w:ind w:left="-284" w:hanging="425"/>
        <w:rPr>
          <w:b/>
          <w:sz w:val="24"/>
        </w:rPr>
      </w:pPr>
      <w:bookmarkStart w:id="6" w:name="_Toc44949258"/>
      <w:r w:rsidRPr="00AE2919">
        <w:rPr>
          <w:b/>
          <w:sz w:val="24"/>
        </w:rPr>
        <w:t>Revisiones Peri</w:t>
      </w:r>
      <w:r w:rsidRPr="006C4EA4">
        <w:rPr>
          <w:b/>
          <w:sz w:val="24"/>
        </w:rPr>
        <w:t>ódic</w:t>
      </w:r>
      <w:r w:rsidRPr="00AE2919">
        <w:rPr>
          <w:b/>
          <w:sz w:val="24"/>
        </w:rPr>
        <w:t>as</w:t>
      </w:r>
      <w:r>
        <w:rPr>
          <w:b/>
          <w:sz w:val="24"/>
        </w:rPr>
        <w:t xml:space="preserve"> por BBVA</w:t>
      </w:r>
      <w:bookmarkEnd w:id="6"/>
    </w:p>
    <w:p w14:paraId="079CFBC8" w14:textId="77777777" w:rsidR="00872694" w:rsidRPr="00CC5321" w:rsidRDefault="00872694" w:rsidP="00CF7F6E">
      <w:pPr>
        <w:keepNext/>
        <w:keepLines/>
        <w:ind w:left="-567"/>
        <w:jc w:val="both"/>
      </w:pPr>
      <w:r w:rsidRPr="00CC5321">
        <w:t xml:space="preserve">Con el fin de garantizar el seguimiento y control de los servicios prestados por el Servicer y del uso correcto de las atribuciones que se le han otorgado en relación con los </w:t>
      </w:r>
      <w:r>
        <w:t>inmuebles con servicio postventa</w:t>
      </w:r>
      <w:r w:rsidRPr="00CC5321">
        <w:t xml:space="preserve"> de BBVA de conformidad con el Contrato de gestión suscrito, se establecen las </w:t>
      </w:r>
      <w:r>
        <w:t xml:space="preserve">siguientes </w:t>
      </w:r>
      <w:r w:rsidRPr="00CC5321">
        <w:t>medidas de contro</w:t>
      </w:r>
      <w:r>
        <w:t xml:space="preserve">l a llevar a cabo por la </w:t>
      </w:r>
      <w:r w:rsidRPr="00114440">
        <w:t>Unidad de Estrategia y Gestión Inmobiliaria de BBVA</w:t>
      </w:r>
      <w:r>
        <w:t xml:space="preserve">: </w:t>
      </w:r>
    </w:p>
    <w:p w14:paraId="2C73D6B6" w14:textId="77777777" w:rsidR="00872694" w:rsidRPr="00CC5321" w:rsidRDefault="00872694" w:rsidP="00CF7F6E">
      <w:pPr>
        <w:keepNext/>
        <w:keepLines/>
        <w:ind w:left="-284" w:hanging="283"/>
        <w:jc w:val="both"/>
      </w:pPr>
    </w:p>
    <w:p w14:paraId="7300E0A7" w14:textId="77777777" w:rsidR="00872694" w:rsidRDefault="00872694" w:rsidP="00613767">
      <w:pPr>
        <w:pStyle w:val="Prrafodelista"/>
        <w:keepNext/>
        <w:keepLines/>
        <w:numPr>
          <w:ilvl w:val="0"/>
          <w:numId w:val="29"/>
        </w:numPr>
        <w:jc w:val="both"/>
      </w:pPr>
      <w:r w:rsidRPr="00613767">
        <w:t xml:space="preserve">Revisión, análisis y custodia del reporte de actividad y controles realizados por el Servicer (apartado anterior). </w:t>
      </w:r>
    </w:p>
    <w:p w14:paraId="03B74D06" w14:textId="77777777" w:rsidR="00432D60" w:rsidRDefault="00872694" w:rsidP="00613767">
      <w:pPr>
        <w:pStyle w:val="Prrafodelista"/>
        <w:keepNext/>
        <w:keepLines/>
        <w:numPr>
          <w:ilvl w:val="0"/>
          <w:numId w:val="29"/>
        </w:numPr>
        <w:jc w:val="both"/>
      </w:pPr>
      <w:r>
        <w:t>R</w:t>
      </w:r>
      <w:r w:rsidRPr="00CC5321">
        <w:t>evisión a partir de una muestra representativa de dichas actuaciones. Se revisará mediante cata un 5% sobre el volumen de actuaciones con un mínimo de  7 actuaciones.</w:t>
      </w:r>
    </w:p>
    <w:p w14:paraId="2A129774" w14:textId="77777777" w:rsidR="00E42B40" w:rsidRDefault="00432D60" w:rsidP="00613767">
      <w:pPr>
        <w:pStyle w:val="Prrafodelista"/>
        <w:keepNext/>
        <w:keepLines/>
        <w:numPr>
          <w:ilvl w:val="0"/>
          <w:numId w:val="29"/>
        </w:numPr>
        <w:jc w:val="both"/>
      </w:pPr>
      <w:r w:rsidRPr="00613767">
        <w:t>La Unidad de Estrategia y Gestión Inmobiliaria de BBVA llevará a cabo un seguimiento de los planes de acción y por ende, de la subsanación de las incidencias detectadas.</w:t>
      </w:r>
    </w:p>
    <w:p w14:paraId="59A233C8" w14:textId="548D5EFF" w:rsidR="00276EA1" w:rsidRPr="00613767" w:rsidRDefault="00B65886" w:rsidP="005647BB">
      <w:pPr>
        <w:pStyle w:val="Prrafodelista"/>
        <w:keepNext/>
        <w:keepLines/>
        <w:numPr>
          <w:ilvl w:val="0"/>
          <w:numId w:val="29"/>
        </w:numPr>
        <w:jc w:val="both"/>
      </w:pPr>
      <w:r w:rsidRPr="00613767">
        <w:lastRenderedPageBreak/>
        <w:t>E</w:t>
      </w:r>
      <w:r w:rsidR="00872694" w:rsidRPr="00613767">
        <w:t xml:space="preserve">n los que se haya detectado incidencia, se comunicará al buzón del Servicer a través del </w:t>
      </w:r>
      <w:r w:rsidRPr="00613767">
        <w:t>citado b</w:t>
      </w:r>
      <w:r w:rsidR="00872694" w:rsidRPr="00613767">
        <w:t xml:space="preserve">uzón </w:t>
      </w:r>
      <w:r w:rsidRPr="00613767">
        <w:t xml:space="preserve">de </w:t>
      </w:r>
      <w:r w:rsidR="00872694" w:rsidRPr="00613767">
        <w:t>BBVA</w:t>
      </w:r>
      <w:r w:rsidRPr="00613767">
        <w:t xml:space="preserve">. </w:t>
      </w:r>
    </w:p>
    <w:p w14:paraId="3EA965DC" w14:textId="77777777" w:rsidR="00872694" w:rsidRPr="00AE2919" w:rsidRDefault="00872694" w:rsidP="00613767">
      <w:pPr>
        <w:pStyle w:val="Ttulo1"/>
        <w:numPr>
          <w:ilvl w:val="0"/>
          <w:numId w:val="5"/>
        </w:numPr>
        <w:ind w:left="-284" w:hanging="425"/>
        <w:rPr>
          <w:b/>
          <w:sz w:val="24"/>
        </w:rPr>
      </w:pPr>
      <w:bookmarkStart w:id="7" w:name="_Toc44949259"/>
      <w:r w:rsidRPr="00AE2919">
        <w:rPr>
          <w:b/>
          <w:sz w:val="24"/>
        </w:rPr>
        <w:t>Revisión por Auditoría Interna BBVA</w:t>
      </w:r>
      <w:bookmarkEnd w:id="7"/>
      <w:r w:rsidRPr="00AE2919">
        <w:rPr>
          <w:b/>
          <w:sz w:val="24"/>
        </w:rPr>
        <w:t xml:space="preserve"> </w:t>
      </w:r>
    </w:p>
    <w:p w14:paraId="6401D48C" w14:textId="4E823D72" w:rsidR="00126527" w:rsidRPr="00114440" w:rsidRDefault="00872694" w:rsidP="005647BB">
      <w:pPr>
        <w:keepNext/>
        <w:keepLines/>
        <w:ind w:left="-709"/>
        <w:jc w:val="both"/>
        <w:rPr>
          <w:rStyle w:val="Hipervnculo"/>
          <w:color w:val="auto"/>
          <w:u w:val="none"/>
        </w:rPr>
      </w:pPr>
      <w:r w:rsidRPr="00114440">
        <w:rPr>
          <w:rStyle w:val="Hipervnculo"/>
          <w:color w:val="auto"/>
          <w:u w:val="none"/>
        </w:rPr>
        <w:t>Tanto el protocolo como las revisiones periódicas descritas en los puntos anteriores se documentarán y quedarán archivados a disposición de las revisiones que BBVA estime oportuno llevar a cabo y, en particular, las que Auditoria Interna de BBVA realice de acuerdo con su propia planificación de trabajos para los servicios prestados por el Servicer.</w:t>
      </w:r>
    </w:p>
    <w:p w14:paraId="3543E48A" w14:textId="44EF87F2" w:rsidR="00126527" w:rsidRPr="007822D8" w:rsidRDefault="00126527" w:rsidP="00126527">
      <w:pPr>
        <w:pStyle w:val="Ttulo1"/>
        <w:numPr>
          <w:ilvl w:val="0"/>
          <w:numId w:val="5"/>
        </w:numPr>
        <w:ind w:left="-284" w:hanging="425"/>
        <w:rPr>
          <w:b/>
          <w:sz w:val="24"/>
        </w:rPr>
      </w:pPr>
      <w:r w:rsidRPr="007822D8">
        <w:rPr>
          <w:b/>
          <w:sz w:val="24"/>
        </w:rPr>
        <w:t>Atribuciones y delegaciones</w:t>
      </w:r>
      <w:bookmarkStart w:id="8" w:name="_Toc44949260"/>
      <w:r w:rsidRPr="007822D8">
        <w:rPr>
          <w:b/>
          <w:sz w:val="24"/>
        </w:rPr>
        <w:t>.</w:t>
      </w:r>
      <w:bookmarkEnd w:id="8"/>
      <w:r w:rsidRPr="007822D8">
        <w:rPr>
          <w:b/>
          <w:sz w:val="24"/>
        </w:rPr>
        <w:t xml:space="preserve"> </w:t>
      </w:r>
    </w:p>
    <w:p w14:paraId="4B5A7EE4" w14:textId="77777777" w:rsidR="007822D8" w:rsidRPr="007822D8" w:rsidRDefault="00126527" w:rsidP="007822D8">
      <w:pPr>
        <w:pStyle w:val="Prrafodelista"/>
        <w:keepNext/>
        <w:keepLines/>
        <w:ind w:left="-709"/>
        <w:rPr>
          <w:rStyle w:val="Hipervnculo"/>
          <w:color w:val="auto"/>
          <w:u w:val="none"/>
        </w:rPr>
      </w:pPr>
      <w:r w:rsidRPr="007822D8">
        <w:rPr>
          <w:rStyle w:val="Hipervnculo"/>
          <w:color w:val="auto"/>
          <w:u w:val="none"/>
        </w:rPr>
        <w:t>Aprobación de encargos y presupuestos en activos en postventa:</w:t>
      </w:r>
    </w:p>
    <w:p w14:paraId="10FB669F" w14:textId="4E88DD3F" w:rsidR="00872694" w:rsidRPr="007822D8" w:rsidRDefault="007822D8" w:rsidP="007822D8">
      <w:pPr>
        <w:pStyle w:val="Prrafodelista"/>
        <w:keepNext/>
        <w:keepLines/>
        <w:ind w:left="-709"/>
        <w:rPr>
          <w:rStyle w:val="Hipervnculo"/>
          <w:color w:val="0070C0"/>
        </w:rPr>
      </w:pPr>
      <w:r w:rsidRPr="007822D8">
        <w:rPr>
          <w:rStyle w:val="Hipervnculo"/>
          <w:color w:val="auto"/>
          <w:u w:val="none"/>
        </w:rPr>
        <w:t xml:space="preserve">Se </w:t>
      </w:r>
      <w:r w:rsidRPr="007822D8">
        <w:t>establece</w:t>
      </w:r>
      <w:r w:rsidRPr="007822D8">
        <w:t xml:space="preserve"> </w:t>
      </w:r>
      <w:r w:rsidRPr="007822D8">
        <w:t xml:space="preserve">una delegación hasta los 300€ por actuación/activo.  En caso de superarse esa cantidad </w:t>
      </w:r>
      <w:r w:rsidRPr="007822D8">
        <w:t xml:space="preserve">el </w:t>
      </w:r>
      <w:proofErr w:type="spellStart"/>
      <w:r w:rsidRPr="007822D8">
        <w:t>Servicer</w:t>
      </w:r>
      <w:proofErr w:type="spellEnd"/>
      <w:r w:rsidRPr="007822D8">
        <w:t xml:space="preserve"> </w:t>
      </w:r>
      <w:r>
        <w:t xml:space="preserve">deberá </w:t>
      </w:r>
      <w:r>
        <w:t>solicitar autorización a EGI BBVA</w:t>
      </w:r>
      <w:r>
        <w:t xml:space="preserve"> al buzón </w:t>
      </w:r>
      <w:hyperlink r:id="rId14" w:history="1">
        <w:r w:rsidRPr="007822D8">
          <w:rPr>
            <w:color w:val="0070C0"/>
          </w:rPr>
          <w:t>egi.gestionactivos@bbva.com</w:t>
        </w:r>
      </w:hyperlink>
      <w:r>
        <w:rPr>
          <w:color w:val="0070C0"/>
          <w:u w:val="single"/>
        </w:rPr>
        <w:t>.</w:t>
      </w:r>
    </w:p>
    <w:p w14:paraId="179C96BD" w14:textId="77777777" w:rsidR="00B34AC2" w:rsidRPr="0072029D" w:rsidRDefault="00B34AC2" w:rsidP="0090785D">
      <w:pPr>
        <w:keepNext/>
        <w:keepLines/>
        <w:jc w:val="both"/>
      </w:pPr>
      <w:bookmarkStart w:id="9" w:name="_GoBack"/>
      <w:bookmarkEnd w:id="9"/>
    </w:p>
    <w:sectPr w:rsidR="00B34AC2" w:rsidRPr="0072029D" w:rsidSect="005969C6">
      <w:headerReference w:type="default" r:id="rId15"/>
      <w:footerReference w:type="default" r:id="rId16"/>
      <w:headerReference w:type="first" r:id="rId17"/>
      <w:pgSz w:w="11906" w:h="16838" w:code="9"/>
      <w:pgMar w:top="1985" w:right="849" w:bottom="1560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46EC4" w14:textId="77777777" w:rsidR="00952D96" w:rsidRDefault="00952D96" w:rsidP="006F010E">
      <w:r>
        <w:separator/>
      </w:r>
    </w:p>
  </w:endnote>
  <w:endnote w:type="continuationSeparator" w:id="0">
    <w:p w14:paraId="39441FE1" w14:textId="77777777" w:rsidR="00952D96" w:rsidRDefault="00952D96" w:rsidP="006F0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VABentonSansLight">
    <w:altName w:val="Calibri"/>
    <w:panose1 w:val="00000000000000000000"/>
    <w:charset w:val="00"/>
    <w:family w:val="modern"/>
    <w:notTrueType/>
    <w:pitch w:val="variable"/>
    <w:sig w:usb0="A000007F" w:usb1="4000804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BVABentonSans">
    <w:altName w:val="Calibri"/>
    <w:panose1 w:val="00000000000000000000"/>
    <w:charset w:val="00"/>
    <w:family w:val="modern"/>
    <w:notTrueType/>
    <w:pitch w:val="variable"/>
    <w:sig w:usb0="A00000BF" w:usb1="5000A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3259974"/>
      <w:docPartObj>
        <w:docPartGallery w:val="Page Numbers (Bottom of Page)"/>
        <w:docPartUnique/>
      </w:docPartObj>
    </w:sdtPr>
    <w:sdtEndPr/>
    <w:sdtContent>
      <w:p w14:paraId="2E3EAC84" w14:textId="77777777" w:rsidR="00147D4B" w:rsidRDefault="000D3BD2" w:rsidP="00890B6F">
        <w:pPr>
          <w:pStyle w:val="Piedepgina"/>
          <w:jc w:val="right"/>
        </w:pPr>
        <w:r w:rsidRPr="00604E4B">
          <w:rPr>
            <w:rStyle w:val="CitadestacadaCar"/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06B2CDCB" wp14:editId="148DA4AA">
                  <wp:simplePos x="0" y="0"/>
                  <wp:positionH relativeFrom="page">
                    <wp:align>center</wp:align>
                  </wp:positionH>
                  <wp:positionV relativeFrom="paragraph">
                    <wp:posOffset>235235</wp:posOffset>
                  </wp:positionV>
                  <wp:extent cx="6863938" cy="0"/>
                  <wp:effectExtent l="0" t="0" r="32385" b="19050"/>
                  <wp:wrapNone/>
                  <wp:docPr id="19" name="Conector recto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8639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8BB575E" id="Conector recto 19" o:spid="_x0000_s1026" style="position:absolute;z-index:2516756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8.5pt" to="540.4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" strokecolor="#287ebf [3044]">
                  <w10:wrap anchorx="page"/>
                </v:line>
              </w:pict>
            </mc:Fallback>
          </mc:AlternateContent>
        </w:r>
      </w:p>
      <w:p w14:paraId="356D0478" w14:textId="77777777" w:rsidR="00147D4B" w:rsidRDefault="00147D4B">
        <w:pPr>
          <w:pStyle w:val="Piedepgina"/>
          <w:jc w:val="right"/>
        </w:pPr>
      </w:p>
      <w:p w14:paraId="32513222" w14:textId="77777777" w:rsidR="00147D4B" w:rsidRDefault="00147D4B">
        <w:pPr>
          <w:pStyle w:val="Piedepgina"/>
          <w:jc w:val="right"/>
        </w:pPr>
      </w:p>
      <w:p w14:paraId="6FFD0137" w14:textId="77777777" w:rsidR="001F0AD7" w:rsidRDefault="001F0A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872">
          <w:rPr>
            <w:noProof/>
          </w:rPr>
          <w:t>7</w:t>
        </w:r>
        <w:r>
          <w:fldChar w:fldCharType="end"/>
        </w:r>
      </w:p>
    </w:sdtContent>
  </w:sdt>
  <w:p w14:paraId="58248407" w14:textId="77777777" w:rsidR="00147D4B" w:rsidRDefault="00147D4B" w:rsidP="00147D4B">
    <w:pPr>
      <w:pStyle w:val="Piedepgina"/>
      <w:tabs>
        <w:tab w:val="clear" w:pos="4513"/>
        <w:tab w:val="clear" w:pos="9026"/>
        <w:tab w:val="left" w:pos="1815"/>
      </w:tabs>
      <w:ind w:left="-1134"/>
    </w:pPr>
    <w:r w:rsidRPr="00604E4B">
      <w:rPr>
        <w:rStyle w:val="CitadestacadaCar"/>
      </w:rPr>
      <w:t>Protocolo Gestión de Postventa v1.0</w:t>
    </w:r>
  </w:p>
  <w:p w14:paraId="0BE9F3DC" w14:textId="77777777" w:rsidR="001F0AD7" w:rsidRDefault="001F0AD7" w:rsidP="001F0AD7">
    <w:pPr>
      <w:pStyle w:val="Encabezado"/>
    </w:pPr>
  </w:p>
  <w:p w14:paraId="293D074E" w14:textId="77777777" w:rsidR="001F0AD7" w:rsidRDefault="001F0AD7" w:rsidP="001F0AD7"/>
  <w:p w14:paraId="254E00A6" w14:textId="77777777" w:rsidR="001F0AD7" w:rsidRDefault="001F0AD7" w:rsidP="001F0AD7">
    <w:pPr>
      <w:pStyle w:val="Piedepgina"/>
    </w:pPr>
  </w:p>
  <w:p w14:paraId="3C7B9475" w14:textId="77777777" w:rsidR="001F0AD7" w:rsidRDefault="001F0AD7" w:rsidP="001F0A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599A0" w14:textId="77777777" w:rsidR="00952D96" w:rsidRDefault="00952D96" w:rsidP="006F010E">
      <w:r>
        <w:separator/>
      </w:r>
    </w:p>
  </w:footnote>
  <w:footnote w:type="continuationSeparator" w:id="0">
    <w:p w14:paraId="1417FB9C" w14:textId="77777777" w:rsidR="00952D96" w:rsidRDefault="00952D96" w:rsidP="006F0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204FE" w14:textId="77777777" w:rsidR="00071F43" w:rsidRPr="00D9492C" w:rsidRDefault="00952D96" w:rsidP="00B06511">
    <w:sdt>
      <w:sdtPr>
        <w:id w:val="-605417454"/>
        <w:docPartObj>
          <w:docPartGallery w:val="Watermarks"/>
          <w:docPartUnique/>
        </w:docPartObj>
      </w:sdtPr>
      <w:sdtEndPr/>
      <w:sdtContent>
        <w:r>
          <w:pict w14:anchorId="7D32589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ORRADOR"/>
              <w10:wrap anchorx="margin" anchory="margin"/>
            </v:shape>
          </w:pict>
        </w:r>
      </w:sdtContent>
    </w:sdt>
    <w:r w:rsidR="00CF76B8" w:rsidRPr="00CF76B8">
      <w:rPr>
        <w:noProof/>
        <w:lang w:eastAsia="es-ES"/>
      </w:rPr>
      <w:drawing>
        <wp:anchor distT="0" distB="0" distL="114300" distR="114300" simplePos="0" relativeHeight="251656192" behindDoc="0" locked="0" layoutInCell="1" allowOverlap="1" wp14:anchorId="0F7CC7DC" wp14:editId="410C0F46">
          <wp:simplePos x="0" y="0"/>
          <wp:positionH relativeFrom="column">
            <wp:posOffset>-575945</wp:posOffset>
          </wp:positionH>
          <wp:positionV relativeFrom="page">
            <wp:posOffset>467995</wp:posOffset>
          </wp:positionV>
          <wp:extent cx="2023200" cy="522000"/>
          <wp:effectExtent l="0" t="0" r="0" b="0"/>
          <wp:wrapNone/>
          <wp:docPr id="9" name="Imagen 9" descr="C:\Users\e049709\Documents\Plantillas y Manuales\New_Begining\Logos\ALINEADO IZQ\BBVA_TAGLINE_ESP\RGB\BBVA_TAGLINE_ESP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049709\Documents\Plantillas y Manuales\New_Begining\Logos\ALINEADO IZQ\BBVA_TAGLINE_ESP\RGB\BBVA_TAGLINE_ESP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32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7F5EC" w14:textId="77777777" w:rsidR="0072029D" w:rsidRPr="00E553D1" w:rsidRDefault="006950F5" w:rsidP="00B67025">
    <w:r w:rsidRPr="00CF76B8"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18F2BEEA" wp14:editId="3392D07B">
          <wp:simplePos x="0" y="0"/>
          <wp:positionH relativeFrom="column">
            <wp:posOffset>-866775</wp:posOffset>
          </wp:positionH>
          <wp:positionV relativeFrom="page">
            <wp:posOffset>350520</wp:posOffset>
          </wp:positionV>
          <wp:extent cx="2023110" cy="521970"/>
          <wp:effectExtent l="0" t="0" r="0" b="0"/>
          <wp:wrapNone/>
          <wp:docPr id="10" name="Imagen 10" descr="C:\Users\e049709\Documents\Plantillas y Manuales\New_Begining\Logos\ALINEADO IZQ\BBVA_TAGLINE_ESP\RGB\BBVA_TAGLINE_ESP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049709\Documents\Plantillas y Manuales\New_Begining\Logos\ALINEADO IZQ\BBVA_TAGLINE_ESP\RGB\BBVA_TAGLINE_ESP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3110" cy="521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92307B" w14:textId="77777777" w:rsidR="0072029D" w:rsidRDefault="0072029D" w:rsidP="00B34AC2">
    <w:pPr>
      <w:pStyle w:val="Encabezad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7E92"/>
    <w:multiLevelType w:val="hybridMultilevel"/>
    <w:tmpl w:val="878CA4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512D4A"/>
    <w:multiLevelType w:val="hybridMultilevel"/>
    <w:tmpl w:val="4D68F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2E0"/>
    <w:multiLevelType w:val="hybridMultilevel"/>
    <w:tmpl w:val="231664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27112"/>
    <w:multiLevelType w:val="hybridMultilevel"/>
    <w:tmpl w:val="1B4A632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F67A8E"/>
    <w:multiLevelType w:val="hybridMultilevel"/>
    <w:tmpl w:val="F372E07E"/>
    <w:lvl w:ilvl="0" w:tplc="0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5D00073"/>
    <w:multiLevelType w:val="hybridMultilevel"/>
    <w:tmpl w:val="D91ED73E"/>
    <w:lvl w:ilvl="0" w:tplc="0C0A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6" w15:restartNumberingAfterBreak="0">
    <w:nsid w:val="170A7D75"/>
    <w:multiLevelType w:val="hybridMultilevel"/>
    <w:tmpl w:val="3DF2CAC8"/>
    <w:lvl w:ilvl="0" w:tplc="1A1E7064">
      <w:start w:val="1"/>
      <w:numFmt w:val="decimal"/>
      <w:pStyle w:val="TDC1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EE47A3"/>
    <w:multiLevelType w:val="hybridMultilevel"/>
    <w:tmpl w:val="D6D65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A5AA6"/>
    <w:multiLevelType w:val="hybridMultilevel"/>
    <w:tmpl w:val="B2B084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A0A65"/>
    <w:multiLevelType w:val="hybridMultilevel"/>
    <w:tmpl w:val="DC28A7B6"/>
    <w:lvl w:ilvl="0" w:tplc="0C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2A6B73D5"/>
    <w:multiLevelType w:val="hybridMultilevel"/>
    <w:tmpl w:val="E66A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41854"/>
    <w:multiLevelType w:val="hybridMultilevel"/>
    <w:tmpl w:val="45A0A206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BF3269"/>
    <w:multiLevelType w:val="hybridMultilevel"/>
    <w:tmpl w:val="68C4AD88"/>
    <w:lvl w:ilvl="0" w:tplc="0C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35C927A4"/>
    <w:multiLevelType w:val="hybridMultilevel"/>
    <w:tmpl w:val="D77681C2"/>
    <w:lvl w:ilvl="0" w:tplc="0C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41A060D5"/>
    <w:multiLevelType w:val="hybridMultilevel"/>
    <w:tmpl w:val="11707AF6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B503AA"/>
    <w:multiLevelType w:val="hybridMultilevel"/>
    <w:tmpl w:val="7DAC8EE2"/>
    <w:lvl w:ilvl="0" w:tplc="71A4078A">
      <w:start w:val="13"/>
      <w:numFmt w:val="bullet"/>
      <w:lvlText w:val="-"/>
      <w:lvlJc w:val="left"/>
      <w:pPr>
        <w:ind w:left="720" w:hanging="360"/>
      </w:pPr>
      <w:rPr>
        <w:rFonts w:ascii="BBVABentonSansLight" w:eastAsiaTheme="minorHAnsi" w:hAnsi="BBVABentonSans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12769"/>
    <w:multiLevelType w:val="hybridMultilevel"/>
    <w:tmpl w:val="57CCB9AC"/>
    <w:lvl w:ilvl="0" w:tplc="0C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7" w15:restartNumberingAfterBreak="0">
    <w:nsid w:val="4DB84962"/>
    <w:multiLevelType w:val="hybridMultilevel"/>
    <w:tmpl w:val="0F08E86A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A305C0"/>
    <w:multiLevelType w:val="hybridMultilevel"/>
    <w:tmpl w:val="A1DE319E"/>
    <w:lvl w:ilvl="0" w:tplc="45B49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DA51F6"/>
    <w:multiLevelType w:val="hybridMultilevel"/>
    <w:tmpl w:val="428ED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50BF2"/>
    <w:multiLevelType w:val="hybridMultilevel"/>
    <w:tmpl w:val="EBACCFC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11611"/>
    <w:multiLevelType w:val="hybridMultilevel"/>
    <w:tmpl w:val="7EDAEC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AE4A28"/>
    <w:multiLevelType w:val="hybridMultilevel"/>
    <w:tmpl w:val="442CDDB4"/>
    <w:lvl w:ilvl="0" w:tplc="0C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64A97F79"/>
    <w:multiLevelType w:val="hybridMultilevel"/>
    <w:tmpl w:val="8050DC18"/>
    <w:lvl w:ilvl="0" w:tplc="0C0A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731" w:hanging="360"/>
      </w:pPr>
    </w:lvl>
    <w:lvl w:ilvl="2" w:tplc="0C0A001B" w:tentative="1">
      <w:start w:val="1"/>
      <w:numFmt w:val="lowerRoman"/>
      <w:lvlText w:val="%3."/>
      <w:lvlJc w:val="right"/>
      <w:pPr>
        <w:ind w:left="1451" w:hanging="180"/>
      </w:pPr>
    </w:lvl>
    <w:lvl w:ilvl="3" w:tplc="0C0A000F" w:tentative="1">
      <w:start w:val="1"/>
      <w:numFmt w:val="decimal"/>
      <w:lvlText w:val="%4."/>
      <w:lvlJc w:val="left"/>
      <w:pPr>
        <w:ind w:left="2171" w:hanging="360"/>
      </w:pPr>
    </w:lvl>
    <w:lvl w:ilvl="4" w:tplc="0C0A0019" w:tentative="1">
      <w:start w:val="1"/>
      <w:numFmt w:val="lowerLetter"/>
      <w:lvlText w:val="%5."/>
      <w:lvlJc w:val="left"/>
      <w:pPr>
        <w:ind w:left="2891" w:hanging="360"/>
      </w:pPr>
    </w:lvl>
    <w:lvl w:ilvl="5" w:tplc="0C0A001B" w:tentative="1">
      <w:start w:val="1"/>
      <w:numFmt w:val="lowerRoman"/>
      <w:lvlText w:val="%6."/>
      <w:lvlJc w:val="right"/>
      <w:pPr>
        <w:ind w:left="3611" w:hanging="180"/>
      </w:pPr>
    </w:lvl>
    <w:lvl w:ilvl="6" w:tplc="0C0A000F" w:tentative="1">
      <w:start w:val="1"/>
      <w:numFmt w:val="decimal"/>
      <w:lvlText w:val="%7."/>
      <w:lvlJc w:val="left"/>
      <w:pPr>
        <w:ind w:left="4331" w:hanging="360"/>
      </w:pPr>
    </w:lvl>
    <w:lvl w:ilvl="7" w:tplc="0C0A0019" w:tentative="1">
      <w:start w:val="1"/>
      <w:numFmt w:val="lowerLetter"/>
      <w:lvlText w:val="%8."/>
      <w:lvlJc w:val="left"/>
      <w:pPr>
        <w:ind w:left="5051" w:hanging="360"/>
      </w:pPr>
    </w:lvl>
    <w:lvl w:ilvl="8" w:tplc="0C0A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 w15:restartNumberingAfterBreak="0">
    <w:nsid w:val="67C537E0"/>
    <w:multiLevelType w:val="hybridMultilevel"/>
    <w:tmpl w:val="1D221F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07A5A"/>
    <w:multiLevelType w:val="hybridMultilevel"/>
    <w:tmpl w:val="1D06ECFA"/>
    <w:lvl w:ilvl="0" w:tplc="0C0A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6" w15:restartNumberingAfterBreak="0">
    <w:nsid w:val="717432B6"/>
    <w:multiLevelType w:val="hybridMultilevel"/>
    <w:tmpl w:val="660C314E"/>
    <w:lvl w:ilvl="0" w:tplc="D68EA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8751A6"/>
    <w:multiLevelType w:val="hybridMultilevel"/>
    <w:tmpl w:val="09848A4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A5FB4" w:themeColor="text2"/>
        <w:sz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77D32"/>
    <w:multiLevelType w:val="hybridMultilevel"/>
    <w:tmpl w:val="386A9766"/>
    <w:lvl w:ilvl="0" w:tplc="0AC20216">
      <w:start w:val="1"/>
      <w:numFmt w:val="bullet"/>
      <w:pStyle w:val="Bulletnivel1"/>
      <w:lvlText w:val=""/>
      <w:lvlJc w:val="left"/>
      <w:pPr>
        <w:ind w:left="360" w:hanging="360"/>
      </w:pPr>
      <w:rPr>
        <w:rFonts w:ascii="Symbol" w:hAnsi="Symbol" w:hint="default"/>
        <w:lang w:val="es-ES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4E4682"/>
    <w:multiLevelType w:val="hybridMultilevel"/>
    <w:tmpl w:val="4EFED40E"/>
    <w:lvl w:ilvl="0" w:tplc="0C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0" w15:restartNumberingAfterBreak="0">
    <w:nsid w:val="7AF15165"/>
    <w:multiLevelType w:val="hybridMultilevel"/>
    <w:tmpl w:val="AAF6206E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 w15:restartNumberingAfterBreak="0">
    <w:nsid w:val="7F4009A3"/>
    <w:multiLevelType w:val="hybridMultilevel"/>
    <w:tmpl w:val="C96A94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6F19C4"/>
    <w:multiLevelType w:val="hybridMultilevel"/>
    <w:tmpl w:val="56E613B2"/>
    <w:lvl w:ilvl="0" w:tplc="FA32D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DD1905"/>
    <w:multiLevelType w:val="hybridMultilevel"/>
    <w:tmpl w:val="1A6ACA52"/>
    <w:lvl w:ilvl="0" w:tplc="0C0A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1"/>
  </w:num>
  <w:num w:numId="4">
    <w:abstractNumId w:val="31"/>
  </w:num>
  <w:num w:numId="5">
    <w:abstractNumId w:val="27"/>
  </w:num>
  <w:num w:numId="6">
    <w:abstractNumId w:val="32"/>
  </w:num>
  <w:num w:numId="7">
    <w:abstractNumId w:val="3"/>
  </w:num>
  <w:num w:numId="8">
    <w:abstractNumId w:val="0"/>
  </w:num>
  <w:num w:numId="9">
    <w:abstractNumId w:val="16"/>
  </w:num>
  <w:num w:numId="10">
    <w:abstractNumId w:val="18"/>
  </w:num>
  <w:num w:numId="11">
    <w:abstractNumId w:val="30"/>
  </w:num>
  <w:num w:numId="12">
    <w:abstractNumId w:val="9"/>
  </w:num>
  <w:num w:numId="13">
    <w:abstractNumId w:val="22"/>
  </w:num>
  <w:num w:numId="14">
    <w:abstractNumId w:val="8"/>
  </w:num>
  <w:num w:numId="15">
    <w:abstractNumId w:val="28"/>
  </w:num>
  <w:num w:numId="16">
    <w:abstractNumId w:val="19"/>
  </w:num>
  <w:num w:numId="17">
    <w:abstractNumId w:val="10"/>
  </w:num>
  <w:num w:numId="18">
    <w:abstractNumId w:val="14"/>
  </w:num>
  <w:num w:numId="19">
    <w:abstractNumId w:val="4"/>
  </w:num>
  <w:num w:numId="20">
    <w:abstractNumId w:val="29"/>
  </w:num>
  <w:num w:numId="21">
    <w:abstractNumId w:val="12"/>
  </w:num>
  <w:num w:numId="22">
    <w:abstractNumId w:val="13"/>
  </w:num>
  <w:num w:numId="23">
    <w:abstractNumId w:val="25"/>
  </w:num>
  <w:num w:numId="24">
    <w:abstractNumId w:val="23"/>
  </w:num>
  <w:num w:numId="25">
    <w:abstractNumId w:val="6"/>
  </w:num>
  <w:num w:numId="26">
    <w:abstractNumId w:val="17"/>
  </w:num>
  <w:num w:numId="27">
    <w:abstractNumId w:val="20"/>
  </w:num>
  <w:num w:numId="28">
    <w:abstractNumId w:val="5"/>
  </w:num>
  <w:num w:numId="29">
    <w:abstractNumId w:val="33"/>
  </w:num>
  <w:num w:numId="30">
    <w:abstractNumId w:val="24"/>
  </w:num>
  <w:num w:numId="31">
    <w:abstractNumId w:val="26"/>
  </w:num>
  <w:num w:numId="32">
    <w:abstractNumId w:val="7"/>
  </w:num>
  <w:num w:numId="33">
    <w:abstractNumId w:val="15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835"/>
    <w:rsid w:val="00003677"/>
    <w:rsid w:val="00012F90"/>
    <w:rsid w:val="0003259A"/>
    <w:rsid w:val="0003438D"/>
    <w:rsid w:val="00036274"/>
    <w:rsid w:val="0004042C"/>
    <w:rsid w:val="00071F43"/>
    <w:rsid w:val="00073620"/>
    <w:rsid w:val="000A0889"/>
    <w:rsid w:val="000A6A1A"/>
    <w:rsid w:val="000B1E77"/>
    <w:rsid w:val="000B38E9"/>
    <w:rsid w:val="000B7AF7"/>
    <w:rsid w:val="000D3BD2"/>
    <w:rsid w:val="000F1A60"/>
    <w:rsid w:val="000F21E1"/>
    <w:rsid w:val="000F325B"/>
    <w:rsid w:val="00104BE6"/>
    <w:rsid w:val="00114440"/>
    <w:rsid w:val="00126527"/>
    <w:rsid w:val="001438D1"/>
    <w:rsid w:val="00144314"/>
    <w:rsid w:val="00146200"/>
    <w:rsid w:val="00146BB0"/>
    <w:rsid w:val="00147D4B"/>
    <w:rsid w:val="001622B2"/>
    <w:rsid w:val="00171BA2"/>
    <w:rsid w:val="0018298C"/>
    <w:rsid w:val="00182C42"/>
    <w:rsid w:val="00184C5D"/>
    <w:rsid w:val="001B0C58"/>
    <w:rsid w:val="001C5E28"/>
    <w:rsid w:val="001D14ED"/>
    <w:rsid w:val="001D3D34"/>
    <w:rsid w:val="001E6513"/>
    <w:rsid w:val="001F0AD7"/>
    <w:rsid w:val="002106C0"/>
    <w:rsid w:val="00224271"/>
    <w:rsid w:val="0023192A"/>
    <w:rsid w:val="002417E1"/>
    <w:rsid w:val="0024340B"/>
    <w:rsid w:val="00253A2E"/>
    <w:rsid w:val="002571A6"/>
    <w:rsid w:val="002661A5"/>
    <w:rsid w:val="002713A8"/>
    <w:rsid w:val="00276EA1"/>
    <w:rsid w:val="0028107B"/>
    <w:rsid w:val="00285762"/>
    <w:rsid w:val="00296547"/>
    <w:rsid w:val="002A1FBA"/>
    <w:rsid w:val="002F6278"/>
    <w:rsid w:val="00332EF8"/>
    <w:rsid w:val="00354BC1"/>
    <w:rsid w:val="00376886"/>
    <w:rsid w:val="0039026D"/>
    <w:rsid w:val="003925D9"/>
    <w:rsid w:val="003A636D"/>
    <w:rsid w:val="003A6B09"/>
    <w:rsid w:val="003D70F1"/>
    <w:rsid w:val="00432D60"/>
    <w:rsid w:val="00447AC0"/>
    <w:rsid w:val="00452F2B"/>
    <w:rsid w:val="00490FAB"/>
    <w:rsid w:val="004A6285"/>
    <w:rsid w:val="004B0835"/>
    <w:rsid w:val="004F3B5D"/>
    <w:rsid w:val="004F50CF"/>
    <w:rsid w:val="00513ABE"/>
    <w:rsid w:val="00542A2A"/>
    <w:rsid w:val="00552951"/>
    <w:rsid w:val="005550D2"/>
    <w:rsid w:val="00560334"/>
    <w:rsid w:val="00564697"/>
    <w:rsid w:val="005647BB"/>
    <w:rsid w:val="005969C6"/>
    <w:rsid w:val="005B3E83"/>
    <w:rsid w:val="005D6E2B"/>
    <w:rsid w:val="005F177B"/>
    <w:rsid w:val="00605829"/>
    <w:rsid w:val="00611FEA"/>
    <w:rsid w:val="00613767"/>
    <w:rsid w:val="006143A6"/>
    <w:rsid w:val="0064414F"/>
    <w:rsid w:val="006442C9"/>
    <w:rsid w:val="00657B59"/>
    <w:rsid w:val="00662656"/>
    <w:rsid w:val="00665038"/>
    <w:rsid w:val="006950F5"/>
    <w:rsid w:val="006C4EA4"/>
    <w:rsid w:val="006E3D4D"/>
    <w:rsid w:val="006F010E"/>
    <w:rsid w:val="006F349C"/>
    <w:rsid w:val="0071100E"/>
    <w:rsid w:val="00713BB0"/>
    <w:rsid w:val="0072029D"/>
    <w:rsid w:val="007216FF"/>
    <w:rsid w:val="00725C18"/>
    <w:rsid w:val="007312C5"/>
    <w:rsid w:val="007469AD"/>
    <w:rsid w:val="00763DAE"/>
    <w:rsid w:val="00766225"/>
    <w:rsid w:val="00776430"/>
    <w:rsid w:val="00780645"/>
    <w:rsid w:val="00780FC5"/>
    <w:rsid w:val="007822D8"/>
    <w:rsid w:val="00785C40"/>
    <w:rsid w:val="007949E2"/>
    <w:rsid w:val="007A63E3"/>
    <w:rsid w:val="007A7FFA"/>
    <w:rsid w:val="007B1B1E"/>
    <w:rsid w:val="007B4A2B"/>
    <w:rsid w:val="007B5220"/>
    <w:rsid w:val="00846787"/>
    <w:rsid w:val="00853BE2"/>
    <w:rsid w:val="008616F5"/>
    <w:rsid w:val="00861D36"/>
    <w:rsid w:val="00872694"/>
    <w:rsid w:val="00890B6F"/>
    <w:rsid w:val="008954D2"/>
    <w:rsid w:val="008A14CE"/>
    <w:rsid w:val="008D380A"/>
    <w:rsid w:val="00901872"/>
    <w:rsid w:val="00904E5B"/>
    <w:rsid w:val="0090785D"/>
    <w:rsid w:val="00907DDE"/>
    <w:rsid w:val="009458F4"/>
    <w:rsid w:val="00946BCC"/>
    <w:rsid w:val="00947A57"/>
    <w:rsid w:val="00952D96"/>
    <w:rsid w:val="00963EA5"/>
    <w:rsid w:val="00974260"/>
    <w:rsid w:val="00975421"/>
    <w:rsid w:val="009A081B"/>
    <w:rsid w:val="009A1C47"/>
    <w:rsid w:val="009A6A34"/>
    <w:rsid w:val="009B6A82"/>
    <w:rsid w:val="009C2DDC"/>
    <w:rsid w:val="009F0EE0"/>
    <w:rsid w:val="009F7624"/>
    <w:rsid w:val="00A103F8"/>
    <w:rsid w:val="00AC3A5C"/>
    <w:rsid w:val="00AD5FAC"/>
    <w:rsid w:val="00AE6E04"/>
    <w:rsid w:val="00AE78A3"/>
    <w:rsid w:val="00AF51C8"/>
    <w:rsid w:val="00B06511"/>
    <w:rsid w:val="00B34AC2"/>
    <w:rsid w:val="00B46275"/>
    <w:rsid w:val="00B65886"/>
    <w:rsid w:val="00B67025"/>
    <w:rsid w:val="00B73E34"/>
    <w:rsid w:val="00B77388"/>
    <w:rsid w:val="00B87759"/>
    <w:rsid w:val="00B96D38"/>
    <w:rsid w:val="00BA59FC"/>
    <w:rsid w:val="00BC37D6"/>
    <w:rsid w:val="00BE5BCA"/>
    <w:rsid w:val="00BF5E30"/>
    <w:rsid w:val="00C163F2"/>
    <w:rsid w:val="00C22FEC"/>
    <w:rsid w:val="00C326A0"/>
    <w:rsid w:val="00C33649"/>
    <w:rsid w:val="00C361A4"/>
    <w:rsid w:val="00C4153A"/>
    <w:rsid w:val="00C63C3B"/>
    <w:rsid w:val="00C75310"/>
    <w:rsid w:val="00C765B9"/>
    <w:rsid w:val="00C83745"/>
    <w:rsid w:val="00CC7F2F"/>
    <w:rsid w:val="00CD78D0"/>
    <w:rsid w:val="00CE1C7A"/>
    <w:rsid w:val="00CE6413"/>
    <w:rsid w:val="00CF243A"/>
    <w:rsid w:val="00CF76B8"/>
    <w:rsid w:val="00CF7F6E"/>
    <w:rsid w:val="00D9492C"/>
    <w:rsid w:val="00DB6C12"/>
    <w:rsid w:val="00DD0F36"/>
    <w:rsid w:val="00DD3C4F"/>
    <w:rsid w:val="00E1711E"/>
    <w:rsid w:val="00E2131B"/>
    <w:rsid w:val="00E338FB"/>
    <w:rsid w:val="00E33D97"/>
    <w:rsid w:val="00E42B40"/>
    <w:rsid w:val="00E550FD"/>
    <w:rsid w:val="00E553D1"/>
    <w:rsid w:val="00E57366"/>
    <w:rsid w:val="00E62DA6"/>
    <w:rsid w:val="00E72338"/>
    <w:rsid w:val="00E92EF7"/>
    <w:rsid w:val="00E94545"/>
    <w:rsid w:val="00EA00AB"/>
    <w:rsid w:val="00EB38DA"/>
    <w:rsid w:val="00EB3CBF"/>
    <w:rsid w:val="00EC02A3"/>
    <w:rsid w:val="00EC3C55"/>
    <w:rsid w:val="00F125B4"/>
    <w:rsid w:val="00F16407"/>
    <w:rsid w:val="00F1721B"/>
    <w:rsid w:val="00F209FB"/>
    <w:rsid w:val="00F213B9"/>
    <w:rsid w:val="00F36231"/>
    <w:rsid w:val="00F50A3F"/>
    <w:rsid w:val="00F578C6"/>
    <w:rsid w:val="00F83F87"/>
    <w:rsid w:val="00FA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8182B7D"/>
  <w15:docId w15:val="{BA63830E-F816-43B0-B87E-A884521A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694"/>
    <w:pPr>
      <w:spacing w:after="0"/>
    </w:pPr>
  </w:style>
  <w:style w:type="paragraph" w:styleId="Ttulo1">
    <w:name w:val="heading 1"/>
    <w:basedOn w:val="Normal"/>
    <w:next w:val="Normal"/>
    <w:link w:val="Ttulo1Car"/>
    <w:uiPriority w:val="9"/>
    <w:qFormat/>
    <w:rsid w:val="008726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6497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6407"/>
    <w:pPr>
      <w:spacing w:after="30"/>
      <w:ind w:left="6067"/>
    </w:pPr>
    <w:rPr>
      <w:sz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C33649"/>
    <w:rPr>
      <w:color w:val="666666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DD3C4F"/>
    <w:pPr>
      <w:tabs>
        <w:tab w:val="center" w:pos="4513"/>
        <w:tab w:val="right" w:pos="9026"/>
      </w:tabs>
    </w:pPr>
    <w:rPr>
      <w:sz w:val="13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3C4F"/>
    <w:rPr>
      <w:color w:val="666666"/>
      <w:sz w:val="1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01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10E"/>
    <w:rPr>
      <w:rFonts w:ascii="Tahoma" w:hAnsi="Tahoma" w:cs="Tahoma"/>
      <w:sz w:val="16"/>
      <w:szCs w:val="16"/>
    </w:rPr>
  </w:style>
  <w:style w:type="character" w:styleId="Nmerodelnea">
    <w:name w:val="line number"/>
    <w:basedOn w:val="Fuentedeprrafopredeter"/>
    <w:uiPriority w:val="99"/>
    <w:semiHidden/>
    <w:unhideWhenUsed/>
    <w:rsid w:val="0028107B"/>
  </w:style>
  <w:style w:type="paragraph" w:customStyle="1" w:styleId="Saludoinicial">
    <w:name w:val="Saludo inicial"/>
    <w:next w:val="Normal"/>
    <w:qFormat/>
    <w:rsid w:val="00144314"/>
    <w:pPr>
      <w:spacing w:after="600" w:line="240" w:lineRule="auto"/>
    </w:pPr>
    <w:rPr>
      <w:color w:val="666666"/>
      <w:lang w:val="es-ES_tradnl"/>
    </w:rPr>
  </w:style>
  <w:style w:type="paragraph" w:styleId="Sinespaciado">
    <w:name w:val="No Spacing"/>
    <w:uiPriority w:val="1"/>
    <w:rsid w:val="000F21E1"/>
    <w:pPr>
      <w:widowControl w:val="0"/>
      <w:spacing w:after="0" w:line="240" w:lineRule="auto"/>
    </w:pPr>
    <w:rPr>
      <w:color w:val="666666"/>
      <w:sz w:val="18"/>
    </w:rPr>
  </w:style>
  <w:style w:type="paragraph" w:customStyle="1" w:styleId="textonormal">
    <w:name w:val="texto normal"/>
    <w:next w:val="Normal"/>
    <w:qFormat/>
    <w:rsid w:val="00144314"/>
    <w:pPr>
      <w:spacing w:after="180" w:line="240" w:lineRule="auto"/>
    </w:pPr>
    <w:rPr>
      <w:color w:val="66666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72694"/>
    <w:rPr>
      <w:rFonts w:asciiTheme="majorHAnsi" w:eastAsiaTheme="majorEastAsia" w:hAnsiTheme="majorHAnsi" w:cstheme="majorBidi"/>
      <w:color w:val="1F6497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726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2694"/>
    <w:rPr>
      <w:color w:val="00448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72694"/>
    <w:pPr>
      <w:spacing w:line="259" w:lineRule="auto"/>
      <w:outlineLvl w:val="9"/>
    </w:pPr>
    <w:rPr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2694"/>
    <w:pPr>
      <w:pBdr>
        <w:top w:val="single" w:sz="4" w:space="10" w:color="2A86CA" w:themeColor="accent1"/>
        <w:bottom w:val="single" w:sz="4" w:space="10" w:color="2A86CA" w:themeColor="accent1"/>
      </w:pBdr>
      <w:spacing w:before="360" w:after="360"/>
      <w:ind w:left="864" w:right="864"/>
      <w:jc w:val="center"/>
    </w:pPr>
    <w:rPr>
      <w:i/>
      <w:iCs/>
      <w:color w:val="2A86CA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2694"/>
    <w:rPr>
      <w:i/>
      <w:iCs/>
      <w:color w:val="2A86CA" w:themeColor="accent1"/>
    </w:rPr>
  </w:style>
  <w:style w:type="table" w:styleId="Tablanormal1">
    <w:name w:val="Plain Table 1"/>
    <w:basedOn w:val="Tablanormal"/>
    <w:uiPriority w:val="41"/>
    <w:rsid w:val="008726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5">
    <w:name w:val="Grid Table 4 Accent 5"/>
    <w:basedOn w:val="Tablanormal"/>
    <w:uiPriority w:val="49"/>
    <w:rsid w:val="00872694"/>
    <w:pPr>
      <w:spacing w:after="0" w:line="240" w:lineRule="auto"/>
    </w:pPr>
    <w:tblPr>
      <w:tblStyleRowBandSize w:val="1"/>
      <w:tblStyleColBandSize w:val="1"/>
      <w:tblBorders>
        <w:top w:val="single" w:sz="4" w:space="0" w:color="E7D7AC" w:themeColor="accent5" w:themeTint="99"/>
        <w:left w:val="single" w:sz="4" w:space="0" w:color="E7D7AC" w:themeColor="accent5" w:themeTint="99"/>
        <w:bottom w:val="single" w:sz="4" w:space="0" w:color="E7D7AC" w:themeColor="accent5" w:themeTint="99"/>
        <w:right w:val="single" w:sz="4" w:space="0" w:color="E7D7AC" w:themeColor="accent5" w:themeTint="99"/>
        <w:insideH w:val="single" w:sz="4" w:space="0" w:color="E7D7AC" w:themeColor="accent5" w:themeTint="99"/>
        <w:insideV w:val="single" w:sz="4" w:space="0" w:color="E7D7A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E75" w:themeColor="accent5"/>
          <w:left w:val="single" w:sz="4" w:space="0" w:color="D8BE75" w:themeColor="accent5"/>
          <w:bottom w:val="single" w:sz="4" w:space="0" w:color="D8BE75" w:themeColor="accent5"/>
          <w:right w:val="single" w:sz="4" w:space="0" w:color="D8BE75" w:themeColor="accent5"/>
          <w:insideH w:val="nil"/>
          <w:insideV w:val="nil"/>
        </w:tcBorders>
        <w:shd w:val="clear" w:color="auto" w:fill="D8BE75" w:themeFill="accent5"/>
      </w:tcPr>
    </w:tblStylePr>
    <w:tblStylePr w:type="lastRow">
      <w:rPr>
        <w:b/>
        <w:bCs/>
      </w:rPr>
      <w:tblPr/>
      <w:tcPr>
        <w:tcBorders>
          <w:top w:val="double" w:sz="4" w:space="0" w:color="D8BE7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1E3" w:themeFill="accent5" w:themeFillTint="33"/>
      </w:tcPr>
    </w:tblStylePr>
    <w:tblStylePr w:type="band1Horz">
      <w:tblPr/>
      <w:tcPr>
        <w:shd w:val="clear" w:color="auto" w:fill="F7F1E3" w:themeFill="accent5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613767"/>
    <w:pPr>
      <w:keepNext/>
      <w:keepLines/>
      <w:numPr>
        <w:numId w:val="25"/>
      </w:numPr>
      <w:tabs>
        <w:tab w:val="left" w:pos="0"/>
        <w:tab w:val="right" w:leader="dot" w:pos="9214"/>
      </w:tabs>
      <w:spacing w:after="100"/>
    </w:pPr>
  </w:style>
  <w:style w:type="table" w:styleId="Tablaconcuadrcula6concolores-nfasis1">
    <w:name w:val="Grid Table 6 Colorful Accent 1"/>
    <w:basedOn w:val="Tablanormal"/>
    <w:uiPriority w:val="51"/>
    <w:rsid w:val="00872694"/>
    <w:pPr>
      <w:spacing w:after="0" w:line="240" w:lineRule="auto"/>
    </w:pPr>
    <w:rPr>
      <w:color w:val="1F6497" w:themeColor="accent1" w:themeShade="BF"/>
    </w:rPr>
    <w:tblPr>
      <w:tblStyleRowBandSize w:val="1"/>
      <w:tblStyleColBandSize w:val="1"/>
      <w:tblBorders>
        <w:top w:val="single" w:sz="4" w:space="0" w:color="7AB6E3" w:themeColor="accent1" w:themeTint="99"/>
        <w:left w:val="single" w:sz="4" w:space="0" w:color="7AB6E3" w:themeColor="accent1" w:themeTint="99"/>
        <w:bottom w:val="single" w:sz="4" w:space="0" w:color="7AB6E3" w:themeColor="accent1" w:themeTint="99"/>
        <w:right w:val="single" w:sz="4" w:space="0" w:color="7AB6E3" w:themeColor="accent1" w:themeTint="99"/>
        <w:insideH w:val="single" w:sz="4" w:space="0" w:color="7AB6E3" w:themeColor="accent1" w:themeTint="99"/>
        <w:insideV w:val="single" w:sz="4" w:space="0" w:color="7AB6E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B6E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B6E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6F5" w:themeFill="accent1" w:themeFillTint="33"/>
      </w:tcPr>
    </w:tblStylePr>
    <w:tblStylePr w:type="band1Horz">
      <w:tblPr/>
      <w:tcPr>
        <w:shd w:val="clear" w:color="auto" w:fill="D2E6F5" w:themeFill="accent1" w:themeFillTint="33"/>
      </w:tcPr>
    </w:tblStylePr>
  </w:style>
  <w:style w:type="paragraph" w:customStyle="1" w:styleId="Bulletnivel1">
    <w:name w:val="Bullet nivel 1"/>
    <w:basedOn w:val="Normal"/>
    <w:link w:val="Bulletnivel1Char"/>
    <w:qFormat/>
    <w:rsid w:val="00872694"/>
    <w:pPr>
      <w:numPr>
        <w:numId w:val="15"/>
      </w:numPr>
      <w:spacing w:after="120"/>
      <w:jc w:val="both"/>
    </w:pPr>
    <w:rPr>
      <w:rFonts w:ascii="Arial" w:eastAsia="Times New Roman" w:hAnsi="Arial" w:cs="Arial"/>
      <w:color w:val="355D8A"/>
      <w:sz w:val="24"/>
      <w:lang w:eastAsia="es-ES"/>
    </w:rPr>
  </w:style>
  <w:style w:type="character" w:customStyle="1" w:styleId="Bulletnivel1Char">
    <w:name w:val="Bullet nivel 1 Char"/>
    <w:link w:val="Bulletnivel1"/>
    <w:rsid w:val="00872694"/>
    <w:rPr>
      <w:rFonts w:ascii="Arial" w:eastAsia="Times New Roman" w:hAnsi="Arial" w:cs="Arial"/>
      <w:color w:val="355D8A"/>
      <w:sz w:val="24"/>
      <w:lang w:eastAsia="es-ES"/>
    </w:rPr>
  </w:style>
  <w:style w:type="table" w:styleId="Tablaconcuadrcula4-nfasis2">
    <w:name w:val="Grid Table 4 Accent 2"/>
    <w:basedOn w:val="Tablanormal"/>
    <w:uiPriority w:val="49"/>
    <w:rsid w:val="00872694"/>
    <w:pPr>
      <w:spacing w:after="0" w:line="240" w:lineRule="auto"/>
    </w:pPr>
    <w:tblPr>
      <w:tblStyleRowBandSize w:val="1"/>
      <w:tblStyleColBandSize w:val="1"/>
      <w:tblBorders>
        <w:top w:val="single" w:sz="4" w:space="0" w:color="9CD7FE" w:themeColor="accent2" w:themeTint="99"/>
        <w:left w:val="single" w:sz="4" w:space="0" w:color="9CD7FE" w:themeColor="accent2" w:themeTint="99"/>
        <w:bottom w:val="single" w:sz="4" w:space="0" w:color="9CD7FE" w:themeColor="accent2" w:themeTint="99"/>
        <w:right w:val="single" w:sz="4" w:space="0" w:color="9CD7FE" w:themeColor="accent2" w:themeTint="99"/>
        <w:insideH w:val="single" w:sz="4" w:space="0" w:color="9CD7FE" w:themeColor="accent2" w:themeTint="99"/>
        <w:insideV w:val="single" w:sz="4" w:space="0" w:color="9CD7F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BEFE" w:themeColor="accent2"/>
          <w:left w:val="single" w:sz="4" w:space="0" w:color="5BBEFE" w:themeColor="accent2"/>
          <w:bottom w:val="single" w:sz="4" w:space="0" w:color="5BBEFE" w:themeColor="accent2"/>
          <w:right w:val="single" w:sz="4" w:space="0" w:color="5BBEFE" w:themeColor="accent2"/>
          <w:insideH w:val="nil"/>
          <w:insideV w:val="nil"/>
        </w:tcBorders>
        <w:shd w:val="clear" w:color="auto" w:fill="5BBEFE" w:themeFill="accent2"/>
      </w:tcPr>
    </w:tblStylePr>
    <w:tblStylePr w:type="lastRow">
      <w:rPr>
        <w:b/>
        <w:bCs/>
      </w:rPr>
      <w:tblPr/>
      <w:tcPr>
        <w:tcBorders>
          <w:top w:val="double" w:sz="4" w:space="0" w:color="5BBEF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1FE" w:themeFill="accent2" w:themeFillTint="33"/>
      </w:tcPr>
    </w:tblStylePr>
    <w:tblStylePr w:type="band1Horz">
      <w:tblPr/>
      <w:tcPr>
        <w:shd w:val="clear" w:color="auto" w:fill="DEF1FE" w:themeFill="accent2" w:themeFillTint="33"/>
      </w:tcPr>
    </w:tblStylePr>
  </w:style>
  <w:style w:type="table" w:styleId="Sombreadomedio1-nfasis5">
    <w:name w:val="Medium Shading 1 Accent 5"/>
    <w:basedOn w:val="Tablanormal"/>
    <w:uiPriority w:val="63"/>
    <w:rsid w:val="00E550FD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8" w:space="0" w:color="E1CE97" w:themeColor="accent5" w:themeTint="BF"/>
        <w:left w:val="single" w:sz="8" w:space="0" w:color="E1CE97" w:themeColor="accent5" w:themeTint="BF"/>
        <w:bottom w:val="single" w:sz="8" w:space="0" w:color="E1CE97" w:themeColor="accent5" w:themeTint="BF"/>
        <w:right w:val="single" w:sz="8" w:space="0" w:color="E1CE97" w:themeColor="accent5" w:themeTint="BF"/>
        <w:insideH w:val="single" w:sz="8" w:space="0" w:color="E1CE9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E97" w:themeColor="accent5" w:themeTint="BF"/>
          <w:left w:val="single" w:sz="8" w:space="0" w:color="E1CE97" w:themeColor="accent5" w:themeTint="BF"/>
          <w:bottom w:val="single" w:sz="8" w:space="0" w:color="E1CE97" w:themeColor="accent5" w:themeTint="BF"/>
          <w:right w:val="single" w:sz="8" w:space="0" w:color="E1CE97" w:themeColor="accent5" w:themeTint="BF"/>
          <w:insideH w:val="nil"/>
          <w:insideV w:val="nil"/>
        </w:tcBorders>
        <w:shd w:val="clear" w:color="auto" w:fill="D8BE7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E97" w:themeColor="accent5" w:themeTint="BF"/>
          <w:left w:val="single" w:sz="8" w:space="0" w:color="E1CE97" w:themeColor="accent5" w:themeTint="BF"/>
          <w:bottom w:val="single" w:sz="8" w:space="0" w:color="E1CE97" w:themeColor="accent5" w:themeTint="BF"/>
          <w:right w:val="single" w:sz="8" w:space="0" w:color="E1CE9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E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E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54BC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4BC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4BC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4BC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4BC1"/>
    <w:rPr>
      <w:b/>
      <w:bCs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B0C58"/>
    <w:rPr>
      <w:color w:val="605E5C"/>
      <w:shd w:val="clear" w:color="auto" w:fill="E1DFDD"/>
    </w:rPr>
  </w:style>
  <w:style w:type="paragraph" w:customStyle="1" w:styleId="ListaNumero1">
    <w:name w:val="Lista Numero 1"/>
    <w:basedOn w:val="Prrafodelista"/>
    <w:link w:val="ListaNumero1Car"/>
    <w:qFormat/>
    <w:rsid w:val="00763DAE"/>
    <w:pPr>
      <w:spacing w:after="120" w:line="240" w:lineRule="auto"/>
      <w:ind w:left="0"/>
      <w:contextualSpacing w:val="0"/>
      <w:jc w:val="both"/>
    </w:pPr>
    <w:rPr>
      <w:rFonts w:ascii="Calibri" w:eastAsia="Calibri" w:hAnsi="Calibri" w:cs="Times New Roman"/>
      <w:szCs w:val="20"/>
      <w:lang w:eastAsia="es-ES"/>
    </w:rPr>
  </w:style>
  <w:style w:type="character" w:customStyle="1" w:styleId="ListaNumero1Car">
    <w:name w:val="Lista Numero 1 Car"/>
    <w:basedOn w:val="Fuentedeprrafopredeter"/>
    <w:link w:val="ListaNumero1"/>
    <w:rsid w:val="00763DAE"/>
    <w:rPr>
      <w:rFonts w:ascii="Calibri" w:eastAsia="Calibri" w:hAnsi="Calibri" w:cs="Times New Roman"/>
      <w:szCs w:val="20"/>
      <w:lang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776430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782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gi.gestionactivos@bbva.com" TargetMode="External"/><Relationship Id="rId13" Type="http://schemas.openxmlformats.org/officeDocument/2006/relationships/hyperlink" Target="mailto:serviciosfacility@haya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esarrolloinmobiliario@haya.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gi.gestionactivos@bbva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serviciosfacility@haya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desarrolloinmobiliario@haya.es" TargetMode="External"/><Relationship Id="rId14" Type="http://schemas.openxmlformats.org/officeDocument/2006/relationships/hyperlink" Target="mailto: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22795\AppData\Local\Temp\Temp1_BBVA_Letter_Template.zip\Plantilla%20carta%20A4.dotx" TargetMode="External"/></Relationships>
</file>

<file path=word/theme/theme1.xml><?xml version="1.0" encoding="utf-8"?>
<a:theme xmlns:a="http://schemas.openxmlformats.org/drawingml/2006/main" name="Tema de Office">
  <a:themeElements>
    <a:clrScheme name="BBVA CORONITA">
      <a:dk1>
        <a:srgbClr val="004481"/>
      </a:dk1>
      <a:lt1>
        <a:srgbClr val="FFFFFF"/>
      </a:lt1>
      <a:dk2>
        <a:srgbClr val="0A5FB4"/>
      </a:dk2>
      <a:lt2>
        <a:srgbClr val="121212"/>
      </a:lt2>
      <a:accent1>
        <a:srgbClr val="2A86CA"/>
      </a:accent1>
      <a:accent2>
        <a:srgbClr val="5BBEFE"/>
      </a:accent2>
      <a:accent3>
        <a:srgbClr val="2DCCCD"/>
      </a:accent3>
      <a:accent4>
        <a:srgbClr val="072146"/>
      </a:accent4>
      <a:accent5>
        <a:srgbClr val="D8BE75"/>
      </a:accent5>
      <a:accent6>
        <a:srgbClr val="F7893B"/>
      </a:accent6>
      <a:hlink>
        <a:srgbClr val="004481"/>
      </a:hlink>
      <a:folHlink>
        <a:srgbClr val="072146"/>
      </a:folHlink>
    </a:clrScheme>
    <a:fontScheme name="Coronita New">
      <a:majorFont>
        <a:latin typeface="BBVABentonSans"/>
        <a:ea typeface=""/>
        <a:cs typeface=""/>
      </a:majorFont>
      <a:minorFont>
        <a:latin typeface="BBVABentonSans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93D73-3AC3-4AB4-A7AF-E8FFCCC5E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carta A4</Template>
  <TotalTime>3</TotalTime>
  <Pages>8</Pages>
  <Words>2325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carta A4</vt:lpstr>
    </vt:vector>
  </TitlesOfParts>
  <Company>BBVA</Company>
  <LinksUpToDate>false</LinksUpToDate>
  <CharactersWithSpaces>15083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carta A4</dc:title>
  <dc:subject>Papel Carta A4 ESP.dotx</dc:subject>
  <dc:creator>ELVIRA PERDOMO, FERNANDO</dc:creator>
  <cp:keywords>Plantilla carta A4</cp:keywords>
  <cp:lastModifiedBy>Natalia Peñalba Falkenthal</cp:lastModifiedBy>
  <cp:revision>2</cp:revision>
  <dcterms:created xsi:type="dcterms:W3CDTF">2020-10-28T17:06:00Z</dcterms:created>
  <dcterms:modified xsi:type="dcterms:W3CDTF">2020-10-28T17:06:00Z</dcterms:modified>
</cp:coreProperties>
</file>