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ED64" w14:textId="77777777" w:rsidR="00FC6D86" w:rsidRDefault="00FC6D86"/>
    <w:p w14:paraId="0819D1F3" w14:textId="77777777" w:rsidR="00FC6D86" w:rsidRDefault="00FC6D86"/>
    <w:p w14:paraId="619808BA" w14:textId="77777777" w:rsidR="00FC6D86" w:rsidRDefault="00FC6D86"/>
    <w:p w14:paraId="2093C347" w14:textId="77777777" w:rsidR="00FC6D86" w:rsidRDefault="00FC6D86">
      <w:pPr>
        <w:spacing w:line="240" w:lineRule="auto"/>
        <w:jc w:val="both"/>
        <w:rPr>
          <w:rFonts w:ascii="Lato" w:eastAsia="Lato" w:hAnsi="Lato" w:cs="Lato"/>
          <w:sz w:val="28"/>
          <w:szCs w:val="28"/>
        </w:rPr>
      </w:pPr>
    </w:p>
    <w:tbl>
      <w:tblPr>
        <w:tblStyle w:val="a"/>
        <w:tblW w:w="9639" w:type="dxa"/>
        <w:jc w:val="center"/>
        <w:tblInd w:w="0" w:type="dxa"/>
        <w:tblLayout w:type="fixed"/>
        <w:tblLook w:val="0000" w:firstRow="0" w:lastRow="0" w:firstColumn="0" w:lastColumn="0" w:noHBand="0" w:noVBand="0"/>
      </w:tblPr>
      <w:tblGrid>
        <w:gridCol w:w="612"/>
        <w:gridCol w:w="7053"/>
        <w:gridCol w:w="1974"/>
      </w:tblGrid>
      <w:tr w:rsidR="00FC6D86" w14:paraId="0C689736" w14:textId="77777777">
        <w:trPr>
          <w:trHeight w:val="340"/>
          <w:jc w:val="center"/>
        </w:trPr>
        <w:tc>
          <w:tcPr>
            <w:tcW w:w="612" w:type="dxa"/>
            <w:shd w:val="clear" w:color="auto" w:fill="auto"/>
            <w:vAlign w:val="center"/>
          </w:tcPr>
          <w:p w14:paraId="5FB7505C" w14:textId="77777777" w:rsidR="00FC6D86" w:rsidRDefault="00FC6D86">
            <w:pPr>
              <w:spacing w:line="240" w:lineRule="auto"/>
              <w:jc w:val="center"/>
              <w:rPr>
                <w:rFonts w:ascii="Lato" w:eastAsia="Lato" w:hAnsi="Lato" w:cs="Lato"/>
                <w:sz w:val="28"/>
                <w:szCs w:val="28"/>
              </w:rPr>
            </w:pPr>
          </w:p>
        </w:tc>
        <w:tc>
          <w:tcPr>
            <w:tcW w:w="7053" w:type="dxa"/>
            <w:tcBorders>
              <w:right w:val="single" w:sz="4" w:space="0" w:color="808080"/>
            </w:tcBorders>
            <w:shd w:val="clear" w:color="auto" w:fill="auto"/>
            <w:vAlign w:val="center"/>
          </w:tcPr>
          <w:p w14:paraId="1692C3E6" w14:textId="77777777" w:rsidR="00FC6D86" w:rsidRDefault="00371CAA">
            <w:pPr>
              <w:spacing w:line="240" w:lineRule="auto"/>
              <w:jc w:val="right"/>
              <w:rPr>
                <w:rFonts w:ascii="Lato" w:eastAsia="Lato" w:hAnsi="Lato" w:cs="Lato"/>
                <w:sz w:val="28"/>
                <w:szCs w:val="28"/>
              </w:rPr>
            </w:pPr>
            <w:r>
              <w:rPr>
                <w:rFonts w:ascii="Lato" w:eastAsia="Lato" w:hAnsi="Lato" w:cs="Lato"/>
                <w:sz w:val="28"/>
                <w:szCs w:val="28"/>
              </w:rPr>
              <w:t xml:space="preserve">Fecha de emisión:   </w:t>
            </w:r>
          </w:p>
        </w:tc>
        <w:tc>
          <w:tcPr>
            <w:tcW w:w="197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772064E" w14:textId="77777777" w:rsidR="00FC6D86" w:rsidRDefault="00371CAA">
            <w:pPr>
              <w:spacing w:line="240" w:lineRule="auto"/>
              <w:jc w:val="center"/>
              <w:rPr>
                <w:rFonts w:ascii="Lato" w:eastAsia="Lato" w:hAnsi="Lato" w:cs="Lato"/>
                <w:sz w:val="28"/>
                <w:szCs w:val="28"/>
              </w:rPr>
            </w:pPr>
            <w:r>
              <w:rPr>
                <w:rFonts w:ascii="Lato" w:eastAsia="Lato" w:hAnsi="Lato" w:cs="Lato"/>
                <w:sz w:val="28"/>
                <w:szCs w:val="28"/>
              </w:rPr>
              <w:t>01/12/2020</w:t>
            </w:r>
          </w:p>
        </w:tc>
      </w:tr>
    </w:tbl>
    <w:p w14:paraId="237DA0ED" w14:textId="77777777" w:rsidR="00FC6D86" w:rsidRDefault="00FC6D86">
      <w:pPr>
        <w:spacing w:line="240" w:lineRule="auto"/>
        <w:jc w:val="both"/>
        <w:rPr>
          <w:rFonts w:ascii="Lato" w:eastAsia="Lato" w:hAnsi="Lato" w:cs="Lato"/>
          <w:sz w:val="28"/>
          <w:szCs w:val="28"/>
        </w:rPr>
      </w:pPr>
    </w:p>
    <w:tbl>
      <w:tblPr>
        <w:tblStyle w:val="a0"/>
        <w:tblW w:w="9660" w:type="dxa"/>
        <w:jc w:val="center"/>
        <w:tblInd w:w="0" w:type="dxa"/>
        <w:tblLayout w:type="fixed"/>
        <w:tblLook w:val="0000" w:firstRow="0" w:lastRow="0" w:firstColumn="0" w:lastColumn="0" w:noHBand="0" w:noVBand="0"/>
      </w:tblPr>
      <w:tblGrid>
        <w:gridCol w:w="2700"/>
        <w:gridCol w:w="6960"/>
      </w:tblGrid>
      <w:tr w:rsidR="00FC6D86" w14:paraId="539A9C14" w14:textId="77777777">
        <w:trPr>
          <w:jc w:val="center"/>
        </w:trPr>
        <w:tc>
          <w:tcPr>
            <w:tcW w:w="2700" w:type="dxa"/>
            <w:tcBorders>
              <w:right w:val="single" w:sz="4" w:space="0" w:color="C0C0C0"/>
            </w:tcBorders>
            <w:shd w:val="clear" w:color="auto" w:fill="auto"/>
          </w:tcPr>
          <w:p w14:paraId="25936151" w14:textId="77777777" w:rsidR="00FC6D86" w:rsidRDefault="00371CAA">
            <w:pPr>
              <w:spacing w:line="240" w:lineRule="auto"/>
              <w:jc w:val="right"/>
              <w:rPr>
                <w:rFonts w:ascii="Lato" w:eastAsia="Lato" w:hAnsi="Lato" w:cs="Lato"/>
                <w:sz w:val="28"/>
                <w:szCs w:val="28"/>
              </w:rPr>
            </w:pPr>
            <w:r>
              <w:rPr>
                <w:rFonts w:ascii="Lato" w:eastAsia="Lato" w:hAnsi="Lato" w:cs="Lato"/>
                <w:sz w:val="28"/>
                <w:szCs w:val="28"/>
              </w:rPr>
              <w:t>Emisor:</w:t>
            </w:r>
          </w:p>
        </w:tc>
        <w:tc>
          <w:tcPr>
            <w:tcW w:w="6960" w:type="dxa"/>
            <w:tcBorders>
              <w:top w:val="single" w:sz="4" w:space="0" w:color="C0C0C0"/>
              <w:left w:val="single" w:sz="4" w:space="0" w:color="C0C0C0"/>
              <w:bottom w:val="single" w:sz="4" w:space="0" w:color="C0C0C0"/>
              <w:right w:val="single" w:sz="4" w:space="0" w:color="C0C0C0"/>
            </w:tcBorders>
            <w:shd w:val="clear" w:color="auto" w:fill="auto"/>
          </w:tcPr>
          <w:p w14:paraId="22092344" w14:textId="77777777" w:rsidR="00FC6D86" w:rsidRDefault="00371CAA">
            <w:pPr>
              <w:spacing w:line="240" w:lineRule="auto"/>
              <w:rPr>
                <w:rFonts w:ascii="Lato" w:eastAsia="Lato" w:hAnsi="Lato" w:cs="Lato"/>
                <w:sz w:val="28"/>
                <w:szCs w:val="28"/>
              </w:rPr>
            </w:pPr>
            <w:r>
              <w:rPr>
                <w:rFonts w:ascii="Lato" w:eastAsia="Lato" w:hAnsi="Lato" w:cs="Lato"/>
                <w:sz w:val="28"/>
                <w:szCs w:val="28"/>
              </w:rPr>
              <w:t>Estrategia y Gestión Inmobiliaria</w:t>
            </w:r>
          </w:p>
        </w:tc>
      </w:tr>
      <w:tr w:rsidR="00FC6D86" w14:paraId="77EBF601" w14:textId="77777777">
        <w:trPr>
          <w:jc w:val="center"/>
        </w:trPr>
        <w:tc>
          <w:tcPr>
            <w:tcW w:w="2700" w:type="dxa"/>
            <w:shd w:val="clear" w:color="auto" w:fill="auto"/>
          </w:tcPr>
          <w:p w14:paraId="6D6283D4" w14:textId="77777777" w:rsidR="00FC6D86" w:rsidRDefault="00FC6D86">
            <w:pPr>
              <w:spacing w:line="240" w:lineRule="auto"/>
              <w:jc w:val="right"/>
              <w:rPr>
                <w:rFonts w:ascii="Lato" w:eastAsia="Lato" w:hAnsi="Lato" w:cs="Lato"/>
                <w:sz w:val="28"/>
                <w:szCs w:val="28"/>
              </w:rPr>
            </w:pPr>
          </w:p>
        </w:tc>
        <w:tc>
          <w:tcPr>
            <w:tcW w:w="6960" w:type="dxa"/>
            <w:tcBorders>
              <w:top w:val="single" w:sz="4" w:space="0" w:color="C0C0C0"/>
              <w:bottom w:val="single" w:sz="4" w:space="0" w:color="C0C0C0"/>
            </w:tcBorders>
            <w:shd w:val="clear" w:color="auto" w:fill="auto"/>
          </w:tcPr>
          <w:p w14:paraId="776850AD" w14:textId="77777777" w:rsidR="00FC6D86" w:rsidRDefault="00FC6D86">
            <w:pPr>
              <w:spacing w:line="240" w:lineRule="auto"/>
              <w:rPr>
                <w:rFonts w:ascii="Lato" w:eastAsia="Lato" w:hAnsi="Lato" w:cs="Lato"/>
                <w:sz w:val="28"/>
                <w:szCs w:val="28"/>
              </w:rPr>
            </w:pPr>
          </w:p>
        </w:tc>
      </w:tr>
      <w:tr w:rsidR="00FC6D86" w14:paraId="71762B8D" w14:textId="77777777">
        <w:trPr>
          <w:trHeight w:val="345"/>
          <w:jc w:val="center"/>
        </w:trPr>
        <w:tc>
          <w:tcPr>
            <w:tcW w:w="2700" w:type="dxa"/>
            <w:tcBorders>
              <w:right w:val="single" w:sz="4" w:space="0" w:color="C0C0C0"/>
            </w:tcBorders>
            <w:shd w:val="clear" w:color="auto" w:fill="auto"/>
          </w:tcPr>
          <w:p w14:paraId="324979A1" w14:textId="77777777" w:rsidR="00FC6D86" w:rsidRDefault="00371CAA">
            <w:pPr>
              <w:spacing w:line="240" w:lineRule="auto"/>
              <w:jc w:val="right"/>
              <w:rPr>
                <w:rFonts w:ascii="Lato" w:eastAsia="Lato" w:hAnsi="Lato" w:cs="Lato"/>
                <w:sz w:val="28"/>
                <w:szCs w:val="28"/>
              </w:rPr>
            </w:pPr>
            <w:r>
              <w:rPr>
                <w:rFonts w:ascii="Lato" w:eastAsia="Lato" w:hAnsi="Lato" w:cs="Lato"/>
                <w:sz w:val="28"/>
                <w:szCs w:val="28"/>
              </w:rPr>
              <w:t>Ámbito de aplicación:</w:t>
            </w:r>
          </w:p>
        </w:tc>
        <w:tc>
          <w:tcPr>
            <w:tcW w:w="6960"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7CBD34E" w14:textId="77777777" w:rsidR="00FC6D86" w:rsidRDefault="00371CAA">
            <w:pPr>
              <w:spacing w:line="240" w:lineRule="auto"/>
              <w:rPr>
                <w:rFonts w:ascii="Lato" w:eastAsia="Lato" w:hAnsi="Lato" w:cs="Lato"/>
                <w:sz w:val="28"/>
                <w:szCs w:val="28"/>
              </w:rPr>
            </w:pPr>
            <w:r>
              <w:rPr>
                <w:rFonts w:ascii="Lato" w:eastAsia="Lato" w:hAnsi="Lato" w:cs="Lato"/>
                <w:sz w:val="28"/>
                <w:szCs w:val="28"/>
              </w:rPr>
              <w:t xml:space="preserve">España </w:t>
            </w:r>
          </w:p>
        </w:tc>
      </w:tr>
    </w:tbl>
    <w:p w14:paraId="5D71C6B8" w14:textId="77777777" w:rsidR="00FC6D86" w:rsidRDefault="00FC6D86">
      <w:pPr>
        <w:spacing w:line="240" w:lineRule="auto"/>
        <w:jc w:val="both"/>
        <w:rPr>
          <w:rFonts w:ascii="Lato" w:eastAsia="Lato" w:hAnsi="Lato" w:cs="Lato"/>
          <w:sz w:val="28"/>
          <w:szCs w:val="28"/>
        </w:rPr>
      </w:pPr>
    </w:p>
    <w:p w14:paraId="70E15C7A" w14:textId="77777777" w:rsidR="00FC6D86" w:rsidRDefault="00371CAA">
      <w:pPr>
        <w:pBdr>
          <w:top w:val="single" w:sz="4" w:space="1" w:color="C0C0C0"/>
          <w:left w:val="single" w:sz="4" w:space="4" w:color="C0C0C0"/>
          <w:bottom w:val="single" w:sz="4" w:space="1" w:color="C0C0C0"/>
          <w:right w:val="single" w:sz="4" w:space="4" w:color="C0C0C0"/>
        </w:pBdr>
        <w:spacing w:line="240" w:lineRule="auto"/>
        <w:rPr>
          <w:rFonts w:ascii="Lato" w:eastAsia="Lato" w:hAnsi="Lato" w:cs="Lato"/>
          <w:color w:val="0000FF"/>
          <w:sz w:val="28"/>
          <w:szCs w:val="28"/>
        </w:rPr>
      </w:pPr>
      <w:r>
        <w:rPr>
          <w:rFonts w:ascii="Lato" w:eastAsia="Lato" w:hAnsi="Lato" w:cs="Lato"/>
          <w:sz w:val="28"/>
          <w:szCs w:val="28"/>
        </w:rPr>
        <w:t>Directrices de actuación para la contratación y evaluación de proveedores del ámbito inmobiliario</w:t>
      </w:r>
      <w:r>
        <w:rPr>
          <w:rFonts w:ascii="Lato" w:eastAsia="Lato" w:hAnsi="Lato" w:cs="Lato"/>
          <w:color w:val="0000FF"/>
          <w:sz w:val="28"/>
          <w:szCs w:val="28"/>
        </w:rPr>
        <w:t xml:space="preserve"> </w:t>
      </w:r>
    </w:p>
    <w:p w14:paraId="10A5BA25" w14:textId="77777777" w:rsidR="00FC6D86" w:rsidRDefault="00FC6D86">
      <w:pPr>
        <w:pStyle w:val="Ttulo1"/>
        <w:keepNext w:val="0"/>
        <w:keepLines w:val="0"/>
        <w:spacing w:before="0" w:after="0" w:line="264" w:lineRule="auto"/>
        <w:ind w:left="360"/>
        <w:rPr>
          <w:rFonts w:ascii="Lato" w:eastAsia="Lato" w:hAnsi="Lato" w:cs="Lato"/>
          <w:color w:val="02A5A5"/>
          <w:sz w:val="28"/>
          <w:szCs w:val="28"/>
        </w:rPr>
      </w:pPr>
    </w:p>
    <w:p w14:paraId="40E2E0CD" w14:textId="77777777" w:rsidR="00FC6D86" w:rsidRDefault="00FC6D86">
      <w:pPr>
        <w:pStyle w:val="Ttulo1"/>
        <w:keepNext w:val="0"/>
        <w:keepLines w:val="0"/>
        <w:spacing w:before="0" w:after="0" w:line="264" w:lineRule="auto"/>
        <w:ind w:left="360"/>
        <w:rPr>
          <w:rFonts w:ascii="Lato" w:eastAsia="Lato" w:hAnsi="Lato" w:cs="Lato"/>
          <w:color w:val="02A5A5"/>
          <w:sz w:val="28"/>
          <w:szCs w:val="28"/>
        </w:rPr>
      </w:pPr>
      <w:bookmarkStart w:id="0" w:name="_goox2c9uk0s2" w:colFirst="0" w:colLast="0"/>
      <w:bookmarkEnd w:id="0"/>
    </w:p>
    <w:p w14:paraId="5AD6FDA0" w14:textId="77777777" w:rsidR="00FC6D86" w:rsidRDefault="00371CAA">
      <w:pPr>
        <w:pStyle w:val="Ttulo1"/>
        <w:keepNext w:val="0"/>
        <w:keepLines w:val="0"/>
        <w:spacing w:before="0" w:after="0" w:line="264" w:lineRule="auto"/>
        <w:ind w:left="360"/>
        <w:rPr>
          <w:rFonts w:ascii="Lato" w:eastAsia="Lato" w:hAnsi="Lato" w:cs="Lato"/>
          <w:color w:val="02A5A5"/>
          <w:sz w:val="36"/>
          <w:szCs w:val="36"/>
        </w:rPr>
      </w:pPr>
      <w:bookmarkStart w:id="1" w:name="_xhbh9dx747lo" w:colFirst="0" w:colLast="0"/>
      <w:bookmarkEnd w:id="1"/>
      <w:r>
        <w:rPr>
          <w:rFonts w:ascii="Lato" w:eastAsia="Lato" w:hAnsi="Lato" w:cs="Lato"/>
          <w:color w:val="02A5A5"/>
          <w:sz w:val="36"/>
          <w:szCs w:val="36"/>
        </w:rPr>
        <w:t>Contenido</w:t>
      </w:r>
    </w:p>
    <w:p w14:paraId="04CCC536" w14:textId="77777777" w:rsidR="00FC6D86" w:rsidRDefault="00FC6D86">
      <w:pPr>
        <w:pStyle w:val="Ttulo1"/>
        <w:keepNext w:val="0"/>
        <w:keepLines w:val="0"/>
        <w:spacing w:before="0" w:after="0" w:line="264" w:lineRule="auto"/>
        <w:ind w:left="360"/>
        <w:rPr>
          <w:color w:val="02A5A5"/>
          <w:sz w:val="44"/>
          <w:szCs w:val="44"/>
        </w:rPr>
      </w:pPr>
    </w:p>
    <w:sdt>
      <w:sdtPr>
        <w:id w:val="2020961060"/>
        <w:docPartObj>
          <w:docPartGallery w:val="Table of Contents"/>
          <w:docPartUnique/>
        </w:docPartObj>
      </w:sdtPr>
      <w:sdtEndPr/>
      <w:sdtContent>
        <w:p w14:paraId="3EB6532D" w14:textId="77777777" w:rsidR="00FC6D86" w:rsidRDefault="00371CAA">
          <w:pPr>
            <w:numPr>
              <w:ilvl w:val="0"/>
              <w:numId w:val="2"/>
            </w:numPr>
            <w:tabs>
              <w:tab w:val="right" w:pos="9025"/>
            </w:tabs>
            <w:spacing w:before="200" w:line="480" w:lineRule="auto"/>
            <w:rPr>
              <w:rFonts w:ascii="Lato" w:eastAsia="Lato" w:hAnsi="Lato" w:cs="Lato"/>
              <w:color w:val="000000"/>
              <w:sz w:val="24"/>
              <w:szCs w:val="24"/>
            </w:rPr>
          </w:pPr>
          <w:r>
            <w:fldChar w:fldCharType="begin"/>
          </w:r>
          <w:r>
            <w:instrText xml:space="preserve"> TOC \h \u \z </w:instrText>
          </w:r>
          <w:r>
            <w:fldChar w:fldCharType="separate"/>
          </w:r>
          <w:hyperlink w:anchor="_91ofszc25519">
            <w:r>
              <w:rPr>
                <w:rFonts w:ascii="Lato" w:eastAsia="Lato" w:hAnsi="Lato" w:cs="Lato"/>
                <w:color w:val="000000"/>
                <w:sz w:val="24"/>
                <w:szCs w:val="24"/>
              </w:rPr>
              <w:t>Antecedentes</w:t>
            </w:r>
          </w:hyperlink>
          <w:r>
            <w:rPr>
              <w:rFonts w:ascii="Lato" w:eastAsia="Lato" w:hAnsi="Lato" w:cs="Lato"/>
              <w:color w:val="000000"/>
              <w:sz w:val="24"/>
              <w:szCs w:val="24"/>
            </w:rPr>
            <w:tab/>
          </w:r>
          <w:r>
            <w:fldChar w:fldCharType="begin"/>
          </w:r>
          <w:r>
            <w:instrText xml:space="preserve"> PAGEREF _91ofszc25519 \h </w:instrText>
          </w:r>
          <w:r>
            <w:fldChar w:fldCharType="separate"/>
          </w:r>
          <w:r>
            <w:rPr>
              <w:rFonts w:ascii="Lato" w:eastAsia="Lato" w:hAnsi="Lato" w:cs="Lato"/>
              <w:b/>
              <w:color w:val="000000"/>
              <w:sz w:val="24"/>
              <w:szCs w:val="24"/>
            </w:rPr>
            <w:t>2</w:t>
          </w:r>
          <w:r>
            <w:fldChar w:fldCharType="end"/>
          </w:r>
        </w:p>
        <w:p w14:paraId="73A1C5C7"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9ubhmrx426on">
            <w:r w:rsidR="00371CAA">
              <w:rPr>
                <w:rFonts w:ascii="Lato" w:eastAsia="Lato" w:hAnsi="Lato" w:cs="Lato"/>
                <w:color w:val="000000"/>
                <w:sz w:val="24"/>
                <w:szCs w:val="24"/>
              </w:rPr>
              <w:t>Objetivo</w:t>
            </w:r>
          </w:hyperlink>
          <w:r w:rsidR="00371CAA">
            <w:rPr>
              <w:rFonts w:ascii="Lato" w:eastAsia="Lato" w:hAnsi="Lato" w:cs="Lato"/>
              <w:color w:val="000000"/>
              <w:sz w:val="24"/>
              <w:szCs w:val="24"/>
            </w:rPr>
            <w:tab/>
          </w:r>
          <w:r w:rsidR="00371CAA">
            <w:fldChar w:fldCharType="begin"/>
          </w:r>
          <w:r w:rsidR="00371CAA">
            <w:instrText xml:space="preserve"> PAGEREF _9ubhmrx426on \h </w:instrText>
          </w:r>
          <w:r w:rsidR="00371CAA">
            <w:fldChar w:fldCharType="separate"/>
          </w:r>
          <w:r w:rsidR="00371CAA">
            <w:rPr>
              <w:rFonts w:ascii="Lato" w:eastAsia="Lato" w:hAnsi="Lato" w:cs="Lato"/>
              <w:b/>
              <w:color w:val="000000"/>
              <w:sz w:val="24"/>
              <w:szCs w:val="24"/>
            </w:rPr>
            <w:t>2</w:t>
          </w:r>
          <w:r w:rsidR="00371CAA">
            <w:fldChar w:fldCharType="end"/>
          </w:r>
        </w:p>
        <w:p w14:paraId="202D5ABB"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m8ujrb30rkxl">
            <w:r w:rsidR="00371CAA">
              <w:rPr>
                <w:rFonts w:ascii="Lato" w:eastAsia="Lato" w:hAnsi="Lato" w:cs="Lato"/>
                <w:color w:val="000000"/>
                <w:sz w:val="24"/>
                <w:szCs w:val="24"/>
              </w:rPr>
              <w:t>Ámbito de aplicación</w:t>
            </w:r>
          </w:hyperlink>
          <w:r w:rsidR="00371CAA">
            <w:rPr>
              <w:rFonts w:ascii="Lato" w:eastAsia="Lato" w:hAnsi="Lato" w:cs="Lato"/>
              <w:color w:val="000000"/>
              <w:sz w:val="24"/>
              <w:szCs w:val="24"/>
            </w:rPr>
            <w:tab/>
          </w:r>
          <w:r w:rsidR="00371CAA">
            <w:fldChar w:fldCharType="begin"/>
          </w:r>
          <w:r w:rsidR="00371CAA">
            <w:instrText xml:space="preserve"> PAGEREF _m8ujrb30rkxl \h </w:instrText>
          </w:r>
          <w:r w:rsidR="00371CAA">
            <w:fldChar w:fldCharType="separate"/>
          </w:r>
          <w:r w:rsidR="00371CAA">
            <w:rPr>
              <w:rFonts w:ascii="Lato" w:eastAsia="Lato" w:hAnsi="Lato" w:cs="Lato"/>
              <w:b/>
              <w:color w:val="000000"/>
              <w:sz w:val="24"/>
              <w:szCs w:val="24"/>
            </w:rPr>
            <w:t>2</w:t>
          </w:r>
          <w:r w:rsidR="00371CAA">
            <w:fldChar w:fldCharType="end"/>
          </w:r>
        </w:p>
        <w:p w14:paraId="06FE8018"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zfhnv64xdg9j">
            <w:r w:rsidR="00371CAA">
              <w:rPr>
                <w:rFonts w:ascii="Lato" w:eastAsia="Lato" w:hAnsi="Lato" w:cs="Lato"/>
                <w:color w:val="000000"/>
                <w:sz w:val="24"/>
                <w:szCs w:val="24"/>
              </w:rPr>
              <w:t>Modelo de relación. Roles y responsabilidades</w:t>
            </w:r>
          </w:hyperlink>
          <w:r w:rsidR="00371CAA">
            <w:rPr>
              <w:rFonts w:ascii="Lato" w:eastAsia="Lato" w:hAnsi="Lato" w:cs="Lato"/>
              <w:color w:val="000000"/>
              <w:sz w:val="24"/>
              <w:szCs w:val="24"/>
            </w:rPr>
            <w:tab/>
          </w:r>
          <w:r w:rsidR="00371CAA">
            <w:fldChar w:fldCharType="begin"/>
          </w:r>
          <w:r w:rsidR="00371CAA">
            <w:instrText xml:space="preserve"> PAGEREF _zfhnv64xdg9j \h </w:instrText>
          </w:r>
          <w:r w:rsidR="00371CAA">
            <w:fldChar w:fldCharType="separate"/>
          </w:r>
          <w:r w:rsidR="00371CAA">
            <w:rPr>
              <w:rFonts w:ascii="Lato" w:eastAsia="Lato" w:hAnsi="Lato" w:cs="Lato"/>
              <w:b/>
              <w:color w:val="000000"/>
              <w:sz w:val="24"/>
              <w:szCs w:val="24"/>
            </w:rPr>
            <w:t>2</w:t>
          </w:r>
          <w:r w:rsidR="00371CAA">
            <w:fldChar w:fldCharType="end"/>
          </w:r>
        </w:p>
        <w:p w14:paraId="6C84C91F"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dmezxgiif7n1">
            <w:r w:rsidR="00371CAA">
              <w:rPr>
                <w:rFonts w:ascii="Lato" w:eastAsia="Lato" w:hAnsi="Lato" w:cs="Lato"/>
                <w:color w:val="000000"/>
                <w:sz w:val="24"/>
                <w:szCs w:val="24"/>
              </w:rPr>
              <w:t>Canales de Comunicación</w:t>
            </w:r>
          </w:hyperlink>
          <w:r w:rsidR="00371CAA">
            <w:rPr>
              <w:rFonts w:ascii="Lato" w:eastAsia="Lato" w:hAnsi="Lato" w:cs="Lato"/>
              <w:color w:val="000000"/>
              <w:sz w:val="24"/>
              <w:szCs w:val="24"/>
            </w:rPr>
            <w:tab/>
          </w:r>
          <w:r w:rsidR="00371CAA">
            <w:fldChar w:fldCharType="begin"/>
          </w:r>
          <w:r w:rsidR="00371CAA">
            <w:instrText xml:space="preserve"> PAGEREF _dmezxgiif7n1 \h </w:instrText>
          </w:r>
          <w:r w:rsidR="00371CAA">
            <w:fldChar w:fldCharType="separate"/>
          </w:r>
          <w:r w:rsidR="00371CAA">
            <w:rPr>
              <w:rFonts w:ascii="Lato" w:eastAsia="Lato" w:hAnsi="Lato" w:cs="Lato"/>
              <w:b/>
              <w:color w:val="000000"/>
              <w:sz w:val="24"/>
              <w:szCs w:val="24"/>
            </w:rPr>
            <w:t>5</w:t>
          </w:r>
          <w:r w:rsidR="00371CAA">
            <w:fldChar w:fldCharType="end"/>
          </w:r>
        </w:p>
        <w:p w14:paraId="3D249124"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p753e5xedl98">
            <w:r w:rsidR="00371CAA">
              <w:rPr>
                <w:rFonts w:ascii="Lato" w:eastAsia="Lato" w:hAnsi="Lato" w:cs="Lato"/>
                <w:color w:val="000000"/>
                <w:sz w:val="24"/>
                <w:szCs w:val="24"/>
              </w:rPr>
              <w:t>Controles</w:t>
            </w:r>
          </w:hyperlink>
          <w:r w:rsidR="00371CAA">
            <w:rPr>
              <w:rFonts w:ascii="Lato" w:eastAsia="Lato" w:hAnsi="Lato" w:cs="Lato"/>
              <w:color w:val="000000"/>
              <w:sz w:val="24"/>
              <w:szCs w:val="24"/>
            </w:rPr>
            <w:tab/>
          </w:r>
          <w:r w:rsidR="00371CAA">
            <w:fldChar w:fldCharType="begin"/>
          </w:r>
          <w:r w:rsidR="00371CAA">
            <w:instrText xml:space="preserve"> PAGEREF _p753e5xedl98 \h </w:instrText>
          </w:r>
          <w:r w:rsidR="00371CAA">
            <w:fldChar w:fldCharType="separate"/>
          </w:r>
          <w:r w:rsidR="00371CAA">
            <w:rPr>
              <w:rFonts w:ascii="Lato" w:eastAsia="Lato" w:hAnsi="Lato" w:cs="Lato"/>
              <w:b/>
              <w:color w:val="000000"/>
              <w:sz w:val="24"/>
              <w:szCs w:val="24"/>
            </w:rPr>
            <w:t>5</w:t>
          </w:r>
          <w:r w:rsidR="00371CAA">
            <w:fldChar w:fldCharType="end"/>
          </w:r>
        </w:p>
        <w:p w14:paraId="3EE0D4B1" w14:textId="77777777" w:rsidR="00FC6D86" w:rsidRDefault="00475699">
          <w:pPr>
            <w:numPr>
              <w:ilvl w:val="0"/>
              <w:numId w:val="2"/>
            </w:numPr>
            <w:tabs>
              <w:tab w:val="right" w:pos="9025"/>
            </w:tabs>
            <w:spacing w:line="480" w:lineRule="auto"/>
            <w:rPr>
              <w:rFonts w:ascii="Lato" w:eastAsia="Lato" w:hAnsi="Lato" w:cs="Lato"/>
              <w:color w:val="000000"/>
              <w:sz w:val="24"/>
              <w:szCs w:val="24"/>
            </w:rPr>
          </w:pPr>
          <w:hyperlink w:anchor="_e0bibzukpqv5">
            <w:r w:rsidR="00371CAA">
              <w:rPr>
                <w:rFonts w:ascii="Lato" w:eastAsia="Lato" w:hAnsi="Lato" w:cs="Lato"/>
                <w:color w:val="000000"/>
                <w:sz w:val="24"/>
                <w:szCs w:val="24"/>
              </w:rPr>
              <w:t>Documentación relacionada</w:t>
            </w:r>
          </w:hyperlink>
          <w:r w:rsidR="00371CAA">
            <w:rPr>
              <w:rFonts w:ascii="Lato" w:eastAsia="Lato" w:hAnsi="Lato" w:cs="Lato"/>
              <w:color w:val="000000"/>
              <w:sz w:val="24"/>
              <w:szCs w:val="24"/>
            </w:rPr>
            <w:tab/>
          </w:r>
          <w:r w:rsidR="00371CAA">
            <w:fldChar w:fldCharType="begin"/>
          </w:r>
          <w:r w:rsidR="00371CAA">
            <w:instrText xml:space="preserve"> PAGEREF _e0bibzukpqv5 \h </w:instrText>
          </w:r>
          <w:r w:rsidR="00371CAA">
            <w:fldChar w:fldCharType="separate"/>
          </w:r>
          <w:r w:rsidR="00371CAA">
            <w:rPr>
              <w:rFonts w:ascii="Lato" w:eastAsia="Lato" w:hAnsi="Lato" w:cs="Lato"/>
              <w:b/>
              <w:color w:val="000000"/>
              <w:sz w:val="24"/>
              <w:szCs w:val="24"/>
            </w:rPr>
            <w:t>6</w:t>
          </w:r>
          <w:r w:rsidR="00371CAA">
            <w:fldChar w:fldCharType="end"/>
          </w:r>
        </w:p>
        <w:p w14:paraId="524C5022" w14:textId="77777777" w:rsidR="00FC6D86" w:rsidRDefault="00371CAA">
          <w:pPr>
            <w:tabs>
              <w:tab w:val="right" w:pos="9025"/>
            </w:tabs>
            <w:spacing w:before="200" w:after="80" w:line="240" w:lineRule="auto"/>
            <w:rPr>
              <w:color w:val="02A5A5"/>
            </w:rPr>
          </w:pPr>
          <w:r>
            <w:fldChar w:fldCharType="end"/>
          </w:r>
        </w:p>
      </w:sdtContent>
    </w:sdt>
    <w:p w14:paraId="54AB0D47" w14:textId="77777777" w:rsidR="00FC6D86" w:rsidRDefault="00FC6D86">
      <w:pPr>
        <w:rPr>
          <w:color w:val="02A5A5"/>
          <w:sz w:val="44"/>
          <w:szCs w:val="44"/>
        </w:rPr>
      </w:pPr>
    </w:p>
    <w:p w14:paraId="41295055" w14:textId="77777777" w:rsidR="00FC6D86" w:rsidRDefault="00371CAA">
      <w:pPr>
        <w:pStyle w:val="Ttulo1"/>
        <w:keepNext w:val="0"/>
        <w:keepLines w:val="0"/>
        <w:spacing w:before="0" w:after="0" w:line="264" w:lineRule="auto"/>
        <w:ind w:left="360"/>
      </w:pPr>
      <w:r>
        <w:br w:type="page"/>
      </w:r>
    </w:p>
    <w:p w14:paraId="68FBAA2A" w14:textId="77777777" w:rsidR="00FC6D86" w:rsidRDefault="00FC6D86">
      <w:pPr>
        <w:pStyle w:val="Ttulo1"/>
        <w:keepNext w:val="0"/>
        <w:keepLines w:val="0"/>
        <w:spacing w:before="0" w:after="0" w:line="264" w:lineRule="auto"/>
        <w:ind w:left="360"/>
        <w:rPr>
          <w:color w:val="02A5A5"/>
          <w:sz w:val="44"/>
          <w:szCs w:val="44"/>
        </w:rPr>
      </w:pPr>
    </w:p>
    <w:p w14:paraId="19BBEC92" w14:textId="77777777" w:rsidR="00FC6D86" w:rsidRDefault="00371CAA">
      <w:pPr>
        <w:pStyle w:val="Ttulo1"/>
        <w:numPr>
          <w:ilvl w:val="0"/>
          <w:numId w:val="1"/>
        </w:numPr>
        <w:spacing w:line="240" w:lineRule="auto"/>
        <w:jc w:val="both"/>
      </w:pPr>
      <w:bookmarkStart w:id="2" w:name="_91ofszc25519" w:colFirst="0" w:colLast="0"/>
      <w:bookmarkEnd w:id="2"/>
      <w:r>
        <w:rPr>
          <w:rFonts w:ascii="Lato" w:eastAsia="Lato" w:hAnsi="Lato" w:cs="Lato"/>
          <w:color w:val="02A5A5"/>
          <w:sz w:val="32"/>
          <w:szCs w:val="32"/>
        </w:rPr>
        <w:t>Antecedentes</w:t>
      </w:r>
    </w:p>
    <w:p w14:paraId="596F5250" w14:textId="77777777" w:rsidR="00FC6D86" w:rsidRDefault="00371CAA">
      <w:pPr>
        <w:widowControl w:val="0"/>
        <w:spacing w:before="200" w:line="240" w:lineRule="auto"/>
        <w:jc w:val="both"/>
        <w:rPr>
          <w:rFonts w:ascii="Lato Light" w:eastAsia="Lato Light" w:hAnsi="Lato Light" w:cs="Lato Light"/>
          <w:sz w:val="24"/>
          <w:szCs w:val="24"/>
        </w:rPr>
      </w:pPr>
      <w:r>
        <w:rPr>
          <w:rFonts w:ascii="Lato Light" w:eastAsia="Lato Light" w:hAnsi="Lato Light" w:cs="Lato Light"/>
          <w:sz w:val="24"/>
          <w:szCs w:val="24"/>
        </w:rPr>
        <w:t xml:space="preserve">Hasta el 1 de octubre de 2018, Anida (sociedad 100% BBVA) realizaba las contrataciones de bienes y servicios y evaluaba a los proveedores adjudicatarios bajo el amparo de la delegación otorgada por </w:t>
      </w:r>
      <w:proofErr w:type="spellStart"/>
      <w:r>
        <w:rPr>
          <w:rFonts w:ascii="Lato Light" w:eastAsia="Lato Light" w:hAnsi="Lato Light" w:cs="Lato Light"/>
          <w:sz w:val="24"/>
          <w:szCs w:val="24"/>
        </w:rPr>
        <w:t>Procurement</w:t>
      </w:r>
      <w:proofErr w:type="spellEnd"/>
      <w:r>
        <w:rPr>
          <w:rFonts w:ascii="Lato Light" w:eastAsia="Lato Light" w:hAnsi="Lato Light" w:cs="Lato Light"/>
          <w:sz w:val="24"/>
          <w:szCs w:val="24"/>
        </w:rPr>
        <w:t xml:space="preserve"> y de la Norma Corporativa de Compras vigente en su momento y del procedimiento propio de la Unidad Inmobiliaria, aprobado en los comités correspondientes del Banco. </w:t>
      </w:r>
    </w:p>
    <w:p w14:paraId="1EB5A686" w14:textId="77777777" w:rsidR="00FC6D86" w:rsidRDefault="00371CAA">
      <w:pPr>
        <w:widowControl w:val="0"/>
        <w:spacing w:before="200" w:line="240" w:lineRule="auto"/>
        <w:jc w:val="both"/>
        <w:rPr>
          <w:rFonts w:ascii="Lato Light" w:eastAsia="Lato Light" w:hAnsi="Lato Light" w:cs="Lato Light"/>
          <w:sz w:val="24"/>
          <w:szCs w:val="24"/>
        </w:rPr>
      </w:pPr>
      <w:r>
        <w:rPr>
          <w:rFonts w:ascii="Lato Light" w:eastAsia="Lato Light" w:hAnsi="Lato Light" w:cs="Lato Light"/>
          <w:sz w:val="24"/>
          <w:szCs w:val="24"/>
        </w:rPr>
        <w:t xml:space="preserve">Con la </w:t>
      </w:r>
      <w:r>
        <w:rPr>
          <w:rFonts w:ascii="Lato Light" w:eastAsia="Lato Light" w:hAnsi="Lato Light" w:cs="Lato Light"/>
          <w:i/>
          <w:sz w:val="24"/>
          <w:szCs w:val="24"/>
        </w:rPr>
        <w:t>operación Marina</w:t>
      </w:r>
      <w:r>
        <w:rPr>
          <w:rFonts w:ascii="Lato Light" w:eastAsia="Lato Light" w:hAnsi="Lato Light" w:cs="Lato Light"/>
          <w:sz w:val="24"/>
          <w:szCs w:val="24"/>
        </w:rPr>
        <w:t xml:space="preserve">, BBVA se desprende no sólo de gran parte de sus activos inmobiliarios sino también de su estructura (recursos), medios materiales y herramientas de gestión de la Unidad Inmobiliaria. Dichas herramientas se subarriendan por parte de BBVA al nuevo </w:t>
      </w:r>
      <w:proofErr w:type="spellStart"/>
      <w:r>
        <w:rPr>
          <w:rFonts w:ascii="Lato Light" w:eastAsia="Lato Light" w:hAnsi="Lato Light" w:cs="Lato Light"/>
          <w:sz w:val="24"/>
          <w:szCs w:val="24"/>
        </w:rPr>
        <w:t>servicer</w:t>
      </w:r>
      <w:proofErr w:type="spellEnd"/>
      <w:r>
        <w:rPr>
          <w:rFonts w:ascii="Lato Light" w:eastAsia="Lato Light" w:hAnsi="Lato Light" w:cs="Lato Light"/>
          <w:sz w:val="24"/>
          <w:szCs w:val="24"/>
        </w:rPr>
        <w:t xml:space="preserve">. Anida pasa a ser únicamente una sociedad tenedora de activos sin capacidad de contratación. </w:t>
      </w:r>
    </w:p>
    <w:p w14:paraId="39C225E4" w14:textId="77777777" w:rsidR="00FC6D86" w:rsidRDefault="00371CAA">
      <w:pPr>
        <w:widowControl w:val="0"/>
        <w:spacing w:before="200" w:line="240" w:lineRule="auto"/>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En el marco de esta operación, la gestión de dichos contratos se cede al nuevo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HAYA RE. A efectos de </w:t>
      </w:r>
      <w:proofErr w:type="spellStart"/>
      <w:r>
        <w:rPr>
          <w:rFonts w:ascii="Lato Light" w:eastAsia="Lato Light" w:hAnsi="Lato Light" w:cs="Lato Light"/>
          <w:color w:val="121212"/>
          <w:sz w:val="24"/>
          <w:szCs w:val="24"/>
        </w:rPr>
        <w:t>Procurement</w:t>
      </w:r>
      <w:proofErr w:type="spellEnd"/>
      <w:r>
        <w:rPr>
          <w:rFonts w:ascii="Lato Light" w:eastAsia="Lato Light" w:hAnsi="Lato Light" w:cs="Lato Light"/>
          <w:color w:val="121212"/>
          <w:sz w:val="24"/>
          <w:szCs w:val="24"/>
        </w:rPr>
        <w:t xml:space="preserve">, HAYA RE (en adelante,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es un proveedor más de BBVA, sin facultades para contratar ni evaluar a terceros en nombre de BBVA.  </w:t>
      </w:r>
    </w:p>
    <w:p w14:paraId="6834730B" w14:textId="77777777" w:rsidR="00FC6D86" w:rsidRDefault="00371CAA">
      <w:pPr>
        <w:pStyle w:val="Ttulo1"/>
        <w:numPr>
          <w:ilvl w:val="0"/>
          <w:numId w:val="1"/>
        </w:numPr>
        <w:spacing w:line="240" w:lineRule="auto"/>
        <w:jc w:val="both"/>
      </w:pPr>
      <w:bookmarkStart w:id="3" w:name="_9ubhmrx426on" w:colFirst="0" w:colLast="0"/>
      <w:bookmarkEnd w:id="3"/>
      <w:r>
        <w:rPr>
          <w:rFonts w:ascii="Lato" w:eastAsia="Lato" w:hAnsi="Lato" w:cs="Lato"/>
          <w:color w:val="02A5A5"/>
          <w:sz w:val="32"/>
          <w:szCs w:val="32"/>
        </w:rPr>
        <w:t>Objetivo</w:t>
      </w:r>
    </w:p>
    <w:p w14:paraId="3F2E5752" w14:textId="77777777" w:rsidR="00FC6D86" w:rsidRDefault="00371CAA">
      <w:pPr>
        <w:widowControl w:val="0"/>
        <w:spacing w:before="200" w:line="240" w:lineRule="auto"/>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Este procedimiento tiene como objetivo establecer las directrices y pautas de actuación que rigen la relación entre BBVA y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en lo que respecta al proceso de contratación y evaluación de proveedores del ámbito inmobiliario (relacionados con activos provenientes de procesos recuperatorios - adjudicados).</w:t>
      </w:r>
    </w:p>
    <w:p w14:paraId="6FD8B4F6" w14:textId="77777777" w:rsidR="00FC6D86" w:rsidRDefault="00371CAA">
      <w:pPr>
        <w:pStyle w:val="Ttulo1"/>
        <w:numPr>
          <w:ilvl w:val="0"/>
          <w:numId w:val="1"/>
        </w:numPr>
        <w:pBdr>
          <w:top w:val="nil"/>
          <w:left w:val="nil"/>
          <w:bottom w:val="nil"/>
          <w:right w:val="nil"/>
          <w:between w:val="nil"/>
        </w:pBdr>
        <w:spacing w:line="240" w:lineRule="auto"/>
        <w:jc w:val="both"/>
      </w:pPr>
      <w:bookmarkStart w:id="4" w:name="_m8ujrb30rkxl" w:colFirst="0" w:colLast="0"/>
      <w:bookmarkEnd w:id="4"/>
      <w:r>
        <w:rPr>
          <w:rFonts w:ascii="Lato" w:eastAsia="Lato" w:hAnsi="Lato" w:cs="Lato"/>
          <w:color w:val="02A5A5"/>
          <w:sz w:val="32"/>
          <w:szCs w:val="32"/>
        </w:rPr>
        <w:t>Ámbito de aplicación</w:t>
      </w:r>
    </w:p>
    <w:p w14:paraId="67A328D7"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El</w:t>
      </w:r>
      <w:r>
        <w:rPr>
          <w:rFonts w:ascii="Lato" w:eastAsia="Lato" w:hAnsi="Lato" w:cs="Lato"/>
          <w:sz w:val="24"/>
          <w:szCs w:val="24"/>
        </w:rPr>
        <w:t xml:space="preserve"> </w:t>
      </w:r>
      <w:r>
        <w:rPr>
          <w:rFonts w:ascii="Lato Light" w:eastAsia="Lato Light" w:hAnsi="Lato Light" w:cs="Lato Light"/>
          <w:color w:val="121212"/>
          <w:sz w:val="24"/>
          <w:szCs w:val="24"/>
        </w:rPr>
        <w:t xml:space="preserve">presente procedimiento es de aplicación para las contrataciones de gastos gestionables dentro del perímetro de </w:t>
      </w:r>
      <w:proofErr w:type="spellStart"/>
      <w:r>
        <w:rPr>
          <w:rFonts w:ascii="Lato Light" w:eastAsia="Lato Light" w:hAnsi="Lato Light" w:cs="Lato Light"/>
          <w:color w:val="121212"/>
          <w:sz w:val="24"/>
          <w:szCs w:val="24"/>
        </w:rPr>
        <w:t>Procurement</w:t>
      </w:r>
      <w:proofErr w:type="spellEnd"/>
      <w:r>
        <w:rPr>
          <w:rFonts w:ascii="Lato Light" w:eastAsia="Lato Light" w:hAnsi="Lato Light" w:cs="Lato Light"/>
          <w:color w:val="121212"/>
          <w:sz w:val="24"/>
          <w:szCs w:val="24"/>
        </w:rPr>
        <w:t xml:space="preserve">, que tengan al área de Estrategia y Gestión </w:t>
      </w:r>
      <w:proofErr w:type="gramStart"/>
      <w:r>
        <w:rPr>
          <w:rFonts w:ascii="Lato Light" w:eastAsia="Lato Light" w:hAnsi="Lato Light" w:cs="Lato Light"/>
          <w:color w:val="121212"/>
          <w:sz w:val="24"/>
          <w:szCs w:val="24"/>
        </w:rPr>
        <w:t>Inmobiliaria  (</w:t>
      </w:r>
      <w:proofErr w:type="gramEnd"/>
      <w:r>
        <w:rPr>
          <w:rFonts w:ascii="Lato Light" w:eastAsia="Lato Light" w:hAnsi="Lato Light" w:cs="Lato Light"/>
          <w:color w:val="121212"/>
          <w:sz w:val="24"/>
          <w:szCs w:val="24"/>
        </w:rPr>
        <w:t xml:space="preserve">en adelante, EGI) como área peticionaria.  </w:t>
      </w:r>
    </w:p>
    <w:p w14:paraId="7962BA76"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En todo momento, prevalece sobre este documento la Norma de Adquisición de bienes y Contratación de servicios. </w:t>
      </w:r>
    </w:p>
    <w:p w14:paraId="5B983275" w14:textId="77777777" w:rsidR="00FC6D86" w:rsidRDefault="00371CAA">
      <w:pPr>
        <w:pStyle w:val="Ttulo1"/>
        <w:numPr>
          <w:ilvl w:val="0"/>
          <w:numId w:val="1"/>
        </w:numPr>
        <w:spacing w:line="240" w:lineRule="auto"/>
        <w:jc w:val="both"/>
      </w:pPr>
      <w:bookmarkStart w:id="5" w:name="_zfhnv64xdg9j" w:colFirst="0" w:colLast="0"/>
      <w:bookmarkEnd w:id="5"/>
      <w:r>
        <w:rPr>
          <w:rFonts w:ascii="Lato" w:eastAsia="Lato" w:hAnsi="Lato" w:cs="Lato"/>
          <w:color w:val="02A5A5"/>
          <w:sz w:val="32"/>
          <w:szCs w:val="32"/>
        </w:rPr>
        <w:lastRenderedPageBreak/>
        <w:t>Modelo de relación. Roles y responsabilidades</w:t>
      </w:r>
    </w:p>
    <w:p w14:paraId="78D49A6D"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El proceso de adquisición de bienes y contratación de servicios consta de los siguientes subprocesos:</w:t>
      </w:r>
    </w:p>
    <w:p w14:paraId="0F354555" w14:textId="77777777" w:rsidR="00FC6D86" w:rsidRDefault="00371CAA">
      <w:pPr>
        <w:numPr>
          <w:ilvl w:val="0"/>
          <w:numId w:val="3"/>
        </w:numPr>
        <w:pBdr>
          <w:top w:val="nil"/>
          <w:left w:val="nil"/>
          <w:bottom w:val="nil"/>
          <w:right w:val="nil"/>
          <w:between w:val="nil"/>
        </w:pBdr>
        <w:spacing w:before="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Gestión de necesidades </w:t>
      </w:r>
    </w:p>
    <w:p w14:paraId="09B17991" w14:textId="77777777" w:rsidR="00FC6D86" w:rsidRDefault="00371CAA">
      <w:pPr>
        <w:numPr>
          <w:ilvl w:val="0"/>
          <w:numId w:val="3"/>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Selección y propuesta de proveedores</w:t>
      </w:r>
    </w:p>
    <w:p w14:paraId="78915F2D" w14:textId="77777777" w:rsidR="00FC6D86" w:rsidRDefault="00371CAA">
      <w:pPr>
        <w:numPr>
          <w:ilvl w:val="0"/>
          <w:numId w:val="3"/>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Evaluación de Proveedores</w:t>
      </w:r>
    </w:p>
    <w:p w14:paraId="7BFD47B1" w14:textId="77777777" w:rsidR="00FC6D86" w:rsidRDefault="00371CAA">
      <w:pPr>
        <w:numPr>
          <w:ilvl w:val="0"/>
          <w:numId w:val="3"/>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Negociación y Adjudicación</w:t>
      </w:r>
    </w:p>
    <w:p w14:paraId="3EB4455D" w14:textId="77777777" w:rsidR="00FC6D86" w:rsidRDefault="00371CAA">
      <w:pPr>
        <w:numPr>
          <w:ilvl w:val="0"/>
          <w:numId w:val="3"/>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Elaboración y gestión contractual </w:t>
      </w:r>
    </w:p>
    <w:p w14:paraId="24D5E890" w14:textId="77777777" w:rsidR="00FC6D86" w:rsidRDefault="00371CAA">
      <w:pPr>
        <w:numPr>
          <w:ilvl w:val="0"/>
          <w:numId w:val="3"/>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Recepción del bien / Aceptación del servicio</w:t>
      </w:r>
    </w:p>
    <w:p w14:paraId="3D47A5BE" w14:textId="77777777" w:rsidR="00FC6D86" w:rsidRDefault="00371CAA">
      <w:pPr>
        <w:numPr>
          <w:ilvl w:val="0"/>
          <w:numId w:val="3"/>
        </w:numPr>
        <w:pBdr>
          <w:top w:val="nil"/>
          <w:left w:val="nil"/>
          <w:bottom w:val="nil"/>
          <w:right w:val="nil"/>
          <w:between w:val="nil"/>
        </w:pBdr>
        <w:spacing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Facturación</w:t>
      </w:r>
    </w:p>
    <w:p w14:paraId="00AE442B"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En este proceso intervienen diferentes roles que ejecutan diferentes funciones.  A nivel de control interno, es fundamental que se cumpla con la segregación de funciones. </w:t>
      </w:r>
    </w:p>
    <w:p w14:paraId="3879C671" w14:textId="77777777" w:rsidR="00FC6D86" w:rsidRDefault="00FC6D86">
      <w:pPr>
        <w:pBdr>
          <w:top w:val="nil"/>
          <w:left w:val="nil"/>
          <w:bottom w:val="nil"/>
          <w:right w:val="nil"/>
          <w:between w:val="nil"/>
        </w:pBdr>
        <w:spacing w:before="60" w:after="60"/>
        <w:jc w:val="both"/>
        <w:rPr>
          <w:rFonts w:ascii="Lato Light" w:eastAsia="Lato Light" w:hAnsi="Lato Light" w:cs="Lato Light"/>
          <w:color w:val="121212"/>
          <w:sz w:val="24"/>
          <w:szCs w:val="24"/>
        </w:rPr>
      </w:pPr>
    </w:p>
    <w:p w14:paraId="32BEA5F5"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8"/>
          <w:szCs w:val="28"/>
        </w:rPr>
      </w:pPr>
      <w:proofErr w:type="spellStart"/>
      <w:r>
        <w:rPr>
          <w:rFonts w:ascii="Lato" w:eastAsia="Lato" w:hAnsi="Lato" w:cs="Lato"/>
          <w:b/>
          <w:color w:val="02A5A5"/>
          <w:sz w:val="28"/>
          <w:szCs w:val="28"/>
        </w:rPr>
        <w:t>Purchasing</w:t>
      </w:r>
      <w:proofErr w:type="spellEnd"/>
      <w:r>
        <w:rPr>
          <w:rFonts w:ascii="Lato" w:eastAsia="Lato" w:hAnsi="Lato" w:cs="Lato"/>
          <w:b/>
          <w:color w:val="02A5A5"/>
          <w:sz w:val="28"/>
          <w:szCs w:val="28"/>
        </w:rPr>
        <w:t xml:space="preserve"> </w:t>
      </w:r>
      <w:proofErr w:type="gramStart"/>
      <w:r>
        <w:rPr>
          <w:rFonts w:ascii="Lato" w:eastAsia="Lato" w:hAnsi="Lato" w:cs="Lato"/>
          <w:b/>
          <w:color w:val="02A5A5"/>
          <w:sz w:val="28"/>
          <w:szCs w:val="28"/>
        </w:rPr>
        <w:t>manager</w:t>
      </w:r>
      <w:proofErr w:type="gramEnd"/>
    </w:p>
    <w:p w14:paraId="56F18331" w14:textId="77777777" w:rsidR="00FC6D86" w:rsidRDefault="00371CAA">
      <w:pPr>
        <w:pBdr>
          <w:top w:val="nil"/>
          <w:left w:val="nil"/>
          <w:bottom w:val="nil"/>
          <w:right w:val="nil"/>
          <w:between w:val="nil"/>
        </w:pBdr>
        <w:spacing w:line="240" w:lineRule="auto"/>
        <w:jc w:val="both"/>
        <w:rPr>
          <w:rFonts w:ascii="Lato Light" w:eastAsia="Lato Light" w:hAnsi="Lato Light" w:cs="Lato Light"/>
          <w:sz w:val="24"/>
          <w:szCs w:val="24"/>
        </w:rPr>
      </w:pPr>
      <w:r>
        <w:rPr>
          <w:rFonts w:ascii="Lato Light" w:eastAsia="Lato Light" w:hAnsi="Lato Light" w:cs="Lato Light"/>
          <w:color w:val="121212"/>
          <w:sz w:val="24"/>
          <w:szCs w:val="24"/>
        </w:rPr>
        <w:t xml:space="preserve">La figura del </w:t>
      </w:r>
      <w:proofErr w:type="spellStart"/>
      <w:r>
        <w:rPr>
          <w:rFonts w:ascii="Lato Light" w:eastAsia="Lato Light" w:hAnsi="Lato Light" w:cs="Lato Light"/>
          <w:color w:val="121212"/>
          <w:sz w:val="24"/>
          <w:szCs w:val="24"/>
        </w:rPr>
        <w:t>Purchasing</w:t>
      </w:r>
      <w:proofErr w:type="spellEnd"/>
      <w:r>
        <w:rPr>
          <w:rFonts w:ascii="Lato Light" w:eastAsia="Lato Light" w:hAnsi="Lato Light" w:cs="Lato Light"/>
          <w:color w:val="121212"/>
          <w:sz w:val="24"/>
          <w:szCs w:val="24"/>
        </w:rPr>
        <w:t xml:space="preserve"> </w:t>
      </w:r>
      <w:proofErr w:type="gramStart"/>
      <w:r>
        <w:rPr>
          <w:rFonts w:ascii="Lato Light" w:eastAsia="Lato Light" w:hAnsi="Lato Light" w:cs="Lato Light"/>
          <w:color w:val="121212"/>
          <w:sz w:val="24"/>
          <w:szCs w:val="24"/>
        </w:rPr>
        <w:t>manager</w:t>
      </w:r>
      <w:proofErr w:type="gramEnd"/>
      <w:r>
        <w:rPr>
          <w:rFonts w:ascii="Lato" w:eastAsia="Lato" w:hAnsi="Lato" w:cs="Lato"/>
          <w:b/>
          <w:color w:val="02A5A5"/>
          <w:sz w:val="24"/>
          <w:szCs w:val="24"/>
        </w:rPr>
        <w:t xml:space="preserve"> </w:t>
      </w:r>
      <w:r>
        <w:rPr>
          <w:rFonts w:ascii="Lato Light" w:eastAsia="Lato Light" w:hAnsi="Lato Light" w:cs="Lato Light"/>
          <w:color w:val="121212"/>
          <w:sz w:val="24"/>
          <w:szCs w:val="24"/>
        </w:rPr>
        <w:t xml:space="preserve">debe contar con total independencia en sus funciones y responsabilidades con respecto al resto de roles clave que participan en el proceso de </w:t>
      </w:r>
      <w:r>
        <w:rPr>
          <w:rFonts w:ascii="Lato Light" w:eastAsia="Lato Light" w:hAnsi="Lato Light" w:cs="Lato Light"/>
          <w:sz w:val="24"/>
          <w:szCs w:val="24"/>
        </w:rPr>
        <w:t>aprovisionamiento.</w:t>
      </w:r>
    </w:p>
    <w:p w14:paraId="0A42CAD1" w14:textId="77777777" w:rsidR="00FC6D86" w:rsidRDefault="00FC6D86">
      <w:pPr>
        <w:pBdr>
          <w:top w:val="nil"/>
          <w:left w:val="nil"/>
          <w:bottom w:val="nil"/>
          <w:right w:val="nil"/>
          <w:between w:val="nil"/>
        </w:pBdr>
        <w:spacing w:line="240" w:lineRule="auto"/>
        <w:jc w:val="both"/>
        <w:rPr>
          <w:rFonts w:ascii="Lato Light" w:eastAsia="Lato Light" w:hAnsi="Lato Light" w:cs="Lato Light"/>
          <w:sz w:val="24"/>
          <w:szCs w:val="24"/>
        </w:rPr>
      </w:pPr>
    </w:p>
    <w:p w14:paraId="3F6B6980" w14:textId="77777777" w:rsidR="00FC6D86" w:rsidRDefault="00371CAA">
      <w:pPr>
        <w:pBdr>
          <w:top w:val="nil"/>
          <w:left w:val="nil"/>
          <w:bottom w:val="nil"/>
          <w:right w:val="nil"/>
          <w:between w:val="nil"/>
        </w:pBdr>
        <w:spacing w:line="240" w:lineRule="auto"/>
        <w:jc w:val="both"/>
        <w:rPr>
          <w:rFonts w:ascii="Lato Light" w:eastAsia="Lato Light" w:hAnsi="Lato Light" w:cs="Lato Light"/>
          <w:color w:val="121212"/>
          <w:sz w:val="24"/>
          <w:szCs w:val="24"/>
        </w:rPr>
      </w:pPr>
      <w:r>
        <w:rPr>
          <w:rFonts w:ascii="Lato Light" w:eastAsia="Lato Light" w:hAnsi="Lato Light" w:cs="Lato Light"/>
          <w:sz w:val="24"/>
          <w:szCs w:val="24"/>
        </w:rPr>
        <w:t>Es responsable de negociar, adjudicar</w:t>
      </w:r>
      <w:r>
        <w:rPr>
          <w:rFonts w:ascii="Lato Light" w:eastAsia="Lato Light" w:hAnsi="Lato Light" w:cs="Lato Light"/>
          <w:color w:val="121212"/>
          <w:sz w:val="24"/>
          <w:szCs w:val="24"/>
        </w:rPr>
        <w:t xml:space="preserve"> y contratar </w:t>
      </w:r>
      <w:proofErr w:type="gramStart"/>
      <w:r>
        <w:rPr>
          <w:rFonts w:ascii="Lato Light" w:eastAsia="Lato Light" w:hAnsi="Lato Light" w:cs="Lato Light"/>
          <w:color w:val="121212"/>
          <w:sz w:val="24"/>
          <w:szCs w:val="24"/>
        </w:rPr>
        <w:t>de acuerdo a</w:t>
      </w:r>
      <w:proofErr w:type="gramEnd"/>
      <w:r>
        <w:rPr>
          <w:rFonts w:ascii="Lato Light" w:eastAsia="Lato Light" w:hAnsi="Lato Light" w:cs="Lato Light"/>
          <w:color w:val="121212"/>
          <w:sz w:val="24"/>
          <w:szCs w:val="24"/>
        </w:rPr>
        <w:t xml:space="preserve"> las necesidades del área solicitante, siempre que se trate de naturalezas de gasto gestionables bajo su perímetro de actuación, como son los gastos de mantenimiento de activos tanto mantenidos para la venta como en explotación, adecuaciones técnicas en los inmuebles, obra menor, gastos de vigilancia y seguridad, tasaciones de inmuebles y servicios de postventa. </w:t>
      </w:r>
    </w:p>
    <w:p w14:paraId="16BB2879" w14:textId="77777777" w:rsidR="00FC6D86" w:rsidRDefault="00FC6D86">
      <w:pPr>
        <w:pBdr>
          <w:top w:val="nil"/>
          <w:left w:val="nil"/>
          <w:bottom w:val="nil"/>
          <w:right w:val="nil"/>
          <w:between w:val="nil"/>
        </w:pBdr>
        <w:spacing w:line="240" w:lineRule="auto"/>
        <w:jc w:val="both"/>
        <w:rPr>
          <w:rFonts w:ascii="Lato Light" w:eastAsia="Lato Light" w:hAnsi="Lato Light" w:cs="Lato Light"/>
          <w:sz w:val="24"/>
          <w:szCs w:val="24"/>
        </w:rPr>
      </w:pPr>
    </w:p>
    <w:p w14:paraId="250C5CAF" w14:textId="77777777" w:rsidR="00FC6D86" w:rsidRDefault="00371CAA">
      <w:pPr>
        <w:pBdr>
          <w:top w:val="nil"/>
          <w:left w:val="nil"/>
          <w:bottom w:val="nil"/>
          <w:right w:val="nil"/>
          <w:between w:val="nil"/>
        </w:pBdr>
        <w:spacing w:line="240" w:lineRule="auto"/>
        <w:jc w:val="both"/>
        <w:rPr>
          <w:rFonts w:ascii="Lato Light" w:eastAsia="Lato Light" w:hAnsi="Lato Light" w:cs="Lato Light"/>
          <w:sz w:val="24"/>
          <w:szCs w:val="24"/>
        </w:rPr>
      </w:pPr>
      <w:r>
        <w:rPr>
          <w:rFonts w:ascii="Lato Light" w:eastAsia="Lato Light" w:hAnsi="Lato Light" w:cs="Lato Light"/>
          <w:sz w:val="24"/>
          <w:szCs w:val="24"/>
        </w:rPr>
        <w:t xml:space="preserve">En caso de que la contratación requiera la elaboración de un contrato, ésta correrá a cargo de los Servicios Jurídicos correspondientes. </w:t>
      </w:r>
    </w:p>
    <w:p w14:paraId="664C7E4A" w14:textId="77777777" w:rsidR="00FC6D86" w:rsidRDefault="00FC6D86">
      <w:pPr>
        <w:spacing w:line="240" w:lineRule="auto"/>
        <w:jc w:val="both"/>
        <w:rPr>
          <w:rFonts w:ascii="BBVA Office Light" w:eastAsia="BBVA Office Light" w:hAnsi="BBVA Office Light" w:cs="BBVA Office Light"/>
          <w:sz w:val="24"/>
          <w:szCs w:val="24"/>
        </w:rPr>
      </w:pPr>
    </w:p>
    <w:p w14:paraId="1F95B91F" w14:textId="77777777" w:rsidR="00FC6D86" w:rsidRDefault="00371CAA">
      <w:pPr>
        <w:spacing w:line="240" w:lineRule="auto"/>
        <w:jc w:val="both"/>
        <w:rPr>
          <w:rFonts w:ascii="Lato Light" w:eastAsia="Lato Light" w:hAnsi="Lato Light" w:cs="Lato Light"/>
          <w:color w:val="FF0000"/>
          <w:sz w:val="24"/>
          <w:szCs w:val="24"/>
        </w:rPr>
      </w:pPr>
      <w:r>
        <w:rPr>
          <w:rFonts w:ascii="Lato Light" w:eastAsia="Lato Light" w:hAnsi="Lato Light" w:cs="Lato Light"/>
          <w:sz w:val="24"/>
          <w:szCs w:val="24"/>
        </w:rPr>
        <w:t xml:space="preserve">Como norma general, siempre que esté disponible, la formalización de los contratos se realizará mediante firma digital. </w:t>
      </w:r>
    </w:p>
    <w:p w14:paraId="4DEBA4BD" w14:textId="77777777" w:rsidR="00FC6D86" w:rsidRDefault="00FC6D86">
      <w:pPr>
        <w:pBdr>
          <w:top w:val="nil"/>
          <w:left w:val="nil"/>
          <w:bottom w:val="nil"/>
          <w:right w:val="nil"/>
          <w:between w:val="nil"/>
        </w:pBdr>
        <w:spacing w:before="60" w:after="60"/>
        <w:jc w:val="both"/>
        <w:rPr>
          <w:rFonts w:ascii="Lato Light" w:eastAsia="Lato Light" w:hAnsi="Lato Light" w:cs="Lato Light"/>
          <w:color w:val="121212"/>
          <w:sz w:val="24"/>
          <w:szCs w:val="24"/>
        </w:rPr>
      </w:pPr>
    </w:p>
    <w:p w14:paraId="641BD5A1" w14:textId="77777777" w:rsidR="00FC6D86" w:rsidRDefault="00371CAA">
      <w:pPr>
        <w:spacing w:before="60" w:after="60"/>
        <w:jc w:val="both"/>
        <w:rPr>
          <w:rFonts w:ascii="Lato Light" w:eastAsia="Lato Light" w:hAnsi="Lato Light" w:cs="Lato Light"/>
          <w:color w:val="121212"/>
          <w:sz w:val="24"/>
          <w:szCs w:val="24"/>
        </w:rPr>
      </w:pPr>
      <w:proofErr w:type="spellStart"/>
      <w:r>
        <w:rPr>
          <w:rFonts w:ascii="Lato" w:eastAsia="Lato" w:hAnsi="Lato" w:cs="Lato"/>
          <w:b/>
          <w:color w:val="02A5A5"/>
          <w:sz w:val="28"/>
          <w:szCs w:val="28"/>
        </w:rPr>
        <w:t>Vendor</w:t>
      </w:r>
      <w:proofErr w:type="spellEnd"/>
      <w:r>
        <w:rPr>
          <w:rFonts w:ascii="Lato" w:eastAsia="Lato" w:hAnsi="Lato" w:cs="Lato"/>
          <w:b/>
          <w:color w:val="02A5A5"/>
          <w:sz w:val="28"/>
          <w:szCs w:val="28"/>
        </w:rPr>
        <w:t xml:space="preserve"> </w:t>
      </w:r>
      <w:proofErr w:type="spellStart"/>
      <w:r>
        <w:rPr>
          <w:rFonts w:ascii="Lato" w:eastAsia="Lato" w:hAnsi="Lato" w:cs="Lato"/>
          <w:b/>
          <w:color w:val="02A5A5"/>
          <w:sz w:val="28"/>
          <w:szCs w:val="28"/>
        </w:rPr>
        <w:t>Risk</w:t>
      </w:r>
      <w:proofErr w:type="spellEnd"/>
      <w:r>
        <w:rPr>
          <w:rFonts w:ascii="Lato" w:eastAsia="Lato" w:hAnsi="Lato" w:cs="Lato"/>
          <w:b/>
          <w:color w:val="02A5A5"/>
          <w:sz w:val="28"/>
          <w:szCs w:val="28"/>
        </w:rPr>
        <w:t xml:space="preserve"> Management (VRM)</w:t>
      </w:r>
    </w:p>
    <w:p w14:paraId="1ADF5BB4" w14:textId="77777777" w:rsidR="00FC6D86" w:rsidRDefault="00371CAA">
      <w:pPr>
        <w:spacing w:line="240" w:lineRule="auto"/>
        <w:jc w:val="both"/>
        <w:rPr>
          <w:rFonts w:ascii="Lato Light" w:eastAsia="Lato Light" w:hAnsi="Lato Light" w:cs="Lato Light"/>
          <w:sz w:val="24"/>
          <w:szCs w:val="24"/>
        </w:rPr>
      </w:pPr>
      <w:r>
        <w:rPr>
          <w:rFonts w:ascii="Lato Light" w:eastAsia="Lato Light" w:hAnsi="Lato Light" w:cs="Lato Light"/>
          <w:sz w:val="24"/>
          <w:szCs w:val="24"/>
        </w:rPr>
        <w:t xml:space="preserve">La evaluación de proveedores se lleva a cabo desde la función de </w:t>
      </w:r>
      <w:proofErr w:type="spellStart"/>
      <w:r>
        <w:rPr>
          <w:rFonts w:ascii="Lato Light" w:eastAsia="Lato Light" w:hAnsi="Lato Light" w:cs="Lato Light"/>
          <w:sz w:val="24"/>
          <w:szCs w:val="24"/>
        </w:rPr>
        <w:t>Vendor</w:t>
      </w:r>
      <w:proofErr w:type="spellEnd"/>
      <w:r>
        <w:rPr>
          <w:rFonts w:ascii="Lato Light" w:eastAsia="Lato Light" w:hAnsi="Lato Light" w:cs="Lato Light"/>
          <w:sz w:val="24"/>
          <w:szCs w:val="24"/>
        </w:rPr>
        <w:t xml:space="preserve"> </w:t>
      </w:r>
      <w:proofErr w:type="spellStart"/>
      <w:r>
        <w:rPr>
          <w:rFonts w:ascii="Lato Light" w:eastAsia="Lato Light" w:hAnsi="Lato Light" w:cs="Lato Light"/>
          <w:sz w:val="24"/>
          <w:szCs w:val="24"/>
        </w:rPr>
        <w:t>Risk</w:t>
      </w:r>
      <w:proofErr w:type="spellEnd"/>
      <w:r>
        <w:rPr>
          <w:rFonts w:ascii="Lato Light" w:eastAsia="Lato Light" w:hAnsi="Lato Light" w:cs="Lato Light"/>
          <w:sz w:val="24"/>
          <w:szCs w:val="24"/>
        </w:rPr>
        <w:t xml:space="preserve"> Management dentro de la Unidad de </w:t>
      </w:r>
      <w:proofErr w:type="spellStart"/>
      <w:r>
        <w:rPr>
          <w:rFonts w:ascii="Lato Light" w:eastAsia="Lato Light" w:hAnsi="Lato Light" w:cs="Lato Light"/>
          <w:sz w:val="24"/>
          <w:szCs w:val="24"/>
        </w:rPr>
        <w:t>Procurement</w:t>
      </w:r>
      <w:proofErr w:type="spellEnd"/>
      <w:r>
        <w:rPr>
          <w:rFonts w:ascii="Lato Light" w:eastAsia="Lato Light" w:hAnsi="Lato Light" w:cs="Lato Light"/>
          <w:sz w:val="24"/>
          <w:szCs w:val="24"/>
        </w:rPr>
        <w:t xml:space="preserve">, siendo la encargada de emitir el </w:t>
      </w:r>
      <w:r>
        <w:rPr>
          <w:rFonts w:ascii="Lato Light" w:eastAsia="Lato Light" w:hAnsi="Lato Light" w:cs="Lato Light"/>
          <w:sz w:val="24"/>
          <w:szCs w:val="24"/>
        </w:rPr>
        <w:lastRenderedPageBreak/>
        <w:t xml:space="preserve">dictamen de su evaluación, con el fin de identificar el nivel de riesgo asociado y comprobar que se ajustan a los estándares de calidad requeridos. </w:t>
      </w:r>
    </w:p>
    <w:p w14:paraId="05CDD68B" w14:textId="77777777" w:rsidR="00FC6D86" w:rsidRDefault="00FC6D86">
      <w:pPr>
        <w:spacing w:line="240" w:lineRule="auto"/>
        <w:jc w:val="both"/>
        <w:rPr>
          <w:rFonts w:ascii="Lato Light" w:eastAsia="Lato Light" w:hAnsi="Lato Light" w:cs="Lato Light"/>
          <w:sz w:val="24"/>
          <w:szCs w:val="24"/>
        </w:rPr>
      </w:pPr>
    </w:p>
    <w:p w14:paraId="44AC5748" w14:textId="77777777" w:rsidR="00FC6D86" w:rsidRDefault="00371CAA">
      <w:pPr>
        <w:spacing w:line="240" w:lineRule="auto"/>
        <w:jc w:val="both"/>
        <w:rPr>
          <w:rFonts w:ascii="Lato Light" w:eastAsia="Lato Light" w:hAnsi="Lato Light" w:cs="Lato Light"/>
          <w:sz w:val="24"/>
          <w:szCs w:val="24"/>
        </w:rPr>
      </w:pPr>
      <w:r>
        <w:rPr>
          <w:rFonts w:ascii="Lato Light" w:eastAsia="Lato Light" w:hAnsi="Lato Light" w:cs="Lato Light"/>
          <w:sz w:val="24"/>
          <w:szCs w:val="24"/>
        </w:rPr>
        <w:t xml:space="preserve">Solo se podrá adjudicar a proveedores que hayan pasado satisfactoriamente el proceso de evaluación, por lo que dicho proceso deberá iniciarse con la antelación suficiente para asegurar que el proveedor está evaluado antes de la adjudicación. </w:t>
      </w:r>
    </w:p>
    <w:p w14:paraId="229D3542" w14:textId="77777777" w:rsidR="00FC6D86" w:rsidRDefault="00FC6D86">
      <w:pPr>
        <w:spacing w:line="240" w:lineRule="auto"/>
        <w:jc w:val="both"/>
        <w:rPr>
          <w:rFonts w:ascii="Lato Light" w:eastAsia="Lato Light" w:hAnsi="Lato Light" w:cs="Lato Light"/>
          <w:sz w:val="24"/>
          <w:szCs w:val="24"/>
        </w:rPr>
      </w:pPr>
    </w:p>
    <w:p w14:paraId="0410DF20" w14:textId="77777777" w:rsidR="00FC6D86" w:rsidRDefault="00371CAA">
      <w:pPr>
        <w:pBdr>
          <w:top w:val="nil"/>
          <w:left w:val="nil"/>
          <w:bottom w:val="nil"/>
          <w:right w:val="nil"/>
          <w:between w:val="nil"/>
        </w:pBdr>
        <w:spacing w:line="240" w:lineRule="auto"/>
        <w:jc w:val="both"/>
        <w:rPr>
          <w:rFonts w:ascii="Lato Light" w:eastAsia="Lato Light" w:hAnsi="Lato Light" w:cs="Lato Light"/>
          <w:sz w:val="24"/>
          <w:szCs w:val="24"/>
        </w:rPr>
      </w:pPr>
      <w:r>
        <w:rPr>
          <w:rFonts w:ascii="Lato Light" w:eastAsia="Lato Light" w:hAnsi="Lato Light" w:cs="Lato Light"/>
          <w:sz w:val="24"/>
          <w:szCs w:val="24"/>
        </w:rPr>
        <w:t>Todos los proveedores deberán estar evaluados mientras la relación contractual con BBVA esté vigente.</w:t>
      </w:r>
    </w:p>
    <w:p w14:paraId="164C804E" w14:textId="77777777" w:rsidR="00FC6D86" w:rsidRDefault="00FC6D86">
      <w:pPr>
        <w:spacing w:before="60" w:after="60"/>
        <w:jc w:val="both"/>
        <w:rPr>
          <w:rFonts w:ascii="Lato Light" w:eastAsia="Lato Light" w:hAnsi="Lato Light" w:cs="Lato Light"/>
          <w:sz w:val="24"/>
          <w:szCs w:val="24"/>
        </w:rPr>
      </w:pPr>
    </w:p>
    <w:p w14:paraId="0FE2F439" w14:textId="77777777" w:rsidR="00FC6D86" w:rsidRDefault="00371CAA">
      <w:pPr>
        <w:spacing w:before="60" w:after="60"/>
        <w:jc w:val="both"/>
        <w:rPr>
          <w:rFonts w:ascii="Lato Light" w:eastAsia="Lato Light" w:hAnsi="Lato Light" w:cs="Lato Light"/>
          <w:color w:val="FF0000"/>
          <w:sz w:val="24"/>
          <w:szCs w:val="24"/>
        </w:rPr>
      </w:pPr>
      <w:r>
        <w:rPr>
          <w:rFonts w:ascii="Lato Light" w:eastAsia="Lato Light" w:hAnsi="Lato Light" w:cs="Lato Light"/>
          <w:sz w:val="24"/>
          <w:szCs w:val="24"/>
        </w:rPr>
        <w:t xml:space="preserve">No estarán sujetos a evaluación determinados colectivos de terceros con los que BBVA tiene una obligación de pago (gastos no </w:t>
      </w:r>
      <w:proofErr w:type="gramStart"/>
      <w:r>
        <w:rPr>
          <w:rFonts w:ascii="Lato Light" w:eastAsia="Lato Light" w:hAnsi="Lato Light" w:cs="Lato Light"/>
          <w:sz w:val="24"/>
          <w:szCs w:val="24"/>
        </w:rPr>
        <w:t>gestionables)(</w:t>
      </w:r>
      <w:proofErr w:type="gramEnd"/>
      <w:r>
        <w:rPr>
          <w:rFonts w:ascii="Lato Light" w:eastAsia="Lato Light" w:hAnsi="Lato Light" w:cs="Lato Light"/>
          <w:sz w:val="24"/>
          <w:szCs w:val="24"/>
        </w:rPr>
        <w:t xml:space="preserve">por ejemplo, organismos públicos y entes gubernamentales, comunidades de propietarios o registradores). </w:t>
      </w:r>
    </w:p>
    <w:p w14:paraId="10BFF7EA" w14:textId="77777777" w:rsidR="00FC6D86" w:rsidRDefault="00FC6D86">
      <w:pPr>
        <w:pBdr>
          <w:top w:val="nil"/>
          <w:left w:val="nil"/>
          <w:bottom w:val="nil"/>
          <w:right w:val="nil"/>
          <w:between w:val="nil"/>
        </w:pBdr>
        <w:spacing w:before="60" w:after="60"/>
        <w:jc w:val="both"/>
        <w:rPr>
          <w:rFonts w:ascii="Lato Light" w:eastAsia="Lato Light" w:hAnsi="Lato Light" w:cs="Lato Light"/>
          <w:color w:val="121212"/>
          <w:sz w:val="24"/>
          <w:szCs w:val="24"/>
        </w:rPr>
      </w:pPr>
    </w:p>
    <w:p w14:paraId="2F96913E" w14:textId="77777777" w:rsidR="00FC6D86" w:rsidRDefault="00371CAA">
      <w:pPr>
        <w:spacing w:before="60" w:after="60"/>
        <w:jc w:val="both"/>
        <w:rPr>
          <w:rFonts w:ascii="Lato Light" w:eastAsia="Lato Light" w:hAnsi="Lato Light" w:cs="Lato Light"/>
          <w:color w:val="121212"/>
          <w:sz w:val="24"/>
          <w:szCs w:val="24"/>
        </w:rPr>
      </w:pPr>
      <w:r>
        <w:rPr>
          <w:rFonts w:ascii="Lato" w:eastAsia="Lato" w:hAnsi="Lato" w:cs="Lato"/>
          <w:b/>
          <w:color w:val="02A5A5"/>
          <w:sz w:val="28"/>
          <w:szCs w:val="28"/>
        </w:rPr>
        <w:t xml:space="preserve">Área peticionaria </w:t>
      </w:r>
    </w:p>
    <w:p w14:paraId="3E4ECB12"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El</w:t>
      </w:r>
      <w:r>
        <w:rPr>
          <w:rFonts w:ascii="Lato" w:eastAsia="Lato" w:hAnsi="Lato" w:cs="Lato"/>
          <w:b/>
          <w:color w:val="02A5A5"/>
          <w:sz w:val="24"/>
          <w:szCs w:val="24"/>
        </w:rPr>
        <w:t xml:space="preserve"> </w:t>
      </w:r>
      <w:r>
        <w:rPr>
          <w:rFonts w:ascii="Lato Light" w:eastAsia="Lato Light" w:hAnsi="Lato Light" w:cs="Lato Light"/>
          <w:color w:val="121212"/>
          <w:sz w:val="24"/>
          <w:szCs w:val="24"/>
        </w:rPr>
        <w:t>área peticionaria (EGI)</w:t>
      </w:r>
      <w:r>
        <w:rPr>
          <w:rFonts w:ascii="Lato" w:eastAsia="Lato" w:hAnsi="Lato" w:cs="Lato"/>
          <w:b/>
          <w:color w:val="02A5A5"/>
          <w:sz w:val="24"/>
          <w:szCs w:val="24"/>
        </w:rPr>
        <w:t xml:space="preserve"> </w:t>
      </w:r>
      <w:r>
        <w:rPr>
          <w:rFonts w:ascii="Lato Light" w:eastAsia="Lato Light" w:hAnsi="Lato Light" w:cs="Lato Light"/>
          <w:color w:val="121212"/>
          <w:sz w:val="24"/>
          <w:szCs w:val="24"/>
        </w:rPr>
        <w:t xml:space="preserve">es responsable de trasladar las necesidades de contratación al equipo de </w:t>
      </w:r>
      <w:proofErr w:type="spellStart"/>
      <w:r>
        <w:rPr>
          <w:rFonts w:ascii="Lato Light" w:eastAsia="Lato Light" w:hAnsi="Lato Light" w:cs="Lato Light"/>
          <w:color w:val="121212"/>
          <w:sz w:val="24"/>
          <w:szCs w:val="24"/>
        </w:rPr>
        <w:t>Procurement</w:t>
      </w:r>
      <w:proofErr w:type="spellEnd"/>
      <w:r>
        <w:rPr>
          <w:rFonts w:ascii="Lato Light" w:eastAsia="Lato Light" w:hAnsi="Lato Light" w:cs="Lato Light"/>
          <w:color w:val="121212"/>
          <w:sz w:val="24"/>
          <w:szCs w:val="24"/>
        </w:rPr>
        <w:t xml:space="preserve">, conforme se indica en la Norma de Adquisición de bienes y Contratación de servicios. </w:t>
      </w:r>
    </w:p>
    <w:p w14:paraId="6FD13951"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Así mismo, es responsable de trasladar la necesidad de evaluar a </w:t>
      </w:r>
      <w:proofErr w:type="gramStart"/>
      <w:r>
        <w:rPr>
          <w:rFonts w:ascii="Lato Light" w:eastAsia="Lato Light" w:hAnsi="Lato Light" w:cs="Lato Light"/>
          <w:color w:val="121212"/>
          <w:sz w:val="24"/>
          <w:szCs w:val="24"/>
        </w:rPr>
        <w:t>los  proveedores</w:t>
      </w:r>
      <w:proofErr w:type="gramEnd"/>
      <w:r>
        <w:rPr>
          <w:rFonts w:ascii="Lato Light" w:eastAsia="Lato Light" w:hAnsi="Lato Light" w:cs="Lato Light"/>
          <w:color w:val="121212"/>
          <w:sz w:val="24"/>
          <w:szCs w:val="24"/>
        </w:rPr>
        <w:t xml:space="preserve"> al equipo de VRM.</w:t>
      </w:r>
    </w:p>
    <w:p w14:paraId="4890D914"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Por otra parte, es responsable, junto con el RCA del área, de establecer el modelo de control de las funciones externalizadas en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Para ello, deberá realizar las siguientes funciones: </w:t>
      </w:r>
    </w:p>
    <w:p w14:paraId="77E4A975" w14:textId="77777777" w:rsidR="00FC6D86" w:rsidRDefault="00371CAA">
      <w:pPr>
        <w:numPr>
          <w:ilvl w:val="0"/>
          <w:numId w:val="4"/>
        </w:numPr>
        <w:spacing w:before="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Elaborar el censo de requisitos para la renovación de contratos </w:t>
      </w:r>
    </w:p>
    <w:p w14:paraId="1A45DB80" w14:textId="77777777" w:rsidR="00FC6D86" w:rsidRDefault="00371CAA">
      <w:pPr>
        <w:numPr>
          <w:ilvl w:val="0"/>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Control de facturación:</w:t>
      </w:r>
      <w:r>
        <w:rPr>
          <w:rFonts w:ascii="Lato Light" w:eastAsia="Lato Light" w:hAnsi="Lato Light" w:cs="Lato Light"/>
          <w:color w:val="FF0000"/>
          <w:sz w:val="24"/>
          <w:szCs w:val="24"/>
        </w:rPr>
        <w:t xml:space="preserve"> </w:t>
      </w:r>
    </w:p>
    <w:p w14:paraId="050289DB" w14:textId="77777777" w:rsidR="00FC6D86" w:rsidRDefault="00371CAA">
      <w:pPr>
        <w:numPr>
          <w:ilvl w:val="1"/>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envía periódicamente listados con las actuaciones llevadas a cabo por los proveedores sobre los inmuebles y EGI realiza catas para revisar el detalle de las actuaciones (revisa la documentación soporte de la actuación y las facturas emitidas).</w:t>
      </w:r>
    </w:p>
    <w:p w14:paraId="4D6F4D8E" w14:textId="77777777" w:rsidR="00FC6D86" w:rsidRDefault="00371CAA">
      <w:pPr>
        <w:numPr>
          <w:ilvl w:val="1"/>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Si se detectan errores en las catas se le comunica al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para que lleve a cabo la regularización de los importes facturados de manera incorrecta. Si se producen muchos errores en la cata se amplía la muestra para detectar el volumen de incidencias.</w:t>
      </w:r>
    </w:p>
    <w:p w14:paraId="41FF26DD" w14:textId="77777777" w:rsidR="00FC6D86" w:rsidRDefault="00371CAA">
      <w:pPr>
        <w:numPr>
          <w:ilvl w:val="1"/>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También se revisa el propio </w:t>
      </w:r>
      <w:proofErr w:type="spellStart"/>
      <w:r>
        <w:rPr>
          <w:rFonts w:ascii="Lato Light" w:eastAsia="Lato Light" w:hAnsi="Lato Light" w:cs="Lato Light"/>
          <w:color w:val="121212"/>
          <w:sz w:val="24"/>
          <w:szCs w:val="24"/>
        </w:rPr>
        <w:t>comisionamiento</w:t>
      </w:r>
      <w:proofErr w:type="spellEnd"/>
      <w:r>
        <w:rPr>
          <w:rFonts w:ascii="Lato Light" w:eastAsia="Lato Light" w:hAnsi="Lato Light" w:cs="Lato Light"/>
          <w:color w:val="121212"/>
          <w:sz w:val="24"/>
          <w:szCs w:val="24"/>
        </w:rPr>
        <w:t xml:space="preserve"> del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(honorarios por el </w:t>
      </w:r>
      <w:proofErr w:type="spellStart"/>
      <w:r>
        <w:rPr>
          <w:rFonts w:ascii="Lato Light" w:eastAsia="Lato Light" w:hAnsi="Lato Light" w:cs="Lato Light"/>
          <w:color w:val="121212"/>
          <w:sz w:val="24"/>
          <w:szCs w:val="24"/>
        </w:rPr>
        <w:t>servicing</w:t>
      </w:r>
      <w:proofErr w:type="spellEnd"/>
      <w:r>
        <w:rPr>
          <w:rFonts w:ascii="Lato Light" w:eastAsia="Lato Light" w:hAnsi="Lato Light" w:cs="Lato Light"/>
          <w:color w:val="121212"/>
          <w:sz w:val="24"/>
          <w:szCs w:val="24"/>
        </w:rPr>
        <w:t xml:space="preserve">) por los servicios incluidos en el SLA y suplidos. </w:t>
      </w:r>
    </w:p>
    <w:p w14:paraId="7482C3CC" w14:textId="77777777" w:rsidR="00FC6D86" w:rsidRDefault="00371CAA">
      <w:pPr>
        <w:numPr>
          <w:ilvl w:val="0"/>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lastRenderedPageBreak/>
        <w:t>Control de la calidad del servicio obtenido. Seguimiento y evaluación de los niveles de servicio acordados con el proveedor.</w:t>
      </w:r>
    </w:p>
    <w:p w14:paraId="579E6F4E" w14:textId="77777777" w:rsidR="00FC6D86" w:rsidRDefault="00371CAA">
      <w:pPr>
        <w:numPr>
          <w:ilvl w:val="0"/>
          <w:numId w:val="4"/>
        </w:numPr>
        <w:pBdr>
          <w:top w:val="nil"/>
          <w:left w:val="nil"/>
          <w:bottom w:val="nil"/>
          <w:right w:val="nil"/>
          <w:between w:val="nil"/>
        </w:pBdr>
        <w:spacing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Ejecución del modelo de control en lo referido a las actividades externalizadas en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w:t>
      </w:r>
    </w:p>
    <w:p w14:paraId="7420E976" w14:textId="77777777" w:rsidR="00FC6D86" w:rsidRDefault="00FC6D86">
      <w:pPr>
        <w:spacing w:before="60" w:after="60"/>
        <w:jc w:val="both"/>
        <w:rPr>
          <w:rFonts w:ascii="Lato Light" w:eastAsia="Lato Light" w:hAnsi="Lato Light" w:cs="Lato Light"/>
          <w:color w:val="121212"/>
          <w:sz w:val="24"/>
          <w:szCs w:val="24"/>
        </w:rPr>
      </w:pPr>
    </w:p>
    <w:p w14:paraId="2DA943D0" w14:textId="77777777" w:rsidR="00FC6D86" w:rsidRDefault="00371CAA">
      <w:pPr>
        <w:spacing w:before="60" w:after="60"/>
        <w:jc w:val="both"/>
        <w:rPr>
          <w:rFonts w:ascii="Lato Light" w:eastAsia="Lato Light" w:hAnsi="Lato Light" w:cs="Lato Light"/>
          <w:color w:val="121212"/>
          <w:sz w:val="28"/>
          <w:szCs w:val="28"/>
        </w:rPr>
      </w:pPr>
      <w:proofErr w:type="spellStart"/>
      <w:r>
        <w:rPr>
          <w:rFonts w:ascii="Lato" w:eastAsia="Lato" w:hAnsi="Lato" w:cs="Lato"/>
          <w:b/>
          <w:color w:val="02A5A5"/>
          <w:sz w:val="28"/>
          <w:szCs w:val="28"/>
        </w:rPr>
        <w:t>Servicer</w:t>
      </w:r>
      <w:proofErr w:type="spellEnd"/>
      <w:r>
        <w:rPr>
          <w:rFonts w:ascii="Lato" w:eastAsia="Lato" w:hAnsi="Lato" w:cs="Lato"/>
          <w:b/>
          <w:color w:val="02A5A5"/>
          <w:sz w:val="28"/>
          <w:szCs w:val="28"/>
        </w:rPr>
        <w:t xml:space="preserve"> (HAYA RE)</w:t>
      </w:r>
    </w:p>
    <w:p w14:paraId="519B446C"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FF0000"/>
          <w:sz w:val="24"/>
          <w:szCs w:val="24"/>
        </w:rPr>
      </w:pPr>
      <w:r>
        <w:rPr>
          <w:rFonts w:ascii="Lato Light" w:eastAsia="Lato Light" w:hAnsi="Lato Light" w:cs="Lato Light"/>
          <w:color w:val="121212"/>
          <w:sz w:val="24"/>
          <w:szCs w:val="24"/>
        </w:rPr>
        <w:t xml:space="preserve">Las funciones y responsabilidades del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se recogen en el contrato de servicios vigente. </w:t>
      </w:r>
      <w:r>
        <w:rPr>
          <w:rFonts w:ascii="Lato Light" w:eastAsia="Lato Light" w:hAnsi="Lato Light" w:cs="Lato Light"/>
          <w:color w:val="FF0000"/>
          <w:sz w:val="24"/>
          <w:szCs w:val="24"/>
        </w:rPr>
        <w:t xml:space="preserve"> </w:t>
      </w:r>
    </w:p>
    <w:p w14:paraId="4C9CD679" w14:textId="77777777" w:rsidR="00FC6D86" w:rsidRDefault="00371CAA">
      <w:pPr>
        <w:pBdr>
          <w:top w:val="nil"/>
          <w:left w:val="nil"/>
          <w:bottom w:val="nil"/>
          <w:right w:val="nil"/>
          <w:between w:val="nil"/>
        </w:pBdr>
        <w:spacing w:before="60"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En lo que respecta al proceso de gestión de necesidades y selección / propuesta de proveedores,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podrá ejercer las siguientes funciones:</w:t>
      </w:r>
    </w:p>
    <w:p w14:paraId="37DCC7BC" w14:textId="77777777" w:rsidR="00FC6D86" w:rsidRDefault="00371CAA">
      <w:pPr>
        <w:numPr>
          <w:ilvl w:val="0"/>
          <w:numId w:val="4"/>
        </w:numPr>
        <w:pBdr>
          <w:top w:val="nil"/>
          <w:left w:val="nil"/>
          <w:bottom w:val="nil"/>
          <w:right w:val="nil"/>
          <w:between w:val="nil"/>
        </w:pBdr>
        <w:spacing w:before="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Asesorar a EGI en cuanto a la gestión de los requerimientos necesarios para cubrir los requisitos demandados por el Banco en cada momento</w:t>
      </w:r>
    </w:p>
    <w:p w14:paraId="2BE740BA" w14:textId="77777777" w:rsidR="00FC6D86" w:rsidRDefault="00371CAA">
      <w:pPr>
        <w:numPr>
          <w:ilvl w:val="0"/>
          <w:numId w:val="4"/>
        </w:numPr>
        <w:pBdr>
          <w:top w:val="nil"/>
          <w:left w:val="nil"/>
          <w:bottom w:val="nil"/>
          <w:right w:val="nil"/>
          <w:between w:val="nil"/>
        </w:pBdr>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Dado al conocimiento técnico que atesora sobre el sector y/o a las experiencias previas de mercado sobre el desempeño de </w:t>
      </w:r>
      <w:proofErr w:type="gramStart"/>
      <w:r>
        <w:rPr>
          <w:rFonts w:ascii="Lato Light" w:eastAsia="Lato Light" w:hAnsi="Lato Light" w:cs="Lato Light"/>
          <w:color w:val="121212"/>
          <w:sz w:val="24"/>
          <w:szCs w:val="24"/>
        </w:rPr>
        <w:t>los mismos</w:t>
      </w:r>
      <w:proofErr w:type="gramEnd"/>
      <w:r>
        <w:rPr>
          <w:rFonts w:ascii="Lato Light" w:eastAsia="Lato Light" w:hAnsi="Lato Light" w:cs="Lato Light"/>
          <w:color w:val="121212"/>
          <w:sz w:val="24"/>
          <w:szCs w:val="24"/>
        </w:rPr>
        <w:t>, podrá aportar cuanta documentación esté en su poder con el fin asegurar la selección idónea de los proveedores adecuados para realizar el servicio requerido</w:t>
      </w:r>
    </w:p>
    <w:p w14:paraId="61AAF9B5" w14:textId="77777777" w:rsidR="00FC6D86" w:rsidRDefault="00371CAA">
      <w:pPr>
        <w:numPr>
          <w:ilvl w:val="0"/>
          <w:numId w:val="4"/>
        </w:numPr>
        <w:pBdr>
          <w:top w:val="nil"/>
          <w:left w:val="nil"/>
          <w:bottom w:val="nil"/>
          <w:right w:val="nil"/>
          <w:between w:val="nil"/>
        </w:pBdr>
        <w:spacing w:after="6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Esta información podrá ser tenida en cuenta por BBVA como un input en el proceso de selección de </w:t>
      </w:r>
      <w:proofErr w:type="gramStart"/>
      <w:r>
        <w:rPr>
          <w:rFonts w:ascii="Lato Light" w:eastAsia="Lato Light" w:hAnsi="Lato Light" w:cs="Lato Light"/>
          <w:color w:val="121212"/>
          <w:sz w:val="24"/>
          <w:szCs w:val="24"/>
        </w:rPr>
        <w:t>proveedores</w:t>
      </w:r>
      <w:proofErr w:type="gramEnd"/>
      <w:r>
        <w:rPr>
          <w:rFonts w:ascii="Lato Light" w:eastAsia="Lato Light" w:hAnsi="Lato Light" w:cs="Lato Light"/>
          <w:color w:val="121212"/>
          <w:sz w:val="24"/>
          <w:szCs w:val="24"/>
        </w:rPr>
        <w:t xml:space="preserve"> pero no será vinculante, debiéndose cumplir específicamente el proceso de selección conforme a lo descrito en la Norma de Adquisición de Bienes y Contratación de Servicios de BBVA.</w:t>
      </w:r>
    </w:p>
    <w:p w14:paraId="773A824C" w14:textId="77777777" w:rsidR="00FC6D86" w:rsidRDefault="00371CAA">
      <w:pPr>
        <w:pBdr>
          <w:top w:val="nil"/>
          <w:left w:val="nil"/>
          <w:bottom w:val="nil"/>
          <w:right w:val="nil"/>
          <w:between w:val="nil"/>
        </w:pBdr>
        <w:spacing w:before="200"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Adicionalmente, podrá detectar e informar a EGI sobre cualquier incumplimiento de contrato por parte de los proveedores que presten servicio a BBVA. </w:t>
      </w:r>
    </w:p>
    <w:p w14:paraId="1AA58CE1" w14:textId="77777777" w:rsidR="00FC6D86" w:rsidRDefault="00371CAA">
      <w:pPr>
        <w:spacing w:before="200"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En lo que respecta al proceso de recepción / aceptación y facturación, en el contrato con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se formalizan los límites de delegación para la revisión y aprobación técnica de las facturas de proveedores que realizan actuaciones sobre los inmuebles, es decir, se validan las facturas como solicitante del servicio.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realiza una revisión del detalle de las actuaciones ejecutadas por los proveedores, codifica las facturas y las remite al Centro Grabador de facturas, que corresponda, para su registro, contabilización y pago. </w:t>
      </w:r>
    </w:p>
    <w:p w14:paraId="5C1A6389" w14:textId="77777777" w:rsidR="00FC6D86" w:rsidRDefault="00371CAA">
      <w:pPr>
        <w:pStyle w:val="Ttulo1"/>
        <w:numPr>
          <w:ilvl w:val="0"/>
          <w:numId w:val="1"/>
        </w:numPr>
        <w:pBdr>
          <w:top w:val="nil"/>
          <w:left w:val="nil"/>
          <w:bottom w:val="nil"/>
          <w:right w:val="nil"/>
          <w:between w:val="nil"/>
        </w:pBdr>
        <w:spacing w:line="240" w:lineRule="auto"/>
        <w:jc w:val="both"/>
      </w:pPr>
      <w:bookmarkStart w:id="6" w:name="_dmezxgiif7n1" w:colFirst="0" w:colLast="0"/>
      <w:bookmarkEnd w:id="6"/>
      <w:r>
        <w:rPr>
          <w:rFonts w:ascii="Lato" w:eastAsia="Lato" w:hAnsi="Lato" w:cs="Lato"/>
          <w:color w:val="02A5A5"/>
          <w:sz w:val="32"/>
          <w:szCs w:val="32"/>
        </w:rPr>
        <w:t>Canales de Comunicación</w:t>
      </w:r>
    </w:p>
    <w:p w14:paraId="7B6969C4" w14:textId="77777777" w:rsidR="00FC6D86" w:rsidRDefault="00371CAA">
      <w:pPr>
        <w:pBdr>
          <w:top w:val="nil"/>
          <w:left w:val="nil"/>
          <w:bottom w:val="nil"/>
          <w:right w:val="nil"/>
          <w:between w:val="nil"/>
        </w:pBdr>
        <w:spacing w:before="200"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Buzones de comunicación entre BBVA y 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w:t>
      </w:r>
    </w:p>
    <w:p w14:paraId="160B6CBB" w14:textId="77777777" w:rsidR="00FC6D86" w:rsidRPr="005D020E" w:rsidRDefault="00371CAA" w:rsidP="005D020E">
      <w:pPr>
        <w:numPr>
          <w:ilvl w:val="0"/>
          <w:numId w:val="5"/>
        </w:numPr>
        <w:pBdr>
          <w:top w:val="nil"/>
          <w:left w:val="nil"/>
          <w:bottom w:val="nil"/>
          <w:right w:val="nil"/>
          <w:between w:val="nil"/>
        </w:pBdr>
        <w:spacing w:after="200"/>
        <w:ind w:right="-480"/>
        <w:jc w:val="both"/>
        <w:rPr>
          <w:rStyle w:val="Hipervnculo"/>
          <w:rFonts w:ascii="Calibri" w:eastAsia="Times New Roman" w:hAnsi="Calibri" w:cs="Calibri"/>
          <w:lang w:val="es-ES"/>
        </w:rPr>
      </w:pPr>
      <w:r>
        <w:rPr>
          <w:rFonts w:ascii="Lato Light" w:eastAsia="Lato Light" w:hAnsi="Lato Light" w:cs="Lato Light"/>
          <w:color w:val="121212"/>
          <w:sz w:val="24"/>
          <w:szCs w:val="24"/>
        </w:rPr>
        <w:t xml:space="preserve">EGI: </w:t>
      </w:r>
      <w:r w:rsidRPr="005D020E">
        <w:rPr>
          <w:rStyle w:val="Hipervnculo"/>
          <w:rFonts w:ascii="Calibri" w:eastAsia="Times New Roman" w:hAnsi="Calibri" w:cs="Calibri"/>
          <w:lang w:val="es-ES"/>
        </w:rPr>
        <w:t>egi.gestionactivos@bbva.com</w:t>
      </w:r>
    </w:p>
    <w:p w14:paraId="4F570465" w14:textId="1BF327BE" w:rsidR="00FC6D86" w:rsidRDefault="00371CAA" w:rsidP="00535F4A">
      <w:pPr>
        <w:numPr>
          <w:ilvl w:val="0"/>
          <w:numId w:val="5"/>
        </w:numPr>
        <w:pBdr>
          <w:top w:val="nil"/>
          <w:left w:val="nil"/>
          <w:bottom w:val="nil"/>
          <w:right w:val="nil"/>
          <w:between w:val="nil"/>
        </w:pBdr>
        <w:spacing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lastRenderedPageBreak/>
        <w:t xml:space="preserve">Área peticionaria del servicio del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w:t>
      </w:r>
    </w:p>
    <w:p w14:paraId="638EA35C" w14:textId="77777777" w:rsidR="005D020E" w:rsidRDefault="00371CAA" w:rsidP="00535F4A">
      <w:pPr>
        <w:pStyle w:val="gmail-m-8314050409108305413msolistparagraph"/>
        <w:numPr>
          <w:ilvl w:val="1"/>
          <w:numId w:val="5"/>
        </w:numPr>
        <w:spacing w:line="276" w:lineRule="auto"/>
        <w:rPr>
          <w:rFonts w:asciiTheme="majorHAnsi" w:eastAsia="Times New Roman" w:hAnsiTheme="majorHAnsi" w:cstheme="majorHAnsi"/>
        </w:rPr>
      </w:pPr>
      <w:r w:rsidRPr="00371CAA">
        <w:rPr>
          <w:rFonts w:asciiTheme="majorHAnsi" w:eastAsia="Times New Roman" w:hAnsiTheme="majorHAnsi" w:cstheme="majorHAnsi"/>
        </w:rPr>
        <w:t>Buzón SSJJ:</w:t>
      </w:r>
    </w:p>
    <w:p w14:paraId="7197E8AC" w14:textId="77777777" w:rsidR="00475699" w:rsidRPr="00475699" w:rsidRDefault="00475699" w:rsidP="00475699">
      <w:pPr>
        <w:pStyle w:val="gmail-m-8314050409108305413msolistparagraph"/>
        <w:numPr>
          <w:ilvl w:val="2"/>
          <w:numId w:val="5"/>
        </w:numPr>
        <w:spacing w:line="276" w:lineRule="auto"/>
        <w:rPr>
          <w:rStyle w:val="Hipervnculo"/>
          <w:rFonts w:asciiTheme="majorHAnsi" w:eastAsia="Times New Roman" w:hAnsiTheme="majorHAnsi" w:cstheme="majorHAnsi"/>
          <w:color w:val="auto"/>
          <w:u w:val="none"/>
        </w:rPr>
      </w:pPr>
      <w:hyperlink r:id="rId7" w:history="1">
        <w:r w:rsidR="005D020E" w:rsidRPr="007347C1">
          <w:rPr>
            <w:rStyle w:val="Hipervnculo"/>
            <w:rFonts w:asciiTheme="majorHAnsi" w:eastAsia="Times New Roman" w:hAnsiTheme="majorHAnsi" w:cstheme="majorHAnsi"/>
          </w:rPr>
          <w:t>bbva.saneamiento.ssjj@haya.es</w:t>
        </w:r>
      </w:hyperlink>
    </w:p>
    <w:p w14:paraId="7BFF0B45" w14:textId="43B81A7E" w:rsidR="00371CAA" w:rsidRPr="00475699" w:rsidRDefault="00475699" w:rsidP="00475699">
      <w:pPr>
        <w:pStyle w:val="gmail-m-8314050409108305413msolistparagraph"/>
        <w:numPr>
          <w:ilvl w:val="2"/>
          <w:numId w:val="5"/>
        </w:numPr>
        <w:spacing w:line="276" w:lineRule="auto"/>
        <w:rPr>
          <w:rFonts w:asciiTheme="majorHAnsi" w:eastAsia="Times New Roman" w:hAnsiTheme="majorHAnsi" w:cstheme="majorHAnsi"/>
        </w:rPr>
      </w:pPr>
      <w:hyperlink r:id="rId8" w:history="1">
        <w:r w:rsidRPr="00247608">
          <w:rPr>
            <w:rStyle w:val="Hipervnculo"/>
            <w:sz w:val="24"/>
            <w:szCs w:val="24"/>
          </w:rPr>
          <w:t>bbva.contencioso.ssjj@haya.es</w:t>
        </w:r>
      </w:hyperlink>
      <w:bookmarkStart w:id="7" w:name="_GoBack"/>
      <w:bookmarkEnd w:id="7"/>
    </w:p>
    <w:p w14:paraId="02605094" w14:textId="77777777" w:rsidR="00371CAA" w:rsidRPr="00371CAA" w:rsidRDefault="00371CAA" w:rsidP="00535F4A">
      <w:pPr>
        <w:pStyle w:val="gmail-m-8314050409108305413msolistparagraph"/>
        <w:numPr>
          <w:ilvl w:val="1"/>
          <w:numId w:val="5"/>
        </w:numPr>
        <w:spacing w:line="276" w:lineRule="auto"/>
        <w:rPr>
          <w:rFonts w:asciiTheme="majorHAnsi" w:eastAsia="Times New Roman" w:hAnsiTheme="majorHAnsi" w:cstheme="majorHAnsi"/>
        </w:rPr>
      </w:pPr>
      <w:r w:rsidRPr="00371CAA">
        <w:rPr>
          <w:rFonts w:asciiTheme="majorHAnsi" w:eastAsia="Times New Roman" w:hAnsiTheme="majorHAnsi" w:cstheme="majorHAnsi"/>
        </w:rPr>
        <w:t xml:space="preserve">Buzón RAM: </w:t>
      </w:r>
      <w:hyperlink r:id="rId9" w:tgtFrame="_blank" w:history="1">
        <w:r w:rsidRPr="00371CAA">
          <w:rPr>
            <w:rStyle w:val="Hipervnculo"/>
            <w:rFonts w:asciiTheme="majorHAnsi" w:eastAsia="Times New Roman" w:hAnsiTheme="majorHAnsi" w:cstheme="majorHAnsi"/>
          </w:rPr>
          <w:t>vhernandezi@haya.es</w:t>
        </w:r>
      </w:hyperlink>
    </w:p>
    <w:p w14:paraId="56D00113" w14:textId="47B8AC93" w:rsidR="00D134C1" w:rsidRPr="00D134C1" w:rsidRDefault="00371CAA" w:rsidP="00D134C1">
      <w:pPr>
        <w:pStyle w:val="gmail-m-8314050409108305413msolistparagraph"/>
        <w:numPr>
          <w:ilvl w:val="1"/>
          <w:numId w:val="5"/>
        </w:numPr>
        <w:spacing w:line="276" w:lineRule="auto"/>
        <w:rPr>
          <w:rFonts w:asciiTheme="majorHAnsi" w:eastAsia="Times New Roman" w:hAnsiTheme="majorHAnsi" w:cstheme="majorHAnsi"/>
        </w:rPr>
      </w:pPr>
      <w:r w:rsidRPr="00371CAA">
        <w:rPr>
          <w:rFonts w:asciiTheme="majorHAnsi" w:eastAsia="Times New Roman" w:hAnsiTheme="majorHAnsi" w:cstheme="majorHAnsi"/>
        </w:rPr>
        <w:t>DI: contactar con el peticionario del servicio</w:t>
      </w:r>
      <w:r>
        <w:rPr>
          <w:rFonts w:asciiTheme="majorHAnsi" w:eastAsia="Times New Roman" w:hAnsiTheme="majorHAnsi" w:cstheme="majorHAnsi"/>
        </w:rPr>
        <w:t>/</w:t>
      </w:r>
      <w:r w:rsidRPr="00371CAA">
        <w:rPr>
          <w:rFonts w:asciiTheme="majorHAnsi" w:eastAsia="Times New Roman" w:hAnsiTheme="majorHAnsi" w:cstheme="majorHAnsi"/>
        </w:rPr>
        <w:t>peticionario de la homologación</w:t>
      </w:r>
    </w:p>
    <w:p w14:paraId="3D5781D3" w14:textId="351E3AE4" w:rsidR="005D020E" w:rsidRPr="005D020E" w:rsidRDefault="005D020E" w:rsidP="00535F4A">
      <w:pPr>
        <w:numPr>
          <w:ilvl w:val="0"/>
          <w:numId w:val="5"/>
        </w:numPr>
        <w:pBdr>
          <w:top w:val="nil"/>
          <w:left w:val="nil"/>
          <w:bottom w:val="nil"/>
          <w:right w:val="nil"/>
          <w:between w:val="nil"/>
        </w:pBdr>
        <w:spacing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Para los casos </w:t>
      </w:r>
      <w:r w:rsidRPr="005D020E">
        <w:rPr>
          <w:rFonts w:ascii="Lato Light" w:eastAsia="Lato Light" w:hAnsi="Lato Light" w:cs="Lato Light"/>
          <w:color w:val="121212"/>
          <w:sz w:val="24"/>
          <w:szCs w:val="24"/>
        </w:rPr>
        <w:t xml:space="preserve">donde </w:t>
      </w:r>
      <w:r>
        <w:rPr>
          <w:rFonts w:ascii="Lato Light" w:eastAsia="Lato Light" w:hAnsi="Lato Light" w:cs="Lato Light"/>
          <w:color w:val="121212"/>
          <w:sz w:val="24"/>
          <w:szCs w:val="24"/>
        </w:rPr>
        <w:t xml:space="preserve">sea </w:t>
      </w:r>
      <w:r w:rsidRPr="005D020E">
        <w:rPr>
          <w:rFonts w:ascii="Lato Light" w:eastAsia="Lato Light" w:hAnsi="Lato Light" w:cs="Lato Light"/>
          <w:color w:val="121212"/>
          <w:sz w:val="24"/>
          <w:szCs w:val="24"/>
        </w:rPr>
        <w:t>necesario contratar a un proveedor de manera urgente:</w:t>
      </w:r>
    </w:p>
    <w:p w14:paraId="54FC1BCB" w14:textId="3D9CF947" w:rsidR="005D020E" w:rsidRPr="005D020E" w:rsidRDefault="005D020E" w:rsidP="00535F4A">
      <w:pPr>
        <w:pStyle w:val="gmail-m-8314050409108305413msolistparagraph"/>
        <w:numPr>
          <w:ilvl w:val="1"/>
          <w:numId w:val="5"/>
        </w:numPr>
        <w:spacing w:line="276" w:lineRule="auto"/>
        <w:rPr>
          <w:rFonts w:ascii="Arial" w:eastAsia="Times New Roman" w:hAnsi="Arial" w:cs="Arial"/>
        </w:rPr>
      </w:pPr>
      <w:r>
        <w:rPr>
          <w:rFonts w:eastAsia="Times New Roman"/>
        </w:rPr>
        <w:t>Buzón </w:t>
      </w:r>
      <w:hyperlink r:id="rId10" w:history="1">
        <w:r>
          <w:rPr>
            <w:rStyle w:val="Hipervnculo"/>
            <w:rFonts w:eastAsia="Times New Roman"/>
          </w:rPr>
          <w:t>egi.gestionactivos@bbva.com</w:t>
        </w:r>
      </w:hyperlink>
      <w:r>
        <w:rPr>
          <w:rFonts w:eastAsia="Times New Roman"/>
        </w:rPr>
        <w:t xml:space="preserve">, indicando la urgencia en el asunto e incluyendo en copia a </w:t>
      </w:r>
      <w:hyperlink r:id="rId11" w:history="1">
        <w:r>
          <w:rPr>
            <w:rStyle w:val="Hipervnculo"/>
            <w:rFonts w:eastAsia="Times New Roman"/>
          </w:rPr>
          <w:t>Fernando.elvira@bbva.com</w:t>
        </w:r>
      </w:hyperlink>
      <w:r>
        <w:rPr>
          <w:rFonts w:eastAsia="Times New Roman"/>
        </w:rPr>
        <w:t xml:space="preserve"> y </w:t>
      </w:r>
      <w:hyperlink r:id="rId12" w:history="1">
        <w:r>
          <w:rPr>
            <w:rStyle w:val="Hipervnculo"/>
            <w:rFonts w:eastAsia="Times New Roman"/>
          </w:rPr>
          <w:t>Alvaro.Berrocal@bbva.com</w:t>
        </w:r>
      </w:hyperlink>
    </w:p>
    <w:p w14:paraId="21A37B73" w14:textId="77777777" w:rsidR="00FC6D86" w:rsidRDefault="00371CAA">
      <w:pPr>
        <w:pStyle w:val="Ttulo1"/>
        <w:numPr>
          <w:ilvl w:val="0"/>
          <w:numId w:val="1"/>
        </w:numPr>
        <w:pBdr>
          <w:top w:val="nil"/>
          <w:left w:val="nil"/>
          <w:bottom w:val="nil"/>
          <w:right w:val="nil"/>
          <w:between w:val="nil"/>
        </w:pBdr>
        <w:spacing w:line="240" w:lineRule="auto"/>
        <w:jc w:val="both"/>
      </w:pPr>
      <w:bookmarkStart w:id="8" w:name="_p753e5xedl98" w:colFirst="0" w:colLast="0"/>
      <w:bookmarkEnd w:id="8"/>
      <w:r>
        <w:rPr>
          <w:rFonts w:ascii="Lato" w:eastAsia="Lato" w:hAnsi="Lato" w:cs="Lato"/>
          <w:color w:val="02A5A5"/>
          <w:sz w:val="32"/>
          <w:szCs w:val="32"/>
        </w:rPr>
        <w:t>Controles</w:t>
      </w:r>
      <w:r>
        <w:rPr>
          <w:rFonts w:ascii="Lato Light" w:eastAsia="Lato Light" w:hAnsi="Lato Light" w:cs="Lato Light"/>
          <w:color w:val="FF0000"/>
          <w:sz w:val="24"/>
          <w:szCs w:val="24"/>
        </w:rPr>
        <w:t xml:space="preserve"> </w:t>
      </w:r>
    </w:p>
    <w:p w14:paraId="17C3B735" w14:textId="77777777" w:rsidR="00FC6D86" w:rsidRDefault="00371CAA">
      <w:pPr>
        <w:pBdr>
          <w:top w:val="nil"/>
          <w:left w:val="nil"/>
          <w:bottom w:val="nil"/>
          <w:right w:val="nil"/>
          <w:between w:val="nil"/>
        </w:pBdr>
        <w:spacing w:before="200" w:after="200"/>
        <w:ind w:right="-480"/>
        <w:jc w:val="both"/>
        <w:rPr>
          <w:rFonts w:ascii="Lato Light" w:eastAsia="Lato Light" w:hAnsi="Lato Light" w:cs="Lato Light"/>
          <w:color w:val="121212"/>
          <w:sz w:val="24"/>
          <w:szCs w:val="24"/>
        </w:rPr>
      </w:pPr>
      <w:r>
        <w:rPr>
          <w:rFonts w:ascii="Lato Light" w:eastAsia="Lato Light" w:hAnsi="Lato Light" w:cs="Lato Light"/>
          <w:color w:val="121212"/>
          <w:sz w:val="24"/>
          <w:szCs w:val="24"/>
        </w:rPr>
        <w:t xml:space="preserve">El modelo de control definido para la externalización de las funciones del </w:t>
      </w:r>
      <w:proofErr w:type="spellStart"/>
      <w:r>
        <w:rPr>
          <w:rFonts w:ascii="Lato Light" w:eastAsia="Lato Light" w:hAnsi="Lato Light" w:cs="Lato Light"/>
          <w:color w:val="121212"/>
          <w:sz w:val="24"/>
          <w:szCs w:val="24"/>
        </w:rPr>
        <w:t>servicer</w:t>
      </w:r>
      <w:proofErr w:type="spellEnd"/>
      <w:r>
        <w:rPr>
          <w:rFonts w:ascii="Lato Light" w:eastAsia="Lato Light" w:hAnsi="Lato Light" w:cs="Lato Light"/>
          <w:color w:val="121212"/>
          <w:sz w:val="24"/>
          <w:szCs w:val="24"/>
        </w:rPr>
        <w:t xml:space="preserve"> se aprobó por todos los especialistas en el CCARO con fecha 12 julio de 2019. Actualmente, este modelo de control está en proceso de reevaluación por parte del CARO de España. </w:t>
      </w:r>
    </w:p>
    <w:p w14:paraId="4A582A38" w14:textId="77777777" w:rsidR="00FC6D86" w:rsidRDefault="00371CAA">
      <w:pPr>
        <w:pBdr>
          <w:top w:val="nil"/>
          <w:left w:val="nil"/>
          <w:bottom w:val="nil"/>
          <w:right w:val="nil"/>
          <w:between w:val="nil"/>
        </w:pBdr>
        <w:spacing w:before="200" w:after="200"/>
        <w:ind w:right="-480"/>
        <w:jc w:val="both"/>
        <w:rPr>
          <w:rFonts w:ascii="Lato Light" w:eastAsia="Lato Light" w:hAnsi="Lato Light" w:cs="Lato Light"/>
          <w:color w:val="0000FF"/>
          <w:sz w:val="24"/>
          <w:szCs w:val="24"/>
        </w:rPr>
      </w:pPr>
      <w:r>
        <w:rPr>
          <w:rFonts w:ascii="Lato Light" w:eastAsia="Lato Light" w:hAnsi="Lato Light" w:cs="Lato Light"/>
          <w:color w:val="121212"/>
          <w:sz w:val="24"/>
          <w:szCs w:val="24"/>
        </w:rPr>
        <w:t xml:space="preserve">Así mismo, EGI compartirá el modelo de control con VRM y RNF para que evalúen la necesidad o no de implementar nuevas medidas de control. </w:t>
      </w:r>
    </w:p>
    <w:p w14:paraId="33588880" w14:textId="77777777" w:rsidR="00FC6D86" w:rsidRDefault="00371CAA">
      <w:pPr>
        <w:pStyle w:val="Ttulo1"/>
        <w:numPr>
          <w:ilvl w:val="0"/>
          <w:numId w:val="1"/>
        </w:numPr>
        <w:pBdr>
          <w:top w:val="nil"/>
          <w:left w:val="nil"/>
          <w:bottom w:val="nil"/>
          <w:right w:val="nil"/>
          <w:between w:val="nil"/>
        </w:pBdr>
        <w:spacing w:line="240" w:lineRule="auto"/>
        <w:jc w:val="both"/>
      </w:pPr>
      <w:bookmarkStart w:id="9" w:name="_e0bibzukpqv5" w:colFirst="0" w:colLast="0"/>
      <w:bookmarkEnd w:id="9"/>
      <w:r>
        <w:rPr>
          <w:rFonts w:ascii="Lato" w:eastAsia="Lato" w:hAnsi="Lato" w:cs="Lato"/>
          <w:color w:val="02A5A5"/>
          <w:sz w:val="32"/>
          <w:szCs w:val="32"/>
        </w:rPr>
        <w:t>Documentación relacionada</w:t>
      </w:r>
    </w:p>
    <w:p w14:paraId="66796E64" w14:textId="77777777" w:rsidR="00FC6D86" w:rsidRDefault="00FC6D86">
      <w:pPr>
        <w:keepNext/>
        <w:keepLines/>
        <w:spacing w:line="240" w:lineRule="auto"/>
        <w:jc w:val="both"/>
        <w:rPr>
          <w:rFonts w:ascii="Lato Light" w:eastAsia="Lato Light" w:hAnsi="Lato Light" w:cs="Lato Light"/>
          <w:color w:val="121212"/>
          <w:sz w:val="24"/>
          <w:szCs w:val="24"/>
        </w:rPr>
      </w:pPr>
    </w:p>
    <w:p w14:paraId="5B8CCEA3" w14:textId="77777777" w:rsidR="00FC6D86" w:rsidRDefault="00371CAA">
      <w:pPr>
        <w:keepNext/>
        <w:keepLines/>
        <w:spacing w:line="240" w:lineRule="auto"/>
        <w:jc w:val="both"/>
        <w:rPr>
          <w:rFonts w:ascii="Lato Light" w:eastAsia="Lato Light" w:hAnsi="Lato Light" w:cs="Lato Light"/>
          <w:color w:val="FF0000"/>
          <w:sz w:val="24"/>
          <w:szCs w:val="24"/>
        </w:rPr>
      </w:pPr>
      <w:r>
        <w:rPr>
          <w:rFonts w:ascii="Lato Light" w:eastAsia="Lato Light" w:hAnsi="Lato Light" w:cs="Lato Light"/>
          <w:color w:val="121212"/>
          <w:sz w:val="24"/>
          <w:szCs w:val="24"/>
        </w:rPr>
        <w:t xml:space="preserve">NCFINA0007_20 Norma de adquisición de bienes y contratación de servicios </w:t>
      </w:r>
    </w:p>
    <w:p w14:paraId="43E03B06" w14:textId="77777777" w:rsidR="00FC6D86" w:rsidRDefault="00FC6D86">
      <w:pPr>
        <w:jc w:val="both"/>
        <w:rPr>
          <w:rFonts w:ascii="Lato" w:eastAsia="Lato" w:hAnsi="Lato" w:cs="Lato"/>
          <w:sz w:val="24"/>
          <w:szCs w:val="24"/>
        </w:rPr>
      </w:pPr>
    </w:p>
    <w:p w14:paraId="0C454008" w14:textId="77777777" w:rsidR="00FC6D86" w:rsidRDefault="00FC6D86">
      <w:pPr>
        <w:pBdr>
          <w:top w:val="nil"/>
          <w:left w:val="nil"/>
          <w:bottom w:val="nil"/>
          <w:right w:val="nil"/>
          <w:between w:val="nil"/>
        </w:pBdr>
        <w:jc w:val="both"/>
        <w:rPr>
          <w:rFonts w:ascii="Lato" w:eastAsia="Lato" w:hAnsi="Lato" w:cs="Lato"/>
          <w:sz w:val="24"/>
          <w:szCs w:val="24"/>
        </w:rPr>
      </w:pPr>
    </w:p>
    <w:sectPr w:rsidR="00FC6D86">
      <w:headerReference w:type="default" r:id="rId13"/>
      <w:footerReference w:type="default" r:id="rId14"/>
      <w:headerReference w:type="first" r:id="rId15"/>
      <w:footerReference w:type="first" r:id="rId16"/>
      <w:pgSz w:w="11909" w:h="16834"/>
      <w:pgMar w:top="1440" w:right="1440" w:bottom="144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39363" w14:textId="77777777" w:rsidR="00400C71" w:rsidRDefault="00371CAA">
      <w:pPr>
        <w:spacing w:line="240" w:lineRule="auto"/>
      </w:pPr>
      <w:r>
        <w:separator/>
      </w:r>
    </w:p>
  </w:endnote>
  <w:endnote w:type="continuationSeparator" w:id="0">
    <w:p w14:paraId="442D04AE" w14:textId="77777777" w:rsidR="00400C71" w:rsidRDefault="00371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Segoe UI"/>
    <w:charset w:val="00"/>
    <w:family w:val="auto"/>
    <w:pitch w:val="default"/>
  </w:font>
  <w:font w:name="BBVA Office Light">
    <w:altName w:val="Calibri"/>
    <w:charset w:val="00"/>
    <w:family w:val="auto"/>
    <w:pitch w:val="default"/>
  </w:font>
  <w:font w:name="BBVA Office Boo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DD002" w14:textId="77777777" w:rsidR="00FC6D86" w:rsidRDefault="00FC6D86">
    <w:pPr>
      <w:tabs>
        <w:tab w:val="center" w:pos="4252"/>
        <w:tab w:val="right" w:pos="8504"/>
      </w:tabs>
      <w:spacing w:line="240" w:lineRule="auto"/>
      <w:jc w:val="center"/>
      <w:rPr>
        <w:rFonts w:ascii="BBVA Office Book" w:eastAsia="BBVA Office Book" w:hAnsi="BBVA Office Book" w:cs="BBVA Office Book"/>
        <w:color w:val="333333"/>
        <w:sz w:val="20"/>
        <w:szCs w:val="20"/>
      </w:rPr>
    </w:pPr>
  </w:p>
  <w:p w14:paraId="4BB1A974" w14:textId="77777777" w:rsidR="00FC6D86" w:rsidRDefault="00475699">
    <w:pPr>
      <w:tabs>
        <w:tab w:val="center" w:pos="4252"/>
        <w:tab w:val="right" w:pos="8504"/>
      </w:tabs>
      <w:spacing w:line="240" w:lineRule="auto"/>
      <w:jc w:val="center"/>
      <w:rPr>
        <w:rFonts w:ascii="BBVA Office Book" w:eastAsia="BBVA Office Book" w:hAnsi="BBVA Office Book" w:cs="BBVA Office Book"/>
        <w:color w:val="333333"/>
        <w:sz w:val="20"/>
        <w:szCs w:val="20"/>
      </w:rPr>
    </w:pPr>
    <w:r>
      <w:pict w14:anchorId="71663E40">
        <v:rect id="_x0000_i1025" style="width:0;height:1.5pt" o:hralign="center" o:hrstd="t" o:hr="t" fillcolor="#a0a0a0" stroked="f"/>
      </w:pict>
    </w:r>
  </w:p>
  <w:p w14:paraId="79BEA0FA" w14:textId="77777777" w:rsidR="00FC6D86" w:rsidRDefault="00371CAA">
    <w:pPr>
      <w:tabs>
        <w:tab w:val="center" w:pos="4252"/>
        <w:tab w:val="right" w:pos="8504"/>
      </w:tabs>
      <w:spacing w:line="240" w:lineRule="auto"/>
      <w:jc w:val="right"/>
      <w:rPr>
        <w:rFonts w:ascii="BBVA Office Book" w:eastAsia="BBVA Office Book" w:hAnsi="BBVA Office Book" w:cs="BBVA Office Book"/>
        <w:color w:val="333333"/>
        <w:sz w:val="18"/>
        <w:szCs w:val="18"/>
      </w:rPr>
    </w:pPr>
    <w:r>
      <w:rPr>
        <w:rFonts w:ascii="BBVA Office Book" w:eastAsia="BBVA Office Book" w:hAnsi="BBVA Office Book" w:cs="BBVA Office Book"/>
        <w:color w:val="333333"/>
        <w:sz w:val="18"/>
        <w:szCs w:val="18"/>
      </w:rPr>
      <w:fldChar w:fldCharType="begin"/>
    </w:r>
    <w:r>
      <w:rPr>
        <w:rFonts w:ascii="BBVA Office Book" w:eastAsia="BBVA Office Book" w:hAnsi="BBVA Office Book" w:cs="BBVA Office Book"/>
        <w:color w:val="333333"/>
        <w:sz w:val="18"/>
        <w:szCs w:val="18"/>
      </w:rPr>
      <w:instrText>PAGE</w:instrText>
    </w:r>
    <w:r>
      <w:rPr>
        <w:rFonts w:ascii="BBVA Office Book" w:eastAsia="BBVA Office Book" w:hAnsi="BBVA Office Book" w:cs="BBVA Office Book"/>
        <w:color w:val="333333"/>
        <w:sz w:val="18"/>
        <w:szCs w:val="18"/>
      </w:rPr>
      <w:fldChar w:fldCharType="separate"/>
    </w:r>
    <w:r>
      <w:rPr>
        <w:rFonts w:ascii="BBVA Office Book" w:eastAsia="BBVA Office Book" w:hAnsi="BBVA Office Book" w:cs="BBVA Office Book"/>
        <w:noProof/>
        <w:color w:val="333333"/>
        <w:sz w:val="18"/>
        <w:szCs w:val="18"/>
      </w:rPr>
      <w:t>1</w:t>
    </w:r>
    <w:r>
      <w:rPr>
        <w:rFonts w:ascii="BBVA Office Book" w:eastAsia="BBVA Office Book" w:hAnsi="BBVA Office Book" w:cs="BBVA Office Book"/>
        <w:color w:val="333333"/>
        <w:sz w:val="18"/>
        <w:szCs w:val="18"/>
      </w:rPr>
      <w:fldChar w:fldCharType="end"/>
    </w:r>
  </w:p>
  <w:p w14:paraId="21328EDC" w14:textId="77777777" w:rsidR="00FC6D86" w:rsidRDefault="00371CAA">
    <w:pPr>
      <w:tabs>
        <w:tab w:val="center" w:pos="4252"/>
        <w:tab w:val="right" w:pos="8504"/>
      </w:tabs>
      <w:spacing w:line="240" w:lineRule="auto"/>
      <w:jc w:val="center"/>
    </w:pPr>
    <w:r>
      <w:rPr>
        <w:rFonts w:ascii="BBVA Office Book" w:eastAsia="BBVA Office Book" w:hAnsi="BBVA Office Book" w:cs="BBVA Office Book"/>
        <w:color w:val="333333"/>
        <w:sz w:val="20"/>
        <w:szCs w:val="20"/>
      </w:rPr>
      <w:t>© BBVA, S.A. - 2020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F1C8" w14:textId="77777777" w:rsidR="00FC6D86" w:rsidRDefault="00371CAA">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62721" w14:textId="77777777" w:rsidR="00400C71" w:rsidRDefault="00371CAA">
      <w:pPr>
        <w:spacing w:line="240" w:lineRule="auto"/>
      </w:pPr>
      <w:r>
        <w:separator/>
      </w:r>
    </w:p>
  </w:footnote>
  <w:footnote w:type="continuationSeparator" w:id="0">
    <w:p w14:paraId="0A0D2CBB" w14:textId="77777777" w:rsidR="00400C71" w:rsidRDefault="00371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8937" w14:textId="77777777" w:rsidR="00FC6D86" w:rsidRDefault="00371CAA">
    <w:r>
      <w:rPr>
        <w:noProof/>
      </w:rPr>
      <w:drawing>
        <wp:anchor distT="0" distB="0" distL="0" distR="0" simplePos="0" relativeHeight="251658240" behindDoc="0" locked="0" layoutInCell="1" hidden="0" allowOverlap="1" wp14:anchorId="292E4A97" wp14:editId="6FF05127">
          <wp:simplePos x="0" y="0"/>
          <wp:positionH relativeFrom="column">
            <wp:posOffset>0</wp:posOffset>
          </wp:positionH>
          <wp:positionV relativeFrom="paragraph">
            <wp:posOffset>0</wp:posOffset>
          </wp:positionV>
          <wp:extent cx="1823031" cy="468000"/>
          <wp:effectExtent l="0" t="0" r="0" b="0"/>
          <wp:wrapSquare wrapText="bothSides" distT="0" distB="0" distL="0" distR="0"/>
          <wp:docPr id="1" name="image1.png" descr="C:\Users\e049688\Desktop\__NEW BEGINING\02_LOGOS\BBVA CON TAGLINE\BBVA TAGLINE ESPANOL\RGB\BBVA_TAGLINE_ESP_RGB_LEFT.png"/>
          <wp:cNvGraphicFramePr/>
          <a:graphic xmlns:a="http://schemas.openxmlformats.org/drawingml/2006/main">
            <a:graphicData uri="http://schemas.openxmlformats.org/drawingml/2006/picture">
              <pic:pic xmlns:pic="http://schemas.openxmlformats.org/drawingml/2006/picture">
                <pic:nvPicPr>
                  <pic:cNvPr id="0" name="image1.png" descr="C:\Users\e049688\Desktop\__NEW BEGINING\02_LOGOS\BBVA CON TAGLINE\BBVA TAGLINE ESPANOL\RGB\BBVA_TAGLINE_ESP_RGB_LEFT.png"/>
                  <pic:cNvPicPr preferRelativeResize="0"/>
                </pic:nvPicPr>
                <pic:blipFill>
                  <a:blip r:embed="rId1"/>
                  <a:srcRect/>
                  <a:stretch>
                    <a:fillRect/>
                  </a:stretch>
                </pic:blipFill>
                <pic:spPr>
                  <a:xfrm>
                    <a:off x="0" y="0"/>
                    <a:ext cx="1823031" cy="468000"/>
                  </a:xfrm>
                  <a:prstGeom prst="rect">
                    <a:avLst/>
                  </a:prstGeom>
                  <a:ln/>
                </pic:spPr>
              </pic:pic>
            </a:graphicData>
          </a:graphic>
        </wp:anchor>
      </w:drawing>
    </w:r>
  </w:p>
  <w:p w14:paraId="5B8AB2A2" w14:textId="77777777" w:rsidR="00FC6D86" w:rsidRDefault="00FC6D86"/>
  <w:p w14:paraId="72F3DEC5" w14:textId="77777777" w:rsidR="00FC6D86" w:rsidRDefault="00FC6D86"/>
  <w:p w14:paraId="10B622C8" w14:textId="77777777" w:rsidR="00FC6D86" w:rsidRDefault="00371CAA">
    <w:pPr>
      <w:pStyle w:val="Ttulo1"/>
      <w:keepNext w:val="0"/>
      <w:keepLines w:val="0"/>
      <w:pBdr>
        <w:top w:val="nil"/>
        <w:left w:val="nil"/>
        <w:bottom w:val="nil"/>
        <w:right w:val="nil"/>
        <w:between w:val="nil"/>
      </w:pBdr>
      <w:spacing w:before="0" w:after="0" w:line="264" w:lineRule="auto"/>
      <w:ind w:right="-607"/>
      <w:jc w:val="right"/>
      <w:rPr>
        <w:sz w:val="36"/>
        <w:szCs w:val="36"/>
      </w:rPr>
    </w:pPr>
    <w:bookmarkStart w:id="10" w:name="_1ierdi2w8vsa" w:colFirst="0" w:colLast="0"/>
    <w:bookmarkEnd w:id="10"/>
    <w:r>
      <w:tab/>
    </w:r>
    <w:r>
      <w:rPr>
        <w:sz w:val="36"/>
        <w:szCs w:val="36"/>
      </w:rPr>
      <w:t>Procedimiento interno</w:t>
    </w:r>
  </w:p>
  <w:p w14:paraId="366105D5" w14:textId="77777777" w:rsidR="00FC6D86" w:rsidRDefault="00FC6D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1383F" w14:textId="77777777" w:rsidR="00FC6D86" w:rsidRDefault="00FC6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816A4"/>
    <w:multiLevelType w:val="multilevel"/>
    <w:tmpl w:val="B07E5182"/>
    <w:lvl w:ilvl="0">
      <w:start w:val="1"/>
      <w:numFmt w:val="decimal"/>
      <w:lvlText w:val="%1."/>
      <w:lvlJc w:val="left"/>
      <w:pPr>
        <w:ind w:left="720" w:hanging="360"/>
      </w:pPr>
      <w:rPr>
        <w:rFonts w:ascii="Lato" w:eastAsia="Lato" w:hAnsi="Lato" w:cs="Lato"/>
        <w:b w:val="0"/>
        <w:color w:val="02A5A5"/>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76ECD"/>
    <w:multiLevelType w:val="multilevel"/>
    <w:tmpl w:val="2B6AF456"/>
    <w:lvl w:ilvl="0">
      <w:start w:val="1"/>
      <w:numFmt w:val="bullet"/>
      <w:lvlText w:val=""/>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010E5"/>
    <w:multiLevelType w:val="hybridMultilevel"/>
    <w:tmpl w:val="8DEAF0B8"/>
    <w:lvl w:ilvl="0" w:tplc="A4CA4904">
      <w:start w:val="9"/>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53E3A79"/>
    <w:multiLevelType w:val="multilevel"/>
    <w:tmpl w:val="E80E1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0E2C2C"/>
    <w:multiLevelType w:val="multilevel"/>
    <w:tmpl w:val="AD368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154E6C"/>
    <w:multiLevelType w:val="multilevel"/>
    <w:tmpl w:val="B1382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C36A8A"/>
    <w:multiLevelType w:val="multilevel"/>
    <w:tmpl w:val="F3F45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D86"/>
    <w:rsid w:val="00371CAA"/>
    <w:rsid w:val="00400C71"/>
    <w:rsid w:val="00475699"/>
    <w:rsid w:val="00535F4A"/>
    <w:rsid w:val="005D020E"/>
    <w:rsid w:val="00D134C1"/>
    <w:rsid w:val="00DE32FE"/>
    <w:rsid w:val="00FC6D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7DBEE"/>
  <w15:docId w15:val="{9B7493BD-F98E-46D7-BE35-1CC77E40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28" w:type="dxa"/>
        <w:right w:w="28" w:type="dxa"/>
      </w:tblCellMar>
    </w:tblPr>
  </w:style>
  <w:style w:type="character" w:styleId="Hipervnculo">
    <w:name w:val="Hyperlink"/>
    <w:basedOn w:val="Fuentedeprrafopredeter"/>
    <w:uiPriority w:val="99"/>
    <w:unhideWhenUsed/>
    <w:rsid w:val="00371CAA"/>
    <w:rPr>
      <w:color w:val="0000FF"/>
      <w:u w:val="single"/>
    </w:rPr>
  </w:style>
  <w:style w:type="paragraph" w:customStyle="1" w:styleId="gmail-m-8314050409108305413msolistparagraph">
    <w:name w:val="gmail-m_-8314050409108305413msolistparagraph"/>
    <w:basedOn w:val="Normal"/>
    <w:rsid w:val="00371CAA"/>
    <w:pPr>
      <w:spacing w:before="100" w:beforeAutospacing="1" w:after="100" w:afterAutospacing="1" w:line="240" w:lineRule="auto"/>
    </w:pPr>
    <w:rPr>
      <w:rFonts w:ascii="Calibri" w:eastAsiaTheme="minorHAnsi" w:hAnsi="Calibri" w:cs="Calibri"/>
      <w:lang w:val="es-ES"/>
    </w:rPr>
  </w:style>
  <w:style w:type="character" w:styleId="Mencinsinresolver">
    <w:name w:val="Unresolved Mention"/>
    <w:basedOn w:val="Fuentedeprrafopredeter"/>
    <w:uiPriority w:val="99"/>
    <w:semiHidden/>
    <w:unhideWhenUsed/>
    <w:rsid w:val="005D020E"/>
    <w:rPr>
      <w:color w:val="605E5C"/>
      <w:shd w:val="clear" w:color="auto" w:fill="E1DFDD"/>
    </w:rPr>
  </w:style>
  <w:style w:type="character" w:styleId="Mencionar">
    <w:name w:val="Mention"/>
    <w:basedOn w:val="Fuentedeprrafopredeter"/>
    <w:uiPriority w:val="99"/>
    <w:unhideWhenUsed/>
    <w:rsid w:val="005D020E"/>
    <w:rPr>
      <w:color w:val="2B579A"/>
      <w:shd w:val="clear" w:color="auto" w:fill="E1DFDD"/>
    </w:rPr>
  </w:style>
  <w:style w:type="paragraph" w:styleId="Prrafodelista">
    <w:name w:val="List Paragraph"/>
    <w:basedOn w:val="Normal"/>
    <w:uiPriority w:val="34"/>
    <w:qFormat/>
    <w:rsid w:val="0047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457619">
      <w:bodyDiv w:val="1"/>
      <w:marLeft w:val="0"/>
      <w:marRight w:val="0"/>
      <w:marTop w:val="0"/>
      <w:marBottom w:val="0"/>
      <w:divBdr>
        <w:top w:val="none" w:sz="0" w:space="0" w:color="auto"/>
        <w:left w:val="none" w:sz="0" w:space="0" w:color="auto"/>
        <w:bottom w:val="none" w:sz="0" w:space="0" w:color="auto"/>
        <w:right w:val="none" w:sz="0" w:space="0" w:color="auto"/>
      </w:divBdr>
    </w:div>
    <w:div w:id="1695157449">
      <w:bodyDiv w:val="1"/>
      <w:marLeft w:val="0"/>
      <w:marRight w:val="0"/>
      <w:marTop w:val="0"/>
      <w:marBottom w:val="0"/>
      <w:divBdr>
        <w:top w:val="none" w:sz="0" w:space="0" w:color="auto"/>
        <w:left w:val="none" w:sz="0" w:space="0" w:color="auto"/>
        <w:bottom w:val="none" w:sz="0" w:space="0" w:color="auto"/>
        <w:right w:val="none" w:sz="0" w:space="0" w:color="auto"/>
      </w:divBdr>
    </w:div>
    <w:div w:id="195463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bva.contencioso.ssjj@haya.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bva.saneamiento.ssjj@haya.es" TargetMode="External"/><Relationship Id="rId12" Type="http://schemas.openxmlformats.org/officeDocument/2006/relationships/hyperlink" Target="mailto:Alvaro.Berrocal@bbv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ernando.elvira@bbva.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egi.gestionactivos@bbva.com" TargetMode="External"/><Relationship Id="rId4" Type="http://schemas.openxmlformats.org/officeDocument/2006/relationships/webSettings" Target="webSettings.xml"/><Relationship Id="rId9" Type="http://schemas.openxmlformats.org/officeDocument/2006/relationships/hyperlink" Target="mailto:vhernandezi@haya.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Peñalba Falkenthal</dc:creator>
  <cp:lastModifiedBy>Natalia Peñalba Falkenthal</cp:lastModifiedBy>
  <cp:revision>6</cp:revision>
  <dcterms:created xsi:type="dcterms:W3CDTF">2020-11-20T14:02:00Z</dcterms:created>
  <dcterms:modified xsi:type="dcterms:W3CDTF">2020-11-27T10:03:00Z</dcterms:modified>
</cp:coreProperties>
</file>