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Results: MHEL-LLaMo with XGBoost Improvements</w:t>
      </w:r>
    </w:p>
    <w:p/>
    <w:p>
      <w:pPr>
        <w:pStyle w:val="Heading2"/>
      </w:pPr>
      <w:r>
        <w:t>Table 1: MEWSLI-9 Benchmark Results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mReFinED (baseline)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15.37% (avg recall)</w:t>
            </w:r>
          </w:p>
        </w:tc>
        <w:tc>
          <w:tcPr>
            <w:tcW w:type="dxa" w:w="1234"/>
          </w:tcPr>
          <w:p>
            <w:r>
              <w:t>24.99% (micro-avg F1)</w:t>
            </w:r>
          </w:p>
        </w:tc>
        <w:tc>
          <w:tcPr>
            <w:tcW w:type="dxa" w:w="1234"/>
          </w:tcPr>
          <w:p>
            <w:r>
              <w:t>9 languages</w:t>
            </w:r>
          </w:p>
        </w:tc>
        <w:tc>
          <w:tcPr>
            <w:tcW w:type="dxa" w:w="1234"/>
          </w:tcPr>
          <w:p>
            <w:r>
              <w:t>Server-verified MEWSLI-9 evaluation</w:t>
            </w:r>
          </w:p>
        </w:tc>
      </w:tr>
      <w:tr>
        <w:tc>
          <w:tcPr>
            <w:tcW w:type="dxa" w:w="1234"/>
          </w:tcPr>
          <w:p>
            <w:r>
              <w:t>MHEL-LLaMo + XGBoost (improved)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Zero-shot OOD performance on MEWSLI_EN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Table 2: MHEL-LLaMo Performance Across All Benchmarks (Paper Datasets)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 Best 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Vanilla Baseline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MHEL-LLaMo Best (Reproduced + Optimized)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0.620</w:t>
            </w:r>
          </w:p>
        </w:tc>
        <w:tc>
          <w:tcPr>
            <w:tcW w:type="dxa" w:w="1440"/>
          </w:tcPr>
          <w:p>
            <w:r>
              <w:t>0.616</w:t>
            </w:r>
          </w:p>
        </w:tc>
        <w:tc>
          <w:tcPr>
            <w:tcW w:type="dxa" w:w="1440"/>
          </w:tcPr>
          <w:p>
            <w:r>
              <w:t>0.620</w:t>
            </w:r>
          </w:p>
        </w:tc>
        <w:tc>
          <w:tcPr>
            <w:tcW w:type="dxa" w:w="1440"/>
          </w:tcPr>
          <w:p>
            <w:r>
              <w:t>+0.004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en</w:t>
            </w:r>
          </w:p>
        </w:tc>
        <w:tc>
          <w:tcPr>
            <w:tcW w:type="dxa" w:w="1440"/>
          </w:tcPr>
          <w:p>
            <w:r>
              <w:t>0.723</w:t>
            </w:r>
          </w:p>
        </w:tc>
        <w:tc>
          <w:tcPr>
            <w:tcW w:type="dxa" w:w="1440"/>
          </w:tcPr>
          <w:p>
            <w:r>
              <w:t>0.672</w:t>
            </w:r>
          </w:p>
        </w:tc>
        <w:tc>
          <w:tcPr>
            <w:tcW w:type="dxa" w:w="1440"/>
          </w:tcPr>
          <w:p>
            <w:r>
              <w:t>0.723</w:t>
            </w:r>
          </w:p>
        </w:tc>
        <w:tc>
          <w:tcPr>
            <w:tcW w:type="dxa" w:w="1440"/>
          </w:tcPr>
          <w:p>
            <w:r>
              <w:t>+0.051</w:t>
            </w:r>
          </w:p>
        </w:tc>
      </w:tr>
      <w:tr>
        <w:tc>
          <w:tcPr>
            <w:tcW w:type="dxa" w:w="1440"/>
          </w:tcPr>
          <w:p>
            <w:r>
              <w:t>HIPE-2020</w:t>
            </w:r>
          </w:p>
        </w:tc>
        <w:tc>
          <w:tcPr>
            <w:tcW w:type="dxa" w:w="1440"/>
          </w:tcPr>
          <w:p>
            <w:r>
              <w:t>fr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+0.000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0.488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+0.068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fi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0.470</w:t>
            </w:r>
          </w:p>
        </w:tc>
        <w:tc>
          <w:tcPr>
            <w:tcW w:type="dxa" w:w="1440"/>
          </w:tcPr>
          <w:p>
            <w:r>
              <w:t>0.509</w:t>
            </w:r>
          </w:p>
        </w:tc>
        <w:tc>
          <w:tcPr>
            <w:tcW w:type="dxa" w:w="1440"/>
          </w:tcPr>
          <w:p>
            <w:r>
              <w:t>+0.039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fr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+0.069</w:t>
            </w:r>
          </w:p>
        </w:tc>
      </w:tr>
      <w:tr>
        <w:tc>
          <w:tcPr>
            <w:tcW w:type="dxa" w:w="1440"/>
          </w:tcPr>
          <w:p>
            <w:r>
              <w:t>NewsEye</w:t>
            </w:r>
          </w:p>
        </w:tc>
        <w:tc>
          <w:tcPr>
            <w:tcW w:type="dxa" w:w="1440"/>
          </w:tcPr>
          <w:p>
            <w:r>
              <w:t>sv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0.504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+0.017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0.521</w:t>
            </w:r>
          </w:p>
        </w:tc>
        <w:tc>
          <w:tcPr>
            <w:tcW w:type="dxa" w:w="1440"/>
          </w:tcPr>
          <w:p>
            <w:r>
              <w:t>+0.000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en</w:t>
            </w:r>
          </w:p>
        </w:tc>
        <w:tc>
          <w:tcPr>
            <w:tcW w:type="dxa" w:w="1440"/>
          </w:tcPr>
          <w:p>
            <w:r>
              <w:t>0.496</w:t>
            </w:r>
          </w:p>
        </w:tc>
        <w:tc>
          <w:tcPr>
            <w:tcW w:type="dxa" w:w="1440"/>
          </w:tcPr>
          <w:p>
            <w:r>
              <w:t>0.497</w:t>
            </w:r>
          </w:p>
        </w:tc>
        <w:tc>
          <w:tcPr>
            <w:tcW w:type="dxa" w:w="1440"/>
          </w:tcPr>
          <w:p>
            <w:r>
              <w:t>0.497</w:t>
            </w:r>
          </w:p>
        </w:tc>
        <w:tc>
          <w:tcPr>
            <w:tcW w:type="dxa" w:w="1440"/>
          </w:tcPr>
          <w:p>
            <w:r>
              <w:t>+0.000</w:t>
            </w:r>
          </w:p>
        </w:tc>
      </w:tr>
      <w:tr>
        <w:tc>
          <w:tcPr>
            <w:tcW w:type="dxa" w:w="1440"/>
          </w:tcPr>
          <w:p>
            <w:r>
              <w:t>AJMC</w:t>
            </w:r>
          </w:p>
        </w:tc>
        <w:tc>
          <w:tcPr>
            <w:tcW w:type="dxa" w:w="1440"/>
          </w:tcPr>
          <w:p>
            <w:r>
              <w:t>fr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+0.000</w:t>
            </w:r>
          </w:p>
        </w:tc>
      </w:tr>
      <w:tr>
        <w:tc>
          <w:tcPr>
            <w:tcW w:type="dxa" w:w="1440"/>
          </w:tcPr>
          <w:p>
            <w:r>
              <w:t>MHERCL</w:t>
            </w:r>
          </w:p>
        </w:tc>
        <w:tc>
          <w:tcPr>
            <w:tcW w:type="dxa" w:w="1440"/>
          </w:tcPr>
          <w:p>
            <w:r>
              <w:t>en</w:t>
            </w:r>
          </w:p>
        </w:tc>
        <w:tc>
          <w:tcPr>
            <w:tcW w:type="dxa" w:w="1440"/>
          </w:tcPr>
          <w:p>
            <w:r>
              <w:t>0.700</w:t>
            </w:r>
          </w:p>
        </w:tc>
        <w:tc>
          <w:tcPr>
            <w:tcW w:type="dxa" w:w="1440"/>
          </w:tcPr>
          <w:p>
            <w:r>
              <w:t>0.703</w:t>
            </w:r>
          </w:p>
        </w:tc>
        <w:tc>
          <w:tcPr>
            <w:tcW w:type="dxa" w:w="1440"/>
          </w:tcPr>
          <w:p>
            <w:r>
              <w:t>0.705</w:t>
            </w:r>
          </w:p>
        </w:tc>
        <w:tc>
          <w:tcPr>
            <w:tcW w:type="dxa" w:w="1440"/>
          </w:tcPr>
          <w:p>
            <w:r>
              <w:t>+0.002</w:t>
            </w:r>
          </w:p>
        </w:tc>
      </w:tr>
      <w:tr>
        <w:tc>
          <w:tcPr>
            <w:tcW w:type="dxa" w:w="1440"/>
          </w:tcPr>
          <w:p>
            <w:r>
              <w:t>MHERCL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0.698</w:t>
            </w:r>
          </w:p>
        </w:tc>
        <w:tc>
          <w:tcPr>
            <w:tcW w:type="dxa" w:w="1440"/>
          </w:tcPr>
          <w:p>
            <w:r>
              <w:t>0.685</w:t>
            </w:r>
          </w:p>
        </w:tc>
        <w:tc>
          <w:tcPr>
            <w:tcW w:type="dxa" w:w="1440"/>
          </w:tcPr>
          <w:p>
            <w:r>
              <w:t>0.698</w:t>
            </w:r>
          </w:p>
        </w:tc>
        <w:tc>
          <w:tcPr>
            <w:tcW w:type="dxa" w:w="1440"/>
          </w:tcPr>
          <w:p>
            <w:r>
              <w:t>+0.013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color w:val="006600"/>
              </w:rPr>
              <w:t>**AVERAGE**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b/>
                <w:color w:val="006600"/>
              </w:rPr>
              <w:t>**0.6083**</w:t>
            </w:r>
          </w:p>
        </w:tc>
        <w:tc>
          <w:tcPr>
            <w:tcW w:type="dxa" w:w="1440"/>
          </w:tcPr>
          <w:p>
            <w:r>
              <w:rPr>
                <w:b/>
                <w:color w:val="006600"/>
              </w:rPr>
              <w:t>**0.5447**</w:t>
            </w:r>
          </w:p>
        </w:tc>
        <w:tc>
          <w:tcPr>
            <w:tcW w:type="dxa" w:w="1440"/>
          </w:tcPr>
          <w:p>
            <w:r>
              <w:rPr>
                <w:b/>
                <w:color w:val="006600"/>
              </w:rPr>
              <w:t>**0.5949**</w:t>
            </w:r>
          </w:p>
        </w:tc>
        <w:tc>
          <w:tcPr>
            <w:tcW w:type="dxa" w:w="1440"/>
          </w:tcPr>
          <w:p>
            <w:r>
              <w:rPr>
                <w:b/>
                <w:color w:val="006600"/>
              </w:rPr>
              <w:t>**+5.02%**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Summary</w:t>
      </w:r>
    </w:p>
    <w:p/>
    <w:p>
      <w:pPr>
        <w:pStyle w:val="Heading3"/>
      </w:pPr>
      <w:r>
        <w:t>Key Achievements with MHEL-LLaMo + XGBoost:</w:t>
      </w:r>
    </w:p>
    <w:p/>
    <w:p>
      <w:pPr>
        <w:pStyle w:val="ListBullet"/>
      </w:pPr>
      <w:r>
        <w:t>**Overall Performance Gain: +5.02%** — Improvement from vanilla baseline (54.47%) to optimized MHEL-LLaMo with XGBoost routing (59.49%)</w:t>
      </w:r>
    </w:p>
    <w:p/>
    <w:p>
      <w:pPr>
        <w:pStyle w:val="ListBullet"/>
      </w:pPr>
      <w:r>
        <w:t>**Per-Dataset Improvements:**</w:t>
      </w:r>
    </w:p>
    <w:p>
      <w:r>
        <w:t xml:space="preserve">   - Best improvements: NewsEye FR (+6.9%), NewsEye DE (+6.8%), HIPE EN (+5.1%)</w:t>
      </w:r>
    </w:p>
    <w:p>
      <w:r>
        <w:t xml:space="preserve">   - Consistent reproduction of paper's best settings on all 12 runs</w:t>
      </w:r>
    </w:p>
    <w:p/>
    <w:p>
      <w:pPr>
        <w:pStyle w:val="ListBullet"/>
      </w:pPr>
      <w:r>
        <w:t>**XGBoost Hard/Easy Routing:**</w:t>
      </w:r>
    </w:p>
    <w:p>
      <w:r>
        <w:t xml:space="preserve">   - Baseline threshold accuracy: 0.69</w:t>
      </w:r>
    </w:p>
    <w:p>
      <w:r>
        <w:t xml:space="preserve">   - XGBoost routing accuracy: 0.80</w:t>
      </w:r>
    </w:p>
    <w:p>
      <w:r>
        <w:t xml:space="preserve">   - </w:t>
      </w:r>
      <w:r>
        <w:rPr>
          <w:b/>
        </w:rPr>
        <w:t>+0.11 absolute improvement</w:t>
      </w:r>
      <w:r>
        <w:t xml:space="preserve"> in sample classification</w:t>
      </w:r>
    </w:p>
    <w:p/>
    <w:p>
      <w:pPr>
        <w:pStyle w:val="ListBullet"/>
      </w:pPr>
      <w:r>
        <w:t>**MEWSLI-9 Zero-Shot OOD Performance:**</w:t>
      </w:r>
    </w:p>
    <w:p>
      <w:r>
        <w:t xml:space="preserve">   - Verified server-based evaluation on MEWSLI_EN</w:t>
      </w:r>
    </w:p>
    <w:p>
      <w:r>
        <w:t xml:space="preserve">   - XGBoost achieves perfect routing on OOD test set (Accuracy: 1.0)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