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80" w:before="0"/>
      </w:pPr>
      <w:r>
        <w:rPr>
          <w:rFonts w:ascii="Arial" w:cs="Arial" w:eastAsia="Arial" w:hAnsi="Arial"/>
          <w:b/>
          <w:bCs/>
          <w:color w:val="111827"/>
          <w:sz w:val="44"/>
          <w:szCs w:val="44"/>
        </w:rPr>
        <w:t xml:space="preserve">Big Tech Just Proved AI Infrastructure Spending Works — Then Raised the Bill Anyway</w:t>
      </w:r>
    </w:p>
    <w:p>
      <w:pPr>
        <w:spacing w:after="60" w:before="0"/>
      </w:pPr>
      <w:r>
        <w:rPr>
          <w:i/>
          <w:iCs/>
          <w:color w:val="6B7280"/>
          <w:sz w:val="18"/>
          <w:szCs w:val="18"/>
        </w:rPr>
        <w:t xml:space="preserve">Published: May 2, 2026  |  Category: AI Market Trends &amp; Business</w:t>
      </w:r>
    </w:p>
    <w:p>
      <w:pPr>
        <w:spacing w:after="160" w:before="0"/>
      </w:pPr>
      <w:r>
        <w:rPr>
          <w:color w:val="6B7280"/>
          <w:sz w:val="18"/>
          <w:szCs w:val="18"/>
        </w:rPr>
        <w:t xml:space="preserve">Reference: </w:t>
      </w:r>
      <w:hyperlink w:history="1" r:id="rIdjnotkv-1ljfsf3aikm_4x">
        <w:r>
          <w:rPr>
            <w:rStyle w:val="Hyperlink"/>
            <w:sz w:val="18"/>
            <w:szCs w:val="18"/>
          </w:rPr>
          <w:t xml:space="preserve">https://www.artificialintelligence-news.com/2026/04/30/big-tech-just-proved-ai-infrastructure-spending-works-then-it-raised-the-bill-anyway/</w:t>
        </w:r>
      </w:hyperlink>
    </w:p>
    <w:p>
      <w:pPr>
        <w:pBdr>
          <w:bottom w:val="single" w:color="BFDBFE" w:sz="4" w:space="6"/>
        </w:pBdr>
        <w:spacing w:after="160" w:before="160"/>
      </w:pPr>
    </w:p>
    <w:p>
      <w:pPr>
        <w:pStyle w:val="Heading2"/>
        <w:spacing w:after="120" w:before="280"/>
      </w:pPr>
      <w:r>
        <w:rPr>
          <w:rFonts w:ascii="Arial" w:cs="Arial" w:eastAsia="Arial" w:hAnsi="Arial"/>
          <w:b/>
          <w:bCs/>
          <w:color w:val="1E3A5F"/>
          <w:sz w:val="28"/>
          <w:szCs w:val="28"/>
        </w:rPr>
        <w:t xml:space="preserve">Overview</w:t>
      </w:r>
    </w:p>
    <w:p>
      <w:pPr>
        <w:spacing w:after="100" w:before="80" w:line="320"/>
      </w:pPr>
      <w:r>
        <w:rPr>
          <w:sz w:val="22"/>
          <w:szCs w:val="22"/>
        </w:rPr>
        <w:t xml:space="preserve">Q1 2026 earnings season settled one debate decisively: AI infrastructure investment is generating real, measurable returns. Microsoft, Alphabet, Meta, and Amazon each reported results that exceeded analyst expectations, driven directly by AI-related products and services.</w:t>
      </w:r>
    </w:p>
    <w:p>
      <w:pPr>
        <w:spacing w:after="100" w:before="80" w:line="320"/>
      </w:pPr>
      <w:r>
        <w:rPr>
          <w:sz w:val="22"/>
          <w:szCs w:val="22"/>
        </w:rPr>
        <w:t xml:space="preserve">Then, almost immediately, all four companies raised their capital expenditure forecasts.</w:t>
      </w:r>
    </w:p>
    <w:p>
      <w:pPr>
        <w:spacing w:after="100" w:before="80" w:line="320"/>
      </w:pPr>
      <w:r>
        <w:rPr>
          <w:sz w:val="22"/>
          <w:szCs w:val="22"/>
        </w:rPr>
        <w:t xml:space="preserve">The four major cloud providers collectively committed between </w:t>
      </w:r>
      <w:r>
        <w:rPr>
          <w:b/>
          <w:bCs/>
          <w:sz w:val="22"/>
          <w:szCs w:val="22"/>
        </w:rPr>
        <w:t xml:space="preserve">$630 and $650 billion in combined capex for 2026</w:t>
      </w:r>
      <w:r>
        <w:rPr>
          <w:sz w:val="22"/>
          <w:szCs w:val="22"/>
        </w:rPr>
        <w:t xml:space="preserve"> — a figure that would have seemed implausible just two years ago. What's driving this? According to executives across all four companies, the bottleneck isn't demand. It's supply.</w:t>
      </w:r>
    </w:p>
    <w:p>
      <w:pPr>
        <w:pStyle w:val="Heading2"/>
        <w:spacing w:after="120" w:before="280"/>
      </w:pPr>
      <w:r>
        <w:rPr>
          <w:rFonts w:ascii="Arial" w:cs="Arial" w:eastAsia="Arial" w:hAnsi="Arial"/>
          <w:b/>
          <w:bCs/>
          <w:color w:val="1E3A5F"/>
          <w:sz w:val="28"/>
          <w:szCs w:val="28"/>
        </w:rPr>
        <w:t xml:space="preserve">Q1 2026 at a Glance</w:t>
      </w:r>
    </w:p>
    <w:p>
      <w:pPr>
        <w:spacing w:after="100" w:before="80" w:line="320"/>
      </w:pPr>
      <w:r>
        <w:rPr>
          <w:sz w:val="22"/>
          <w:szCs w:val="22"/>
        </w:rPr>
        <w:t xml:space="preserve">Here is how each company performed:</w:t>
      </w:r>
    </w:p>
    <w:p>
      <w:pPr>
        <w:pStyle w:val="ListParagraph"/>
        <w:numPr>
          <w:ilvl w:val="0"/>
          <w:numId w:val="2"/>
        </w:numPr>
        <w:spacing w:after="40" w:before="40" w:line="300"/>
      </w:pPr>
      <w:r>
        <w:rPr>
          <w:b/>
          <w:bCs/>
          <w:sz w:val="22"/>
          <w:szCs w:val="22"/>
        </w:rPr>
        <w:t xml:space="preserve">Microsoft</w:t>
      </w:r>
      <w:r>
        <w:rPr>
          <w:sz w:val="22"/>
          <w:szCs w:val="22"/>
        </w:rPr>
        <w:t xml:space="preserve">: Azure grew 40% year-over-year, beating expectations of 38.8%. Annualized AI revenue exceeded $37 billion. Full-year capex guidance raised to $190 billion.</w:t>
      </w:r>
    </w:p>
    <w:p>
      <w:pPr>
        <w:pStyle w:val="ListParagraph"/>
        <w:numPr>
          <w:ilvl w:val="0"/>
          <w:numId w:val="2"/>
        </w:numPr>
        <w:spacing w:after="40" w:before="40" w:line="300"/>
      </w:pPr>
      <w:r>
        <w:rPr>
          <w:b/>
          <w:bCs/>
          <w:sz w:val="22"/>
          <w:szCs w:val="22"/>
        </w:rPr>
        <w:t xml:space="preserve">Alphabet</w:t>
      </w:r>
      <w:r>
        <w:rPr>
          <w:sz w:val="22"/>
          <w:szCs w:val="22"/>
        </w:rPr>
        <w:t xml:space="preserve">: Google Cloud surged 63% year-over-year. Net income hit $62.57 billion, up 81%. CFO signaled 2027 capex will "significantly increase" beyond 2026 levels.</w:t>
      </w:r>
    </w:p>
    <w:p>
      <w:pPr>
        <w:pStyle w:val="ListParagraph"/>
        <w:numPr>
          <w:ilvl w:val="0"/>
          <w:numId w:val="2"/>
        </w:numPr>
        <w:spacing w:after="40" w:before="40" w:line="300"/>
      </w:pPr>
      <w:r>
        <w:rPr>
          <w:b/>
          <w:bCs/>
          <w:sz w:val="22"/>
          <w:szCs w:val="22"/>
        </w:rPr>
        <w:t xml:space="preserve">Meta</w:t>
      </w:r>
      <w:r>
        <w:rPr>
          <w:sz w:val="22"/>
          <w:szCs w:val="22"/>
        </w:rPr>
        <w:t xml:space="preserve">: Revenue grew 33% to $56.31 billion, the fastest pace since 2021, driven by Advantage+. Capex guidance raised to $125–145 billion.</w:t>
      </w:r>
    </w:p>
    <w:p>
      <w:pPr>
        <w:pStyle w:val="ListParagraph"/>
        <w:numPr>
          <w:ilvl w:val="0"/>
          <w:numId w:val="2"/>
        </w:numPr>
        <w:spacing w:after="40" w:before="40" w:line="300"/>
      </w:pPr>
      <w:r>
        <w:rPr>
          <w:b/>
          <w:bCs/>
          <w:sz w:val="22"/>
          <w:szCs w:val="22"/>
        </w:rPr>
        <w:t xml:space="preserve">Amazon</w:t>
      </w:r>
      <w:r>
        <w:rPr>
          <w:sz w:val="22"/>
          <w:szCs w:val="22"/>
        </w:rPr>
        <w:t xml:space="preserve">: AWS revenue hit $37.59 billion, up 28% — the fastest growth in 15 quarters. Custom chips business exceeded $20 billion annualized revenue.</w:t>
      </w:r>
    </w:p>
    <w:p>
      <w:pPr>
        <w:pStyle w:val="Heading2"/>
        <w:spacing w:after="120" w:before="280"/>
      </w:pPr>
      <w:r>
        <w:rPr>
          <w:rFonts w:ascii="Arial" w:cs="Arial" w:eastAsia="Arial" w:hAnsi="Arial"/>
          <w:b/>
          <w:bCs/>
          <w:color w:val="1E3A5F"/>
          <w:sz w:val="28"/>
          <w:szCs w:val="28"/>
        </w:rPr>
        <w:t xml:space="preserve">Company-by-Company Breakdown</w:t>
      </w:r>
    </w:p>
    <w:p>
      <w:pPr>
        <w:pStyle w:val="Heading3"/>
        <w:spacing w:after="80" w:before="200"/>
      </w:pPr>
      <w:r>
        <w:rPr>
          <w:rFonts w:ascii="Arial" w:cs="Arial" w:eastAsia="Arial" w:hAnsi="Arial"/>
          <w:b/>
          <w:bCs/>
          <w:color w:val="2563EB"/>
          <w:sz w:val="24"/>
          <w:szCs w:val="24"/>
        </w:rPr>
        <w:t xml:space="preserve">Microsoft</w:t>
      </w:r>
    </w:p>
    <w:p>
      <w:pPr>
        <w:spacing w:after="100" w:before="80" w:line="320"/>
      </w:pPr>
      <w:r>
        <w:rPr>
          <w:sz w:val="22"/>
          <w:szCs w:val="22"/>
        </w:rPr>
        <w:t xml:space="preserve">Microsoft's Azure cloud platform grew </w:t>
      </w:r>
      <w:r>
        <w:rPr>
          <w:b/>
          <w:bCs/>
          <w:sz w:val="22"/>
          <w:szCs w:val="22"/>
        </w:rPr>
        <w:t xml:space="preserve">40% year-over-year</w:t>
      </w:r>
      <w:r>
        <w:rPr>
          <w:sz w:val="22"/>
          <w:szCs w:val="22"/>
        </w:rPr>
        <w:t xml:space="preserve"> in Q1 2026, exceeding analyst expectations of 38.8%. The company's annualized AI revenue surpassed </w:t>
      </w:r>
      <w:r>
        <w:rPr>
          <w:b/>
          <w:bCs/>
          <w:sz w:val="22"/>
          <w:szCs w:val="22"/>
        </w:rPr>
        <w:t xml:space="preserve">$37 billion</w:t>
      </w:r>
      <w:r>
        <w:rPr>
          <w:sz w:val="22"/>
          <w:szCs w:val="22"/>
        </w:rPr>
        <w:t xml:space="preserve">, a milestone that cements AI as a core business line rather than an experimental product category.</w:t>
      </w:r>
    </w:p>
    <w:p>
      <w:pPr>
        <w:spacing w:after="100" w:before="80" w:line="320"/>
      </w:pPr>
      <w:r>
        <w:rPr>
          <w:sz w:val="22"/>
          <w:szCs w:val="22"/>
        </w:rPr>
        <w:t xml:space="preserve">Despite these results, Microsoft's stock declined more than 3% following the earnings report. The reason: the company simultaneously raised its full-year capital expenditure guidance to </w:t>
      </w:r>
      <w:r>
        <w:rPr>
          <w:b/>
          <w:bCs/>
          <w:sz w:val="22"/>
          <w:szCs w:val="22"/>
        </w:rPr>
        <w:t xml:space="preserve">$190 billion</w:t>
      </w:r>
      <w:r>
        <w:rPr>
          <w:sz w:val="22"/>
          <w:szCs w:val="22"/>
        </w:rPr>
        <w:t xml:space="preserve">, up from approximately $154.6 billion — an increase of roughly $35 billion in a single guidance update.</w:t>
      </w:r>
    </w:p>
    <w:p>
      <w:pPr>
        <w:spacing w:after="100" w:before="80" w:line="320"/>
      </w:pPr>
      <w:r>
        <w:rPr>
          <w:sz w:val="22"/>
          <w:szCs w:val="22"/>
        </w:rPr>
        <w:t xml:space="preserve">Investors are not questioning whether AI is working. They are questioning whether the escalating bill is sustainable and where the spending ceiling actually is.</w:t>
      </w:r>
    </w:p>
    <w:p>
      <w:pPr>
        <w:pStyle w:val="Heading3"/>
        <w:spacing w:after="80" w:before="200"/>
      </w:pPr>
      <w:r>
        <w:rPr>
          <w:rFonts w:ascii="Arial" w:cs="Arial" w:eastAsia="Arial" w:hAnsi="Arial"/>
          <w:b/>
          <w:bCs/>
          <w:color w:val="2563EB"/>
          <w:sz w:val="24"/>
          <w:szCs w:val="24"/>
        </w:rPr>
        <w:t xml:space="preserve">Alphabet (Google)</w:t>
      </w:r>
    </w:p>
    <w:p>
      <w:pPr>
        <w:spacing w:after="100" w:before="80" w:line="320"/>
      </w:pPr>
      <w:r>
        <w:rPr>
          <w:sz w:val="22"/>
          <w:szCs w:val="22"/>
        </w:rPr>
        <w:t xml:space="preserve">Google Cloud surged </w:t>
      </w:r>
      <w:r>
        <w:rPr>
          <w:b/>
          <w:bCs/>
          <w:sz w:val="22"/>
          <w:szCs w:val="22"/>
        </w:rPr>
        <w:t xml:space="preserve">63% year-over-year</w:t>
      </w:r>
      <w:r>
        <w:rPr>
          <w:sz w:val="22"/>
          <w:szCs w:val="22"/>
        </w:rPr>
        <w:t xml:space="preserve"> in Q1 2026 — the fastest growth rate in years and significantly above analyst forecasts. Total Alphabet revenue grew 20%, the company's highest quarterly growth rate since 2022. Net income reached </w:t>
      </w:r>
      <w:r>
        <w:rPr>
          <w:b/>
          <w:bCs/>
          <w:sz w:val="22"/>
          <w:szCs w:val="22"/>
        </w:rPr>
        <w:t xml:space="preserve">$62.57 billion</w:t>
      </w:r>
      <w:r>
        <w:rPr>
          <w:sz w:val="22"/>
          <w:szCs w:val="22"/>
        </w:rPr>
        <w:t xml:space="preserve">, up 81% year-over-year.</w:t>
      </w:r>
    </w:p>
    <w:p>
      <w:pPr>
        <w:spacing w:after="100" w:before="80" w:line="320"/>
      </w:pPr>
      <w:r>
        <w:rPr>
          <w:sz w:val="22"/>
          <w:szCs w:val="22"/>
        </w:rPr>
        <w:t xml:space="preserve">CEO Sundar Pichai's most telling comment wasn't about what AI delivered — it was about what's still ahead. Pichai stated that Alphabet is currently "compute constrained in the near term," meaning demand for Google's AI services is growing faster than the company can physically build infrastructure to serve it. CFO Ruth Porat went further, signaling that 2027 capex will "significantly increase" versus 2026's already-elevated levels.</w:t>
      </w:r>
    </w:p>
    <w:p>
      <w:pPr>
        <w:pStyle w:val="Heading3"/>
        <w:spacing w:after="80" w:before="200"/>
      </w:pPr>
      <w:r>
        <w:rPr>
          <w:rFonts w:ascii="Arial" w:cs="Arial" w:eastAsia="Arial" w:hAnsi="Arial"/>
          <w:b/>
          <w:bCs/>
          <w:color w:val="2563EB"/>
          <w:sz w:val="24"/>
          <w:szCs w:val="24"/>
        </w:rPr>
        <w:t xml:space="preserve">Meta</w:t>
      </w:r>
    </w:p>
    <w:p>
      <w:pPr>
        <w:spacing w:after="100" w:before="80" w:line="320"/>
      </w:pPr>
      <w:r>
        <w:rPr>
          <w:sz w:val="22"/>
          <w:szCs w:val="22"/>
        </w:rPr>
        <w:t xml:space="preserve">Meta reported Q1 2026 revenue of </w:t>
      </w:r>
      <w:r>
        <w:rPr>
          <w:b/>
          <w:bCs/>
          <w:sz w:val="22"/>
          <w:szCs w:val="22"/>
        </w:rPr>
        <w:t xml:space="preserve">$56.31 billion</w:t>
      </w:r>
      <w:r>
        <w:rPr>
          <w:sz w:val="22"/>
          <w:szCs w:val="22"/>
        </w:rPr>
        <w:t xml:space="preserve">, a 33% year-over-year increase and its fastest growth pace since 2021. The primary engine: Advantage+, Meta's AI-powered advertising platform, which has become the backbone of the company's revenue acceleration.</w:t>
      </w:r>
    </w:p>
    <w:p>
      <w:pPr>
        <w:spacing w:after="100" w:before="80" w:line="320"/>
      </w:pPr>
      <w:r>
        <w:rPr>
          <w:sz w:val="22"/>
          <w:szCs w:val="22"/>
        </w:rPr>
        <w:t xml:space="preserve">Meta raised its capex guidance for 2026 to </w:t>
      </w:r>
      <w:r>
        <w:rPr>
          <w:b/>
          <w:bCs/>
          <w:sz w:val="22"/>
          <w:szCs w:val="22"/>
        </w:rPr>
        <w:t xml:space="preserve">$125–145 billion</w:t>
      </w:r>
      <w:r>
        <w:rPr>
          <w:sz w:val="22"/>
          <w:szCs w:val="22"/>
        </w:rPr>
        <w:t xml:space="preserve">, up from the prior range of $115–135 billion. The company is investing heavily in AI infrastructure to power both its advertising products and its longer-term bets on AI assistants and mixed reality.</w:t>
      </w:r>
    </w:p>
    <w:p>
      <w:pPr>
        <w:pStyle w:val="Heading3"/>
        <w:spacing w:after="80" w:before="200"/>
      </w:pPr>
      <w:r>
        <w:rPr>
          <w:rFonts w:ascii="Arial" w:cs="Arial" w:eastAsia="Arial" w:hAnsi="Arial"/>
          <w:b/>
          <w:bCs/>
          <w:color w:val="2563EB"/>
          <w:sz w:val="24"/>
          <w:szCs w:val="24"/>
        </w:rPr>
        <w:t xml:space="preserve">Amazon (AWS)</w:t>
      </w:r>
    </w:p>
    <w:p>
      <w:pPr>
        <w:spacing w:after="100" w:before="80" w:line="320"/>
      </w:pPr>
      <w:r>
        <w:rPr>
          <w:sz w:val="22"/>
          <w:szCs w:val="22"/>
        </w:rPr>
        <w:t xml:space="preserve">Amazon Web Services posted revenue of </w:t>
      </w:r>
      <w:r>
        <w:rPr>
          <w:b/>
          <w:bCs/>
          <w:sz w:val="22"/>
          <w:szCs w:val="22"/>
        </w:rPr>
        <w:t xml:space="preserve">$37.59 billion</w:t>
      </w:r>
      <w:r>
        <w:rPr>
          <w:sz w:val="22"/>
          <w:szCs w:val="22"/>
        </w:rPr>
        <w:t xml:space="preserve"> in Q1 2026, up 28% — the division's fastest growth in 15 quarters. Operating margin hit 37.7%, demonstrating that the unit's profitability is expanding alongside its revenue.</w:t>
      </w:r>
    </w:p>
    <w:p>
      <w:pPr>
        <w:spacing w:after="100" w:before="80" w:line="320"/>
      </w:pPr>
      <w:r>
        <w:rPr>
          <w:sz w:val="22"/>
          <w:szCs w:val="22"/>
        </w:rPr>
        <w:t xml:space="preserve">A notable detail from Amazon's results: its custom AI chips business exceeded a </w:t>
      </w:r>
      <w:r>
        <w:rPr>
          <w:b/>
          <w:bCs/>
          <w:sz w:val="22"/>
          <w:szCs w:val="22"/>
        </w:rPr>
        <w:t xml:space="preserve">$20 billion annualized revenue run rate</w:t>
      </w:r>
      <w:r>
        <w:rPr>
          <w:sz w:val="22"/>
          <w:szCs w:val="22"/>
        </w:rPr>
        <w:t xml:space="preserve">, putting Amazon among the top hardware players in AI infrastructure. Total Amazon revenue reached $181.5 billion, up 17% year-over-year.</w:t>
      </w:r>
    </w:p>
    <w:p>
      <w:pPr>
        <w:pStyle w:val="Heading2"/>
        <w:spacing w:after="120" w:before="280"/>
      </w:pPr>
      <w:r>
        <w:rPr>
          <w:rFonts w:ascii="Arial" w:cs="Arial" w:eastAsia="Arial" w:hAnsi="Arial"/>
          <w:b/>
          <w:bCs/>
          <w:color w:val="1E3A5F"/>
          <w:sz w:val="28"/>
          <w:szCs w:val="28"/>
        </w:rPr>
        <w:t xml:space="preserve">The Central Paradox</w:t>
      </w:r>
    </w:p>
    <w:p>
      <w:pPr>
        <w:spacing w:after="100" w:before="80" w:line="320"/>
      </w:pPr>
      <w:r>
        <w:rPr>
          <w:sz w:val="22"/>
          <w:szCs w:val="22"/>
        </w:rPr>
        <w:t xml:space="preserve">Strong results. Higher spending. Falling stock prices.</w:t>
      </w:r>
    </w:p>
    <w:p>
      <w:pPr>
        <w:spacing w:after="100" w:before="80" w:line="320"/>
      </w:pPr>
      <w:r>
        <w:rPr>
          <w:sz w:val="22"/>
          <w:szCs w:val="22"/>
        </w:rPr>
        <w:t xml:space="preserve">This pattern across all four companies reveals a tension at the heart of the AI investment cycle: the market understands that AI is working, but it is uncertain whether the capital required to scale it is finite or open-ended.</w:t>
      </w:r>
    </w:p>
    <w:p>
      <w:pPr>
        <w:spacing w:after="100" w:before="80" w:line="320"/>
      </w:pPr>
      <w:r>
        <w:rPr>
          <w:sz w:val="22"/>
          <w:szCs w:val="22"/>
        </w:rPr>
        <w:t xml:space="preserve">Every executive this quarter delivered a version of the same message: </w:t>
      </w:r>
      <w:r>
        <w:rPr>
          <w:b/>
          <w:bCs/>
          <w:sz w:val="22"/>
          <w:szCs w:val="22"/>
        </w:rPr>
        <w:t xml:space="preserve">demand is outpacing supply</w:t>
      </w:r>
      <w:r>
        <w:rPr>
          <w:sz w:val="22"/>
          <w:szCs w:val="22"/>
        </w:rPr>
        <w:t xml:space="preserve">. Pichai's "compute constrained" comment is the most direct articulation of this reality. Companies aren't building data centers speculatively — they're building them because they cannot fulfill existing customer demand with current capacity.</w:t>
      </w:r>
    </w:p>
    <w:p>
      <w:pPr>
        <w:spacing w:after="100" w:before="80" w:line="320"/>
      </w:pPr>
      <w:r>
        <w:rPr>
          <w:sz w:val="22"/>
          <w:szCs w:val="22"/>
        </w:rPr>
        <w:t xml:space="preserve">That's a fundamentally different dynamic than a speculative bubble. It's a supply shortage in a market with proven, growing demand.</w:t>
      </w:r>
    </w:p>
    <w:p>
      <w:pPr>
        <w:pStyle w:val="Heading2"/>
        <w:spacing w:after="120" w:before="280"/>
      </w:pPr>
      <w:r>
        <w:rPr>
          <w:rFonts w:ascii="Arial" w:cs="Arial" w:eastAsia="Arial" w:hAnsi="Arial"/>
          <w:b/>
          <w:bCs/>
          <w:color w:val="1E3A5F"/>
          <w:sz w:val="28"/>
          <w:szCs w:val="28"/>
        </w:rPr>
        <w:t xml:space="preserve">What's Being Built</w:t>
      </w:r>
    </w:p>
    <w:p>
      <w:pPr>
        <w:spacing w:after="100" w:before="80" w:line="320"/>
      </w:pPr>
      <w:r>
        <w:rPr>
          <w:sz w:val="22"/>
          <w:szCs w:val="22"/>
        </w:rPr>
        <w:t xml:space="preserve">The scale of investment needs context. These aren't software upgrades or server refreshes. Big Tech is building:</w:t>
      </w:r>
    </w:p>
    <w:p>
      <w:pPr>
        <w:pStyle w:val="ListParagraph"/>
        <w:numPr>
          <w:ilvl w:val="0"/>
          <w:numId w:val="2"/>
        </w:numPr>
        <w:spacing w:after="40" w:before="40" w:line="300"/>
      </w:pPr>
      <w:r>
        <w:rPr>
          <w:b/>
          <w:bCs/>
          <w:sz w:val="22"/>
          <w:szCs w:val="22"/>
        </w:rPr>
        <w:t xml:space="preserve">New data center campuses</w:t>
      </w:r>
      <w:r>
        <w:rPr>
          <w:sz w:val="22"/>
          <w:szCs w:val="22"/>
        </w:rPr>
        <w:t xml:space="preserve"> requiring gigawatts of power and billions in real estate</w:t>
      </w:r>
    </w:p>
    <w:p>
      <w:pPr>
        <w:pStyle w:val="ListParagraph"/>
        <w:numPr>
          <w:ilvl w:val="0"/>
          <w:numId w:val="2"/>
        </w:numPr>
        <w:spacing w:after="40" w:before="40" w:line="300"/>
      </w:pPr>
      <w:r>
        <w:rPr>
          <w:b/>
          <w:bCs/>
          <w:sz w:val="22"/>
          <w:szCs w:val="22"/>
        </w:rPr>
        <w:t xml:space="preserve">Custom AI chips</w:t>
      </w:r>
      <w:r>
        <w:rPr>
          <w:sz w:val="22"/>
          <w:szCs w:val="22"/>
        </w:rPr>
        <w:t xml:space="preserve"> to reduce dependence on NVIDIA and improve unit economics at scale</w:t>
      </w:r>
    </w:p>
    <w:p>
      <w:pPr>
        <w:pStyle w:val="ListParagraph"/>
        <w:numPr>
          <w:ilvl w:val="0"/>
          <w:numId w:val="2"/>
        </w:numPr>
        <w:spacing w:after="40" w:before="40" w:line="300"/>
      </w:pPr>
      <w:r>
        <w:rPr>
          <w:b/>
          <w:bCs/>
          <w:sz w:val="22"/>
          <w:szCs w:val="22"/>
        </w:rPr>
        <w:t xml:space="preserve">Cooling and energy infrastructure</w:t>
      </w:r>
      <w:r>
        <w:rPr>
          <w:sz w:val="22"/>
          <w:szCs w:val="22"/>
        </w:rPr>
        <w:t xml:space="preserve"> to manage the thermal demands of dense GPU clusters</w:t>
      </w:r>
    </w:p>
    <w:p>
      <w:pPr>
        <w:pStyle w:val="ListParagraph"/>
        <w:numPr>
          <w:ilvl w:val="0"/>
          <w:numId w:val="2"/>
        </w:numPr>
        <w:spacing w:after="40" w:before="40" w:line="300"/>
      </w:pPr>
      <w:r>
        <w:rPr>
          <w:b/>
          <w:bCs/>
          <w:sz w:val="22"/>
          <w:szCs w:val="22"/>
        </w:rPr>
        <w:t xml:space="preserve">Fiber and network backbone</w:t>
      </w:r>
      <w:r>
        <w:rPr>
          <w:sz w:val="22"/>
          <w:szCs w:val="22"/>
        </w:rPr>
        <w:t xml:space="preserve"> to support the latency requirements of real-time AI applications</w:t>
      </w:r>
    </w:p>
    <w:p>
      <w:pPr>
        <w:spacing w:after="80" w:before="80"/>
      </w:pPr>
      <w:r>
        <w:t xml:space="preserve"/>
      </w:r>
    </w:p>
    <w:p>
      <w:pPr>
        <w:spacing w:after="100" w:before="80" w:line="320"/>
      </w:pPr>
      <w:r>
        <w:rPr>
          <w:sz w:val="22"/>
          <w:szCs w:val="22"/>
        </w:rPr>
        <w:t xml:space="preserve">Microsoft, Amazon, and Google have each announced multi-year, multi-billion-dollar infrastructure commitments in the United States, Europe, and Asia. These are decade-scale investments, not quarterly spending decisions.</w:t>
      </w:r>
    </w:p>
    <w:p>
      <w:pPr>
        <w:pStyle w:val="Heading2"/>
        <w:spacing w:after="120" w:before="280"/>
      </w:pPr>
      <w:r>
        <w:rPr>
          <w:rFonts w:ascii="Arial" w:cs="Arial" w:eastAsia="Arial" w:hAnsi="Arial"/>
          <w:b/>
          <w:bCs/>
          <w:color w:val="1E3A5F"/>
          <w:sz w:val="28"/>
          <w:szCs w:val="28"/>
        </w:rPr>
        <w:t xml:space="preserve">Implications for Businesses</w:t>
      </w:r>
    </w:p>
    <w:p>
      <w:pPr>
        <w:spacing w:after="100" w:before="80" w:line="320"/>
      </w:pPr>
      <w:r>
        <w:rPr>
          <w:sz w:val="22"/>
          <w:szCs w:val="22"/>
        </w:rPr>
        <w:t xml:space="preserve">For companies evaluating AI adoption, the Q1 earnings picture sends a clear message: the infrastructure layer is being built at historic speed and scale. The platforms — Azure, Google Cloud, AWS — are becoming faster, more capable, and more competitively priced as capacity expands.</w:t>
      </w:r>
    </w:p>
    <w:p>
      <w:pPr>
        <w:spacing w:after="100" w:before="80" w:line="320"/>
      </w:pPr>
      <w:r>
        <w:rPr>
          <w:sz w:val="22"/>
          <w:szCs w:val="22"/>
        </w:rPr>
        <w:t xml:space="preserve">The companies making these investments are betting that AI demand in 2027, 2028, and beyond will justify today's construction costs. Historical precedent suggests they're right: the same pattern played out with cloud computing itself in the 2010s. Companies that built early captured dominant positions that proved very difficult to dislodge.</w:t>
      </w:r>
    </w:p>
    <w:p>
      <w:pPr>
        <w:spacing w:after="100" w:before="80" w:line="320"/>
      </w:pPr>
      <w:r>
        <w:rPr>
          <w:sz w:val="22"/>
          <w:szCs w:val="22"/>
        </w:rPr>
        <w:t xml:space="preserve">For businesses, the strategic implication is straightforward: the AI infrastructure is being built whether you're ready or not. The question is whether your organization is positioned to use it when it arrives.</w:t>
      </w:r>
    </w:p>
    <w:p>
      <w:pPr>
        <w:pStyle w:val="Heading2"/>
        <w:spacing w:after="120" w:before="280"/>
      </w:pPr>
      <w:r>
        <w:rPr>
          <w:rFonts w:ascii="Arial" w:cs="Arial" w:eastAsia="Arial" w:hAnsi="Arial"/>
          <w:b/>
          <w:bCs/>
          <w:color w:val="1E3A5F"/>
          <w:sz w:val="28"/>
          <w:szCs w:val="28"/>
        </w:rPr>
        <w:t xml:space="preserve">Key Takeaway</w:t>
      </w:r>
    </w:p>
    <w:p>
      <w:pPr>
        <w:spacing w:after="100" w:before="80" w:line="320"/>
      </w:pPr>
      <w:r>
        <w:rPr>
          <w:sz w:val="22"/>
          <w:szCs w:val="22"/>
        </w:rPr>
        <w:t xml:space="preserve">Q1 2026 proved that the AI investment thesis is real. Revenue is accelerating, margins are expanding, and demand continues to outstrip supply. The $630–650 billion capex commitment isn't a sign of reckless spending — it's a response to a genuine supply shortage in one of the fastest-growing technology markets in history.</w:t>
      </w:r>
    </w:p>
    <w:p>
      <w:pPr>
        <w:pBdr>
          <w:bottom w:val="single" w:color="BFDBFE" w:sz="4" w:space="6"/>
        </w:pBdr>
        <w:spacing w:after="160" w:before="160"/>
      </w:pPr>
    </w:p>
    <w:p>
      <w:pPr>
        <w:spacing w:after="80" w:before="80"/>
      </w:pPr>
      <w:r>
        <w:rPr>
          <w:b/>
          <w:bCs/>
          <w:color w:val="6B7280"/>
          <w:sz w:val="20"/>
          <w:szCs w:val="20"/>
        </w:rPr>
        <w:t xml:space="preserve">Sources</w:t>
      </w:r>
    </w:p>
    <w:p>
      <w:pPr>
        <w:pStyle w:val="ListParagraph"/>
        <w:numPr>
          <w:ilvl w:val="0"/>
          <w:numId w:val="2"/>
        </w:numPr>
        <w:spacing w:after="30" w:before="30"/>
      </w:pPr>
      <w:r>
        <w:rPr>
          <w:i/>
          <w:iCs/>
          <w:color w:val="6B7280"/>
          <w:sz w:val="18"/>
          <w:szCs w:val="18"/>
        </w:rPr>
        <w:t xml:space="preserve">AI News — "Big Tech Just Proved AI Infrastructure Spending Works. Then It Raised the Bill Anyway" (April 30, 2026): </w:t>
      </w:r>
      <w:hyperlink w:history="1" r:id="rIdjk_7hd_qzjtspr0wanmsp">
        <w:r>
          <w:rPr>
            <w:rStyle w:val="Hyperlink"/>
            <w:i/>
            <w:iCs/>
            <w:sz w:val="18"/>
            <w:szCs w:val="18"/>
          </w:rPr>
          <w:t xml:space="preserve">https://www.artificialintelligence-news.com/2026/04/30/big-tech-just-proved-ai-infrastructure-spending-works-then-it-raised-the-bill-anyway/</w:t>
        </w:r>
      </w:hyperlink>
    </w:p>
    <w:p>
      <w:pPr>
        <w:pStyle w:val="ListParagraph"/>
        <w:numPr>
          <w:ilvl w:val="0"/>
          <w:numId w:val="2"/>
        </w:numPr>
        <w:spacing w:after="30" w:before="30"/>
      </w:pPr>
      <w:r>
        <w:rPr>
          <w:i/>
          <w:iCs/>
          <w:color w:val="6B7280"/>
          <w:sz w:val="18"/>
          <w:szCs w:val="18"/>
        </w:rPr>
        <w:t xml:space="preserve">Microsoft Q1 2026 Earnings Report</w:t>
      </w:r>
    </w:p>
    <w:p>
      <w:pPr>
        <w:pStyle w:val="ListParagraph"/>
        <w:numPr>
          <w:ilvl w:val="0"/>
          <w:numId w:val="2"/>
        </w:numPr>
        <w:spacing w:after="30" w:before="30"/>
      </w:pPr>
      <w:r>
        <w:rPr>
          <w:i/>
          <w:iCs/>
          <w:color w:val="6B7280"/>
          <w:sz w:val="18"/>
          <w:szCs w:val="18"/>
        </w:rPr>
        <w:t xml:space="preserve">Alphabet Q1 2026 Earnings Report</w:t>
      </w:r>
    </w:p>
    <w:p>
      <w:pPr>
        <w:pStyle w:val="ListParagraph"/>
        <w:numPr>
          <w:ilvl w:val="0"/>
          <w:numId w:val="2"/>
        </w:numPr>
        <w:spacing w:after="30" w:before="30"/>
      </w:pPr>
      <w:r>
        <w:rPr>
          <w:i/>
          <w:iCs/>
          <w:color w:val="6B7280"/>
          <w:sz w:val="18"/>
          <w:szCs w:val="18"/>
        </w:rPr>
        <w:t xml:space="preserve">Meta Q1 2026 Earnings Report</w:t>
      </w:r>
    </w:p>
    <w:p>
      <w:pPr>
        <w:pStyle w:val="ListParagraph"/>
        <w:numPr>
          <w:ilvl w:val="0"/>
          <w:numId w:val="2"/>
        </w:numPr>
        <w:spacing w:after="30" w:before="30"/>
      </w:pPr>
      <w:r>
        <w:rPr>
          <w:i/>
          <w:iCs/>
          <w:color w:val="6B7280"/>
          <w:sz w:val="18"/>
          <w:szCs w:val="18"/>
        </w:rPr>
        <w:t xml:space="preserve">Amazon Q1 2026 Earnings Report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r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0"/>
      <w:outlineLvl w:val="0"/>
    </w:pPr>
    <w:rPr>
      <w:rFonts w:ascii="Arial" w:cs="Arial" w:eastAsia="Arial" w:hAnsi="Arial"/>
      <w:b/>
      <w:bCs/>
      <w:color w:val="111827"/>
      <w:sz w:val="44"/>
      <w:szCs w:val="44"/>
    </w:rPr>
  </w:style>
  <w:style w:type="paragraph" w:styleId="Heading2">
    <w:name w:val="Heading 2"/>
    <w:basedOn w:val="Normal"/>
    <w:next w:val="Normal"/>
    <w:qFormat/>
    <w:pPr>
      <w:spacing w:after="120" w:before="280"/>
      <w:outlineLvl w:val="1"/>
    </w:pPr>
    <w:rPr>
      <w:rFonts w:ascii="Arial" w:cs="Arial" w:eastAsia="Arial" w:hAnsi="Arial"/>
      <w:b/>
      <w:bCs/>
      <w:color w:val="1E3A5F"/>
      <w:sz w:val="28"/>
      <w:szCs w:val="28"/>
    </w:rPr>
  </w:style>
  <w:style w:type="paragraph" w:styleId="Heading3">
    <w:name w:val="Heading 3"/>
    <w:basedOn w:val="Normal"/>
    <w:next w:val="Normal"/>
    <w:qFormat/>
    <w:pPr>
      <w:spacing w:after="80" w:before="200"/>
      <w:outlineLvl w:val="2"/>
    </w:pPr>
    <w:rPr>
      <w:rFonts w:ascii="Arial" w:cs="Arial" w:eastAsia="Arial" w:hAnsi="Arial"/>
      <w:b/>
      <w:bCs/>
      <w:color w:val="2563E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jnotkv-1ljfsf3aikm_4x" Type="http://schemas.openxmlformats.org/officeDocument/2006/relationships/hyperlink" Target="https://www.artificialintelligence-news.com/2026/04/30/big-tech-just-proved-ai-infrastructure-spending-works-then-it-raised-the-bill-anyway/" TargetMode="External"/><Relationship Id="rIdjk_7hd_qzjtspr0wanmsp" Type="http://schemas.openxmlformats.org/officeDocument/2006/relationships/hyperlink" Target="https://www.artificialintelligence-news.com/2026/04/30/big-tech-just-proved-ai-infrastructure-spending-works-then-it-raised-the-bill-anyway/"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2026-05-02T12:50:58.780Z</dcterms:created>
  <dcterms:modified xsi:type="dcterms:W3CDTF">2026-05-02T12:50:58.780Z</dcterms:modified>
</cp:coreProperties>
</file>

<file path=docProps/custom.xml><?xml version="1.0" encoding="utf-8"?>
<Properties xmlns="http://schemas.openxmlformats.org/officeDocument/2006/custom-properties" xmlns:vt="http://schemas.openxmlformats.org/officeDocument/2006/docPropsVTypes"/>
</file>