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11827"/>
          <w:sz w:val="44"/>
          <w:szCs w:val="44"/>
        </w:rPr>
        <w:t xml:space="preserve">LG and NVIDIA: What Their Partnership Reveals About the Future of Physical AI</w:t>
      </w:r>
    </w:p>
    <w:p>
      <w:pPr>
        <w:spacing w:after="60" w:before="0"/>
      </w:pPr>
      <w:r>
        <w:rPr>
          <w:i/>
          <w:iCs/>
          <w:color w:val="6B7280"/>
          <w:sz w:val="18"/>
          <w:szCs w:val="18"/>
        </w:rPr>
        <w:t xml:space="preserve">Published: May 2, 2026  |  Category: Physical AI &amp; Robotics</w:t>
      </w:r>
    </w:p>
    <w:p>
      <w:pPr>
        <w:spacing w:after="160" w:before="0"/>
      </w:pPr>
      <w:r>
        <w:rPr>
          <w:color w:val="6B7280"/>
          <w:sz w:val="18"/>
          <w:szCs w:val="18"/>
        </w:rPr>
        <w:t xml:space="preserve">Reference: </w:t>
      </w:r>
      <w:hyperlink w:history="1" r:id="rId34ucx8qzyclbsrcblgzmi">
        <w:r>
          <w:rPr>
            <w:rStyle w:val="Hyperlink"/>
            <w:sz w:val="18"/>
            <w:szCs w:val="18"/>
          </w:rPr>
          <w:t xml:space="preserve">https://www.artificialintelligence-news.com/2026/04/30/what-lg-and-nvidias-talks-reveal-about-the-future-of-physical-ai/</w:t>
        </w:r>
      </w:hyperlink>
    </w:p>
    <w:p>
      <w:pPr>
        <w:pBdr>
          <w:bottom w:val="single" w:color="BFDBFE" w:sz="4" w:space="6"/>
        </w:pBdr>
        <w:spacing w:after="160" w:before="160"/>
      </w:pPr>
    </w:p>
    <w:p>
      <w:pPr>
        <w:pStyle w:val="Heading2"/>
        <w:spacing w:after="120" w:before="280"/>
      </w:pPr>
      <w:r>
        <w:rPr>
          <w:rFonts w:ascii="Arial" w:cs="Arial" w:eastAsia="Arial" w:hAnsi="Arial"/>
          <w:b/>
          <w:bCs/>
          <w:color w:val="1E3A5F"/>
          <w:sz w:val="28"/>
          <w:szCs w:val="28"/>
        </w:rPr>
        <w:t xml:space="preserve">Overview</w:t>
      </w:r>
    </w:p>
    <w:p>
      <w:pPr>
        <w:spacing w:after="100" w:before="80" w:line="320"/>
      </w:pPr>
      <w:r>
        <w:rPr>
          <w:sz w:val="22"/>
          <w:szCs w:val="22"/>
        </w:rPr>
        <w:t xml:space="preserve">A meeting between LG Electronics CEO Ryu Jae-cheol and NVIDIA's Madison Huang in Seoul this week quietly signaled one of the most important shifts happening in the AI industry: the move from digital AI to </w:t>
      </w:r>
      <w:r>
        <w:rPr>
          <w:b/>
          <w:bCs/>
          <w:sz w:val="22"/>
          <w:szCs w:val="22"/>
        </w:rPr>
        <w:t xml:space="preserve">physical AI</w:t>
      </w:r>
      <w:r>
        <w:rPr>
          <w:sz w:val="22"/>
          <w:szCs w:val="22"/>
        </w:rPr>
        <w:t xml:space="preserve">.</w:t>
      </w:r>
    </w:p>
    <w:p>
      <w:pPr>
        <w:spacing w:after="100" w:before="80" w:line="320"/>
      </w:pPr>
      <w:r>
        <w:rPr>
          <w:sz w:val="22"/>
          <w:szCs w:val="22"/>
        </w:rPr>
        <w:t xml:space="preserve">While much of the AI conversation has focused on language models, chatbots, and cloud infrastructure, a parallel and arguably more consequential development is underway. AI systems are beginning to leave the data center and enter the physical world — operating robots, managing factories, navigating vehicles, and learning from real environments. The LG-NVIDIA discussions offer a detailed window into what that transition actually requires.</w:t>
      </w:r>
    </w:p>
    <w:p>
      <w:pPr>
        <w:pStyle w:val="Heading2"/>
        <w:spacing w:after="120" w:before="280"/>
      </w:pPr>
      <w:r>
        <w:rPr>
          <w:rFonts w:ascii="Arial" w:cs="Arial" w:eastAsia="Arial" w:hAnsi="Arial"/>
          <w:b/>
          <w:bCs/>
          <w:color w:val="1E3A5F"/>
          <w:sz w:val="28"/>
          <w:szCs w:val="28"/>
        </w:rPr>
        <w:t xml:space="preserve">What Is Physical AI?</w:t>
      </w:r>
    </w:p>
    <w:p>
      <w:pPr>
        <w:spacing w:after="100" w:before="80" w:line="320"/>
      </w:pPr>
      <w:r>
        <w:rPr>
          <w:sz w:val="22"/>
          <w:szCs w:val="22"/>
        </w:rPr>
        <w:t xml:space="preserve">Physical AI refers to autonomous systems that perceive and act in the real world, not just in software environments. This includes:</w:t>
      </w:r>
    </w:p>
    <w:p>
      <w:pPr>
        <w:pStyle w:val="ListParagraph"/>
        <w:numPr>
          <w:ilvl w:val="0"/>
          <w:numId w:val="2"/>
        </w:numPr>
        <w:spacing w:after="40" w:before="40" w:line="300"/>
      </w:pPr>
      <w:r>
        <w:rPr>
          <w:b/>
          <w:bCs/>
          <w:sz w:val="22"/>
          <w:szCs w:val="22"/>
        </w:rPr>
        <w:t xml:space="preserve">Robotics</w:t>
      </w:r>
      <w:r>
        <w:rPr>
          <w:sz w:val="22"/>
          <w:szCs w:val="22"/>
        </w:rPr>
        <w:t xml:space="preserve"> — machines that navigate spaces, manipulate objects, and adapt to unpredictable conditions</w:t>
      </w:r>
    </w:p>
    <w:p>
      <w:pPr>
        <w:pStyle w:val="ListParagraph"/>
        <w:numPr>
          <w:ilvl w:val="0"/>
          <w:numId w:val="2"/>
        </w:numPr>
        <w:spacing w:after="40" w:before="40" w:line="300"/>
      </w:pPr>
      <w:r>
        <w:rPr>
          <w:b/>
          <w:bCs/>
          <w:sz w:val="22"/>
          <w:szCs w:val="22"/>
        </w:rPr>
        <w:t xml:space="preserve">Autonomous vehicles</w:t>
      </w:r>
      <w:r>
        <w:rPr>
          <w:sz w:val="22"/>
          <w:szCs w:val="22"/>
        </w:rPr>
        <w:t xml:space="preserve"> — systems that make split-second driving decisions using real-time sensor data</w:t>
      </w:r>
    </w:p>
    <w:p>
      <w:pPr>
        <w:pStyle w:val="ListParagraph"/>
        <w:numPr>
          <w:ilvl w:val="0"/>
          <w:numId w:val="2"/>
        </w:numPr>
        <w:spacing w:after="40" w:before="40" w:line="300"/>
      </w:pPr>
      <w:r>
        <w:rPr>
          <w:b/>
          <w:bCs/>
          <w:sz w:val="22"/>
          <w:szCs w:val="22"/>
        </w:rPr>
        <w:t xml:space="preserve">Industrial automation</w:t>
      </w:r>
      <w:r>
        <w:rPr>
          <w:sz w:val="22"/>
          <w:szCs w:val="22"/>
        </w:rPr>
        <w:t xml:space="preserve"> — AI-guided manufacturing processes that respond to live equipment data</w:t>
      </w:r>
    </w:p>
    <w:p>
      <w:pPr>
        <w:pStyle w:val="ListParagraph"/>
        <w:numPr>
          <w:ilvl w:val="0"/>
          <w:numId w:val="2"/>
        </w:numPr>
        <w:spacing w:after="40" w:before="40" w:line="300"/>
      </w:pPr>
      <w:r>
        <w:rPr>
          <w:b/>
          <w:bCs/>
          <w:sz w:val="22"/>
          <w:szCs w:val="22"/>
        </w:rPr>
        <w:t xml:space="preserve">Smart appliances and consumer devices</w:t>
      </w:r>
      <w:r>
        <w:rPr>
          <w:sz w:val="22"/>
          <w:szCs w:val="22"/>
        </w:rPr>
        <w:t xml:space="preserve"> — home systems that anticipate and respond to human behavior</w:t>
      </w:r>
    </w:p>
    <w:p>
      <w:pPr>
        <w:spacing w:after="80" w:before="80"/>
      </w:pPr>
      <w:r>
        <w:t xml:space="preserve"/>
      </w:r>
    </w:p>
    <w:p>
      <w:pPr>
        <w:spacing w:after="100" w:before="80" w:line="320"/>
      </w:pPr>
      <w:r>
        <w:rPr>
          <w:sz w:val="22"/>
          <w:szCs w:val="22"/>
        </w:rPr>
        <w:t xml:space="preserve">Unlike digital AI, which can fail and recover with minimal consequence, physical AI operates in environments where errors carry real-world costs. A language model that gives a wrong answer can be corrected in the next message. A robot that misjudges a physical action can break equipment, injure people, or fail a critical production run.</w:t>
      </w:r>
    </w:p>
    <w:p>
      <w:pPr>
        <w:spacing w:after="100" w:before="80" w:line="320"/>
      </w:pPr>
      <w:r>
        <w:rPr>
          <w:sz w:val="22"/>
          <w:szCs w:val="22"/>
        </w:rPr>
        <w:t xml:space="preserve">This higher-stakes environment demands a different class of infrastructure, software, and partnership.</w:t>
      </w:r>
    </w:p>
    <w:p>
      <w:pPr>
        <w:pStyle w:val="Heading2"/>
        <w:spacing w:after="120" w:before="280"/>
      </w:pPr>
      <w:r>
        <w:rPr>
          <w:rFonts w:ascii="Arial" w:cs="Arial" w:eastAsia="Arial" w:hAnsi="Arial"/>
          <w:b/>
          <w:bCs/>
          <w:color w:val="1E3A5F"/>
          <w:sz w:val="28"/>
          <w:szCs w:val="28"/>
        </w:rPr>
        <w:t xml:space="preserve">The Four Areas LG and NVIDIA Are Exploring</w:t>
      </w:r>
    </w:p>
    <w:p>
      <w:pPr>
        <w:pStyle w:val="Heading3"/>
        <w:spacing w:after="80" w:before="200"/>
      </w:pPr>
      <w:r>
        <w:rPr>
          <w:rFonts w:ascii="Arial" w:cs="Arial" w:eastAsia="Arial" w:hAnsi="Arial"/>
          <w:b/>
          <w:bCs/>
          <w:color w:val="2563EB"/>
          <w:sz w:val="24"/>
          <w:szCs w:val="24"/>
        </w:rPr>
        <w:t xml:space="preserve">1. Thermal Management for AI Data Centers</w:t>
      </w:r>
    </w:p>
    <w:p>
      <w:pPr>
        <w:spacing w:after="100" w:before="80" w:line="320"/>
      </w:pPr>
      <w:r>
        <w:rPr>
          <w:sz w:val="22"/>
          <w:szCs w:val="22"/>
        </w:rPr>
        <w:t xml:space="preserve">The AI computing revolution is running into a physical constraint: heat. Dense GPU clusters generate enormous amounts of thermal energy, and traditional air cooling systems are reaching their limits. High-density server installations can face performance throttling — where processors slow down to avoid damage — when cooling infrastructure cannot keep pace.</w:t>
      </w:r>
    </w:p>
    <w:p>
      <w:pPr>
        <w:spacing w:after="100" w:before="80" w:line="320"/>
      </w:pPr>
      <w:r>
        <w:rPr>
          <w:sz w:val="22"/>
          <w:szCs w:val="22"/>
        </w:rPr>
        <w:t xml:space="preserve">LG is positioning itself as a critical supplier of thermal solutions for next-generation AI data centers. The company's existing expertise in HVAC, refrigeration, and heat exchange technology translates directly into high-value infrastructure for the AI buildout. As data centers increasingly deploy NVIDIA's most powerful GPU systems, cooling becomes a competitive differentiator — not just an engineering footnote.</w:t>
      </w:r>
    </w:p>
    <w:p>
      <w:pPr>
        <w:pStyle w:val="Heading3"/>
        <w:spacing w:after="80" w:before="200"/>
      </w:pPr>
      <w:r>
        <w:rPr>
          <w:rFonts w:ascii="Arial" w:cs="Arial" w:eastAsia="Arial" w:hAnsi="Arial"/>
          <w:b/>
          <w:bCs/>
          <w:color w:val="2563EB"/>
          <w:sz w:val="24"/>
          <w:szCs w:val="24"/>
        </w:rPr>
        <w:t xml:space="preserve">2. Robotics and Edge Computing</w:t>
      </w:r>
    </w:p>
    <w:p>
      <w:pPr>
        <w:spacing w:after="100" w:before="80" w:line="320"/>
      </w:pPr>
      <w:r>
        <w:rPr>
          <w:sz w:val="22"/>
          <w:szCs w:val="22"/>
        </w:rPr>
        <w:t xml:space="preserve">LG's CLOiD home robot represents the company's most visible bet on consumer physical AI. The robot is designed to navigate household environments, recognize objects, and interact safely with human occupants.</w:t>
      </w:r>
    </w:p>
    <w:p>
      <w:pPr>
        <w:spacing w:after="100" w:before="80" w:line="320"/>
      </w:pPr>
      <w:r>
        <w:rPr>
          <w:sz w:val="22"/>
          <w:szCs w:val="22"/>
        </w:rPr>
        <w:t xml:space="preserve">The challenge is latency. For a robot to safely manipulate objects in an unstructured home environment, it requires </w:t>
      </w:r>
      <w:r>
        <w:rPr>
          <w:b/>
          <w:bCs/>
          <w:sz w:val="22"/>
          <w:szCs w:val="22"/>
        </w:rPr>
        <w:t xml:space="preserve">zero-latency inference</w:t>
      </w:r>
      <w:r>
        <w:rPr>
          <w:sz w:val="22"/>
          <w:szCs w:val="22"/>
        </w:rPr>
        <w:t xml:space="preserve"> — the ability to process sensor data and make decisions in real time, without the round-trip delay of sending data to a cloud server and waiting for a response.</w:t>
      </w:r>
    </w:p>
    <w:p>
      <w:pPr>
        <w:spacing w:after="100" w:before="80" w:line="320"/>
      </w:pPr>
      <w:r>
        <w:rPr>
          <w:sz w:val="22"/>
          <w:szCs w:val="22"/>
        </w:rPr>
        <w:t xml:space="preserve">This is where NVIDIA's capabilities become essential. NVIDIA's Isaac robotics platform and Omniverse simulation environment allow robots to be trained in detailed virtual replicas of real spaces before deployment. Rather than learning through costly physical trials, robots trained in simulation can arrive at a home or workplace with thousands of hours of virtual experience already embedded in their models.</w:t>
      </w:r>
    </w:p>
    <w:p>
      <w:pPr>
        <w:spacing w:after="100" w:before="80" w:line="320"/>
      </w:pPr>
      <w:r>
        <w:rPr>
          <w:sz w:val="22"/>
          <w:szCs w:val="22"/>
        </w:rPr>
        <w:t xml:space="preserve">LG currently lacks this simulation infrastructure. The partnership discussions suggest LG would leverage NVIDIA's simulation stack to accelerate CLOiD's development and reduce the gap between lab performance and real-world reliability.</w:t>
      </w:r>
    </w:p>
    <w:p>
      <w:pPr>
        <w:pStyle w:val="Heading3"/>
        <w:spacing w:after="80" w:before="200"/>
      </w:pPr>
      <w:r>
        <w:rPr>
          <w:rFonts w:ascii="Arial" w:cs="Arial" w:eastAsia="Arial" w:hAnsi="Arial"/>
          <w:b/>
          <w:bCs/>
          <w:color w:val="2563EB"/>
          <w:sz w:val="24"/>
          <w:szCs w:val="24"/>
        </w:rPr>
        <w:t xml:space="preserve">3. Real-World Training Data</w:t>
      </w:r>
    </w:p>
    <w:p>
      <w:pPr>
        <w:spacing w:after="100" w:before="80" w:line="320"/>
      </w:pPr>
      <w:r>
        <w:rPr>
          <w:sz w:val="22"/>
          <w:szCs w:val="22"/>
        </w:rPr>
        <w:t xml:space="preserve">NVIDIA's recent Siemens factory trial demonstrated impressive capabilities in structured industrial environments — predictable layouts, repeatable tasks, controlled conditions. Consumer homes are fundamentally different. Furniture is rearranged. Children leave toys on floors. Pets move unpredictably. Lighting changes throughout the day.</w:t>
      </w:r>
    </w:p>
    <w:p>
      <w:pPr>
        <w:spacing w:after="100" w:before="80" w:line="320"/>
      </w:pPr>
      <w:r>
        <w:rPr>
          <w:sz w:val="22"/>
          <w:szCs w:val="22"/>
        </w:rPr>
        <w:t xml:space="preserve">Training AI systems to handle this variability requires vast amounts of real-world consumer data — and this is where LG has something NVIDIA needs. LG's </w:t>
      </w:r>
      <w:r>
        <w:rPr>
          <w:b/>
          <w:bCs/>
          <w:sz w:val="22"/>
          <w:szCs w:val="22"/>
        </w:rPr>
        <w:t xml:space="preserve">ThinQ smart home ecosystem</w:t>
      </w:r>
      <w:r>
        <w:rPr>
          <w:sz w:val="22"/>
          <w:szCs w:val="22"/>
        </w:rPr>
        <w:t xml:space="preserve">, deployed in millions of households globally, generates continuous streams of real-world environmental data. Appliance usage patterns, spatial layouts, behavioral routines — this is precisely the kind of training signal that would allow LG and NVIDIA to build consumer robotics systems that perform reliably across the full spectrum of real home environments, not just sterile test labs.</w:t>
      </w:r>
    </w:p>
    <w:p>
      <w:pPr>
        <w:pStyle w:val="Heading3"/>
        <w:spacing w:after="80" w:before="200"/>
      </w:pPr>
      <w:r>
        <w:rPr>
          <w:rFonts w:ascii="Arial" w:cs="Arial" w:eastAsia="Arial" w:hAnsi="Arial"/>
          <w:b/>
          <w:bCs/>
          <w:color w:val="2563EB"/>
          <w:sz w:val="24"/>
          <w:szCs w:val="24"/>
        </w:rPr>
        <w:t xml:space="preserve">4. Automotive Integration</w:t>
      </w:r>
    </w:p>
    <w:p>
      <w:pPr>
        <w:spacing w:after="100" w:before="80" w:line="320"/>
      </w:pPr>
      <w:r>
        <w:rPr>
          <w:sz w:val="22"/>
          <w:szCs w:val="22"/>
        </w:rPr>
        <w:t xml:space="preserve">LG's automotive division is a significant supplier of infotainment systems, EV powertrain components, and in-vehicle displays to major automakers globally. NVIDIA's DRIVE platform handles the autonomous compute layer — the brain that processes sensor data and makes driving decisions.</w:t>
      </w:r>
    </w:p>
    <w:p>
      <w:pPr>
        <w:spacing w:after="100" w:before="80" w:line="320"/>
      </w:pPr>
      <w:r>
        <w:rPr>
          <w:sz w:val="22"/>
          <w:szCs w:val="22"/>
        </w:rPr>
        <w:t xml:space="preserve">The integration opportunity is substantial. Today, the infotainment experience and the autonomous driving system in most vehicles are separate technological stacks built by different companies on different architectures. A LG-NVIDIA collaboration could unify these layers, creating a seamless connection between the vehicle's interior experience and its underlying autonomous compute — a more cohesive product for automakers to build around.</w:t>
      </w:r>
    </w:p>
    <w:p>
      <w:pPr>
        <w:pStyle w:val="Heading2"/>
        <w:spacing w:after="120" w:before="280"/>
      </w:pPr>
      <w:r>
        <w:rPr>
          <w:rFonts w:ascii="Arial" w:cs="Arial" w:eastAsia="Arial" w:hAnsi="Arial"/>
          <w:b/>
          <w:bCs/>
          <w:color w:val="1E3A5F"/>
          <w:sz w:val="28"/>
          <w:szCs w:val="28"/>
        </w:rPr>
        <w:t xml:space="preserve">Why This Matters Beyond LG and NVIDIA</w:t>
      </w:r>
    </w:p>
    <w:p>
      <w:pPr>
        <w:spacing w:after="100" w:before="80" w:line="320"/>
      </w:pPr>
      <w:r>
        <w:rPr>
          <w:sz w:val="22"/>
          <w:szCs w:val="22"/>
        </w:rPr>
        <w:t xml:space="preserve">The significance of these discussions extends well beyond two companies exploring a partnership. They illustrate the </w:t>
      </w:r>
      <w:r>
        <w:rPr>
          <w:b/>
          <w:bCs/>
          <w:sz w:val="22"/>
          <w:szCs w:val="22"/>
        </w:rPr>
        <w:t xml:space="preserve">infrastructure requirements of the physical AI era</w:t>
      </w:r>
      <w:r>
        <w:rPr>
          <w:sz w:val="22"/>
          <w:szCs w:val="22"/>
        </w:rPr>
        <w:t xml:space="preserve"> that no single organization can meet alone.</w:t>
      </w:r>
    </w:p>
    <w:p>
      <w:pPr>
        <w:spacing w:after="100" w:before="80" w:line="320"/>
      </w:pPr>
      <w:r>
        <w:rPr>
          <w:sz w:val="22"/>
          <w:szCs w:val="22"/>
        </w:rPr>
        <w:t xml:space="preserve">Bringing autonomous systems from simulation to real-world deployment requires:</w:t>
      </w:r>
    </w:p>
    <w:p>
      <w:pPr>
        <w:pStyle w:val="ListParagraph"/>
        <w:numPr>
          <w:ilvl w:val="0"/>
          <w:numId w:val="2"/>
        </w:numPr>
        <w:spacing w:after="40" w:before="40" w:line="300"/>
      </w:pPr>
      <w:r>
        <w:rPr>
          <w:sz w:val="22"/>
          <w:szCs w:val="22"/>
        </w:rPr>
        <w:t xml:space="preserve">Thermal engineering at data center scale</w:t>
      </w:r>
    </w:p>
    <w:p>
      <w:pPr>
        <w:pStyle w:val="ListParagraph"/>
        <w:numPr>
          <w:ilvl w:val="0"/>
          <w:numId w:val="2"/>
        </w:numPr>
        <w:spacing w:after="40" w:before="40" w:line="300"/>
      </w:pPr>
      <w:r>
        <w:rPr>
          <w:sz w:val="22"/>
          <w:szCs w:val="22"/>
        </w:rPr>
        <w:t xml:space="preserve">Edge inference hardware capable of zero-latency processing</w:t>
      </w:r>
    </w:p>
    <w:p>
      <w:pPr>
        <w:pStyle w:val="ListParagraph"/>
        <w:numPr>
          <w:ilvl w:val="0"/>
          <w:numId w:val="2"/>
        </w:numPr>
        <w:spacing w:after="40" w:before="40" w:line="300"/>
      </w:pPr>
      <w:r>
        <w:rPr>
          <w:sz w:val="22"/>
          <w:szCs w:val="22"/>
        </w:rPr>
        <w:t xml:space="preserve">Real-world training data collected from deployed consumer products</w:t>
      </w:r>
    </w:p>
    <w:p>
      <w:pPr>
        <w:pStyle w:val="ListParagraph"/>
        <w:numPr>
          <w:ilvl w:val="0"/>
          <w:numId w:val="2"/>
        </w:numPr>
        <w:spacing w:after="40" w:before="40" w:line="300"/>
      </w:pPr>
      <w:r>
        <w:rPr>
          <w:sz w:val="22"/>
          <w:szCs w:val="22"/>
        </w:rPr>
        <w:t xml:space="preserve">Simulation environments sophisticated enough to model physical world variability</w:t>
      </w:r>
    </w:p>
    <w:p>
      <w:pPr>
        <w:pStyle w:val="ListParagraph"/>
        <w:numPr>
          <w:ilvl w:val="0"/>
          <w:numId w:val="2"/>
        </w:numPr>
        <w:spacing w:after="40" w:before="40" w:line="300"/>
      </w:pPr>
      <w:r>
        <w:rPr>
          <w:sz w:val="22"/>
          <w:szCs w:val="22"/>
        </w:rPr>
        <w:t xml:space="preserve">Integration across hardware, software, and connectivity stacks developed by different companies</w:t>
      </w:r>
    </w:p>
    <w:p>
      <w:pPr>
        <w:spacing w:after="80" w:before="80"/>
      </w:pPr>
      <w:r>
        <w:t xml:space="preserve"/>
      </w:r>
    </w:p>
    <w:p>
      <w:pPr>
        <w:spacing w:after="100" w:before="80" w:line="320"/>
      </w:pPr>
      <w:r>
        <w:rPr>
          <w:sz w:val="22"/>
          <w:szCs w:val="22"/>
        </w:rPr>
        <w:t xml:space="preserve">This is a systems-integration challenge as much as it is a technology challenge. The companies that will define physical AI are not necessarily those with the best individual components, but those that assemble the right partnerships across the full stack.</w:t>
      </w:r>
    </w:p>
    <w:p>
      <w:pPr>
        <w:pStyle w:val="Heading2"/>
        <w:spacing w:after="120" w:before="280"/>
      </w:pPr>
      <w:r>
        <w:rPr>
          <w:rFonts w:ascii="Arial" w:cs="Arial" w:eastAsia="Arial" w:hAnsi="Arial"/>
          <w:b/>
          <w:bCs/>
          <w:color w:val="1E3A5F"/>
          <w:sz w:val="28"/>
          <w:szCs w:val="28"/>
        </w:rPr>
        <w:t xml:space="preserve">Key Takeaway</w:t>
      </w:r>
    </w:p>
    <w:p>
      <w:pPr>
        <w:spacing w:after="100" w:before="80" w:line="320"/>
      </w:pPr>
      <w:r>
        <w:rPr>
          <w:sz w:val="22"/>
          <w:szCs w:val="22"/>
        </w:rPr>
        <w:t xml:space="preserve">Physical AI is the next frontier, and the infrastructure requirements are fundamentally different from anything the software-driven AI era required. The LG-NVIDIA discussions are a preview of the alliances, capital requirements, and engineering challenges that will define the next five years of AI development. The question for every industry is not whether physical AI is coming — it's whether your organization will be equipped to operate in a world where it has arrived.</w:t>
      </w:r>
    </w:p>
    <w:p>
      <w:pPr>
        <w:pBdr>
          <w:bottom w:val="single" w:color="BFDBFE" w:sz="4" w:space="6"/>
        </w:pBdr>
        <w:spacing w:after="160" w:before="160"/>
      </w:pPr>
    </w:p>
    <w:p>
      <w:pPr>
        <w:spacing w:after="80" w:before="80"/>
      </w:pPr>
      <w:r>
        <w:rPr>
          <w:b/>
          <w:bCs/>
          <w:color w:val="6B7280"/>
          <w:sz w:val="20"/>
          <w:szCs w:val="20"/>
        </w:rPr>
        <w:t xml:space="preserve">Sources</w:t>
      </w:r>
    </w:p>
    <w:p>
      <w:pPr>
        <w:pStyle w:val="ListParagraph"/>
        <w:numPr>
          <w:ilvl w:val="0"/>
          <w:numId w:val="2"/>
        </w:numPr>
        <w:spacing w:after="30" w:before="30"/>
      </w:pPr>
      <w:r>
        <w:rPr>
          <w:i/>
          <w:iCs/>
          <w:color w:val="6B7280"/>
          <w:sz w:val="18"/>
          <w:szCs w:val="18"/>
        </w:rPr>
        <w:t xml:space="preserve">AI News — "What LG and NVIDIA's Talks Reveal About the Future of Physical AI" (April 30, 2026): </w:t>
      </w:r>
      <w:hyperlink w:history="1" r:id="rIdrzvb8txfevhua4gsqk-zg">
        <w:r>
          <w:rPr>
            <w:rStyle w:val="Hyperlink"/>
            <w:i/>
            <w:iCs/>
            <w:sz w:val="18"/>
            <w:szCs w:val="18"/>
          </w:rPr>
          <w:t xml:space="preserve">https://www.artificialintelligence-news.com/2026/04/30/what-lg-and-nvidias-talks-reveal-about-the-future-of-physical-ai/</w:t>
        </w:r>
      </w:hyperlink>
    </w:p>
    <w:p>
      <w:pPr>
        <w:pStyle w:val="ListParagraph"/>
        <w:numPr>
          <w:ilvl w:val="0"/>
          <w:numId w:val="2"/>
        </w:numPr>
        <w:spacing w:after="30" w:before="30"/>
      </w:pPr>
      <w:r>
        <w:rPr>
          <w:i/>
          <w:iCs/>
          <w:color w:val="6B7280"/>
          <w:sz w:val="18"/>
          <w:szCs w:val="18"/>
        </w:rPr>
        <w:t xml:space="preserve">NVIDIA Omniverse and Isaac Robotics Platform</w:t>
      </w:r>
    </w:p>
    <w:p>
      <w:pPr>
        <w:pStyle w:val="ListParagraph"/>
        <w:numPr>
          <w:ilvl w:val="0"/>
          <w:numId w:val="2"/>
        </w:numPr>
        <w:spacing w:after="30" w:before="30"/>
      </w:pPr>
      <w:r>
        <w:rPr>
          <w:i/>
          <w:iCs/>
          <w:color w:val="6B7280"/>
          <w:sz w:val="18"/>
          <w:szCs w:val="18"/>
        </w:rPr>
        <w:t xml:space="preserve">LG ThinQ ecosystem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11827"/>
      <w:sz w:val="44"/>
      <w:szCs w:val="44"/>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4ucx8qzyclbsrcblgzmi" Type="http://schemas.openxmlformats.org/officeDocument/2006/relationships/hyperlink" Target="https://www.artificialintelligence-news.com/2026/04/30/what-lg-and-nvidias-talks-reveal-about-the-future-of-physical-ai/" TargetMode="External"/><Relationship Id="rIdrzvb8txfevhua4gsqk-zg" Type="http://schemas.openxmlformats.org/officeDocument/2006/relationships/hyperlink" Target="https://www.artificialintelligence-news.com/2026/04/30/what-lg-and-nvidias-talks-reveal-about-the-future-of-physical-ai/"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2026-05-02T12:50:58.812Z</dcterms:created>
  <dcterms:modified xsi:type="dcterms:W3CDTF">2026-05-02T12:50:58.812Z</dcterms:modified>
</cp:coreProperties>
</file>

<file path=docProps/custom.xml><?xml version="1.0" encoding="utf-8"?>
<Properties xmlns="http://schemas.openxmlformats.org/officeDocument/2006/custom-properties" xmlns:vt="http://schemas.openxmlformats.org/officeDocument/2006/docPropsVTypes"/>
</file>