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rFonts w:ascii="Arial" w:cs="Arial" w:eastAsia="Arial" w:hAnsi="Arial"/>
          <w:b/>
          <w:bCs/>
          <w:color w:val="111827"/>
          <w:sz w:val="44"/>
          <w:szCs w:val="44"/>
        </w:rPr>
        <w:t xml:space="preserve">AI Agent Governance: Why Regulators Are Sounding the Alarm</w:t>
      </w:r>
    </w:p>
    <w:p>
      <w:pPr>
        <w:spacing w:after="60" w:before="0"/>
      </w:pPr>
      <w:r>
        <w:rPr>
          <w:i/>
          <w:iCs/>
          <w:color w:val="6B7280"/>
          <w:sz w:val="18"/>
          <w:szCs w:val="18"/>
        </w:rPr>
        <w:t xml:space="preserve">Published: May 2, 2026  |  Category: AI Governance, Regulation &amp; Policy</w:t>
      </w:r>
    </w:p>
    <w:p>
      <w:pPr>
        <w:spacing w:after="160" w:before="0"/>
      </w:pPr>
      <w:r>
        <w:rPr>
          <w:color w:val="6B7280"/>
          <w:sz w:val="18"/>
          <w:szCs w:val="18"/>
        </w:rPr>
        <w:t xml:space="preserve">Reference: </w:t>
      </w:r>
      <w:hyperlink w:history="1" r:id="rIdhzwglppasbwurlahgo-co">
        <w:r>
          <w:rPr>
            <w:rStyle w:val="Hyperlink"/>
            <w:sz w:val="18"/>
            <w:szCs w:val="18"/>
          </w:rPr>
          <w:t xml:space="preserve">https://www.artificialintelligence-news.com/2026/04/30/ai-agent-governance-takes-focus-as-regulators-flag-control-gaps/</w:t>
        </w:r>
      </w:hyperlink>
    </w:p>
    <w:p>
      <w:pPr>
        <w:pBdr>
          <w:bottom w:val="single" w:color="BFDBFE" w:sz="4" w:space="6"/>
        </w:pBdr>
        <w:spacing w:after="160" w:before="160"/>
      </w:pPr>
    </w:p>
    <w:p>
      <w:pPr>
        <w:pStyle w:val="Heading2"/>
        <w:spacing w:after="120" w:before="280"/>
      </w:pPr>
      <w:r>
        <w:rPr>
          <w:rFonts w:ascii="Arial" w:cs="Arial" w:eastAsia="Arial" w:hAnsi="Arial"/>
          <w:b/>
          <w:bCs/>
          <w:color w:val="1E3A5F"/>
          <w:sz w:val="28"/>
          <w:szCs w:val="28"/>
        </w:rPr>
        <w:t xml:space="preserve">Overview</w:t>
      </w:r>
    </w:p>
    <w:p>
      <w:pPr>
        <w:spacing w:after="100" w:before="80" w:line="320"/>
      </w:pPr>
      <w:r>
        <w:rPr>
          <w:sz w:val="22"/>
          <w:szCs w:val="22"/>
        </w:rPr>
        <w:t xml:space="preserve">As businesses rush to deploy autonomous AI agents — software systems that can plan, execute multi-step tasks, and take actions without human approval at each step — regulators are issuing a clear warning: the governance frameworks needed to safely oversee these systems are not keeping pace with the deployment speed.</w:t>
      </w:r>
    </w:p>
    <w:p>
      <w:pPr>
        <w:spacing w:after="100" w:before="80" w:line="320"/>
      </w:pPr>
      <w:r>
        <w:rPr>
          <w:sz w:val="22"/>
          <w:szCs w:val="22"/>
        </w:rPr>
        <w:t xml:space="preserve">Australia's Prudential Regulation Authority (APRA) conducted a targeted review of major regulated financial institutions in late 2025 and found significant and widespread gaps in how organizations are managing AI risk. The findings, released in 2026, are not unique to Australia — they reflect a global pattern that financial regulators, cybersecurity authorities, and enterprise risk professionals are increasingly focused on.</w:t>
      </w:r>
    </w:p>
    <w:p>
      <w:pPr>
        <w:pStyle w:val="Heading2"/>
        <w:spacing w:after="120" w:before="280"/>
      </w:pPr>
      <w:r>
        <w:rPr>
          <w:rFonts w:ascii="Arial" w:cs="Arial" w:eastAsia="Arial" w:hAnsi="Arial"/>
          <w:b/>
          <w:bCs/>
          <w:color w:val="1E3A5F"/>
          <w:sz w:val="28"/>
          <w:szCs w:val="28"/>
        </w:rPr>
        <w:t xml:space="preserve">What APRA Found</w:t>
      </w:r>
    </w:p>
    <w:p>
      <w:pPr>
        <w:spacing w:after="100" w:before="80" w:line="320"/>
      </w:pPr>
      <w:r>
        <w:rPr>
          <w:sz w:val="22"/>
          <w:szCs w:val="22"/>
        </w:rPr>
        <w:t xml:space="preserve">APRA's review targeted some of Australia's largest regulated entities — banks, insurers, and superannuation funds — and assessed how they are managing the risks of AI systems embedded in their operations. The findings were direct.</w:t>
      </w:r>
    </w:p>
    <w:p>
      <w:pPr>
        <w:pStyle w:val="Heading3"/>
        <w:spacing w:after="80" w:before="200"/>
      </w:pPr>
      <w:r>
        <w:rPr>
          <w:rFonts w:ascii="Arial" w:cs="Arial" w:eastAsia="Arial" w:hAnsi="Arial"/>
          <w:b/>
          <w:bCs/>
          <w:color w:val="2563EB"/>
          <w:sz w:val="24"/>
          <w:szCs w:val="24"/>
        </w:rPr>
        <w:t xml:space="preserve">Boards Are Relying on Vendor Materials</w:t>
      </w:r>
    </w:p>
    <w:p>
      <w:pPr>
        <w:spacing w:after="100" w:before="80" w:line="320"/>
      </w:pPr>
      <w:r>
        <w:rPr>
          <w:sz w:val="22"/>
          <w:szCs w:val="22"/>
        </w:rPr>
        <w:t xml:space="preserve">Many institutions' boards and risk committees are making AI governance decisions based primarily on documentation provided by AI vendors, rather than conducting independent risk assessments. This creates a fundamental oversight problem: the organizations responsible for governing AI risk are evaluating that risk using materials produced by the parties selling the AI systems.</w:t>
      </w:r>
    </w:p>
    <w:p>
      <w:pPr>
        <w:spacing w:after="100" w:before="80" w:line="320"/>
      </w:pPr>
      <w:r>
        <w:rPr>
          <w:sz w:val="22"/>
          <w:szCs w:val="22"/>
        </w:rPr>
        <w:t xml:space="preserve">This is not a minor procedural issue. It means that risk appetite decisions — how much AI autonomy is acceptable, what failure modes are tolerable, what contingency plans are in place — are being shaped by commercial documentation rather than independent analysis.</w:t>
      </w:r>
    </w:p>
    <w:p>
      <w:pPr>
        <w:pStyle w:val="Heading3"/>
        <w:spacing w:after="80" w:before="200"/>
      </w:pPr>
      <w:r>
        <w:rPr>
          <w:rFonts w:ascii="Arial" w:cs="Arial" w:eastAsia="Arial" w:hAnsi="Arial"/>
          <w:b/>
          <w:bCs/>
          <w:color w:val="2563EB"/>
          <w:sz w:val="24"/>
          <w:szCs w:val="24"/>
        </w:rPr>
        <w:t xml:space="preserve">No Mature Approach to Model Behavior Monitoring</w:t>
      </w:r>
    </w:p>
    <w:p>
      <w:pPr>
        <w:spacing w:after="100" w:before="80" w:line="320"/>
      </w:pPr>
      <w:r>
        <w:rPr>
          <w:sz w:val="22"/>
          <w:szCs w:val="22"/>
        </w:rPr>
        <w:t xml:space="preserve">APRA found that most institutions lack robust procedures for monitoring unpredictable model behavior. AI systems, particularly large language models and agentic AI, can behave unexpectedly in edge cases — generating outputs or taking actions that fall outside their intended operating parameters.</w:t>
      </w:r>
    </w:p>
    <w:p>
      <w:pPr>
        <w:spacing w:after="100" w:before="80" w:line="320"/>
      </w:pPr>
      <w:r>
        <w:rPr>
          <w:sz w:val="22"/>
          <w:szCs w:val="22"/>
        </w:rPr>
        <w:t xml:space="preserve">Without systematic monitoring, organizations may not detect problematic AI behavior until it has already affected customers, transactions, or regulatory outcomes. The review found that many institutions had no defined escalation path for AI-related failures in critical operations.</w:t>
      </w:r>
    </w:p>
    <w:p>
      <w:pPr>
        <w:pStyle w:val="Heading3"/>
        <w:spacing w:after="80" w:before="200"/>
      </w:pPr>
      <w:r>
        <w:rPr>
          <w:rFonts w:ascii="Arial" w:cs="Arial" w:eastAsia="Arial" w:hAnsi="Arial"/>
          <w:b/>
          <w:bCs/>
          <w:color w:val="2563EB"/>
          <w:sz w:val="24"/>
          <w:szCs w:val="24"/>
        </w:rPr>
        <w:t xml:space="preserve">Cybersecurity Has Not Adapted to AI Agents</w:t>
      </w:r>
    </w:p>
    <w:p>
      <w:pPr>
        <w:spacing w:after="100" w:before="80" w:line="320"/>
      </w:pPr>
      <w:r>
        <w:rPr>
          <w:sz w:val="22"/>
          <w:szCs w:val="22"/>
        </w:rPr>
        <w:t xml:space="preserve">Traditional cybersecurity frameworks are designed around human users and conventional software. AI agents introduce new attack surfaces that existing frameworks do not adequately address.</w:t>
      </w:r>
    </w:p>
    <w:p>
      <w:pPr>
        <w:spacing w:after="100" w:before="80" w:line="320"/>
      </w:pPr>
      <w:r>
        <w:rPr>
          <w:sz w:val="22"/>
          <w:szCs w:val="22"/>
        </w:rPr>
        <w:t xml:space="preserve">The specific vulnerabilities APRA flagged include:</w:t>
      </w:r>
    </w:p>
    <w:p>
      <w:pPr>
        <w:pStyle w:val="ListParagraph"/>
        <w:numPr>
          <w:ilvl w:val="0"/>
          <w:numId w:val="2"/>
        </w:numPr>
        <w:spacing w:after="40" w:before="40" w:line="300"/>
      </w:pPr>
      <w:r>
        <w:rPr>
          <w:b/>
          <w:bCs/>
          <w:sz w:val="22"/>
          <w:szCs w:val="22"/>
        </w:rPr>
        <w:t xml:space="preserve">Prompt injection attacks</w:t>
      </w:r>
      <w:r>
        <w:rPr>
          <w:sz w:val="22"/>
          <w:szCs w:val="22"/>
        </w:rPr>
        <w:t xml:space="preserve"> — where malicious input is crafted to manipulate an AI agent into taking unauthorized actions</w:t>
      </w:r>
    </w:p>
    <w:p>
      <w:pPr>
        <w:pStyle w:val="ListParagraph"/>
        <w:numPr>
          <w:ilvl w:val="0"/>
          <w:numId w:val="2"/>
        </w:numPr>
        <w:spacing w:after="40" w:before="40" w:line="300"/>
      </w:pPr>
      <w:r>
        <w:rPr>
          <w:b/>
          <w:bCs/>
          <w:sz w:val="22"/>
          <w:szCs w:val="22"/>
        </w:rPr>
        <w:t xml:space="preserve">Insecure integrations</w:t>
      </w:r>
      <w:r>
        <w:rPr>
          <w:sz w:val="22"/>
          <w:szCs w:val="22"/>
        </w:rPr>
        <w:t xml:space="preserve"> — where AI systems are connected to sensitive data sources or operational systems without adequate access controls</w:t>
      </w:r>
    </w:p>
    <w:p>
      <w:pPr>
        <w:pStyle w:val="ListParagraph"/>
        <w:numPr>
          <w:ilvl w:val="0"/>
          <w:numId w:val="2"/>
        </w:numPr>
        <w:spacing w:after="40" w:before="40" w:line="300"/>
      </w:pPr>
      <w:r>
        <w:rPr>
          <w:b/>
          <w:bCs/>
          <w:sz w:val="22"/>
          <w:szCs w:val="22"/>
        </w:rPr>
        <w:t xml:space="preserve">Identity and access management</w:t>
      </w:r>
      <w:r>
        <w:rPr>
          <w:sz w:val="22"/>
          <w:szCs w:val="22"/>
        </w:rPr>
        <w:t xml:space="preserve"> — most organizations have not updated their IAM frameworks to account for AI agents as non-human actors operating within enterprise systems</w:t>
      </w:r>
    </w:p>
    <w:p>
      <w:pPr>
        <w:spacing w:after="80" w:before="80"/>
      </w:pPr>
      <w:r>
        <w:t xml:space="preserve"/>
      </w:r>
    </w:p>
    <w:p>
      <w:pPr>
        <w:spacing w:after="100" w:before="80" w:line="320"/>
      </w:pPr>
      <w:r>
        <w:rPr>
          <w:sz w:val="22"/>
          <w:szCs w:val="22"/>
        </w:rPr>
        <w:t xml:space="preserve">An AI agent that can read email, query databases, execute code, and send communications needs the same (or more rigorous) access controls as a human employee with equivalent permissions. Most organizations are not applying this principle.</w:t>
      </w:r>
    </w:p>
    <w:p>
      <w:pPr>
        <w:pStyle w:val="Heading3"/>
        <w:spacing w:after="80" w:before="200"/>
      </w:pPr>
      <w:r>
        <w:rPr>
          <w:rFonts w:ascii="Arial" w:cs="Arial" w:eastAsia="Arial" w:hAnsi="Arial"/>
          <w:b/>
          <w:bCs/>
          <w:color w:val="2563EB"/>
          <w:sz w:val="24"/>
          <w:szCs w:val="24"/>
        </w:rPr>
        <w:t xml:space="preserve">Single-Vendor Dependency Without Exit Strategies</w:t>
      </w:r>
    </w:p>
    <w:p>
      <w:pPr>
        <w:spacing w:after="100" w:before="80" w:line="320"/>
      </w:pPr>
      <w:r>
        <w:rPr>
          <w:sz w:val="22"/>
          <w:szCs w:val="22"/>
        </w:rPr>
        <w:t xml:space="preserve">APRA found that some institutions have deployed multiple AI systems from the same vendor across different functions — creating significant concentration risk. If that vendor experiences an outage, a security breach, or a service discontinuation, multiple critical operations could be affected simultaneously.</w:t>
      </w:r>
    </w:p>
    <w:p>
      <w:pPr>
        <w:spacing w:after="100" w:before="80" w:line="320"/>
      </w:pPr>
      <w:r>
        <w:rPr>
          <w:sz w:val="22"/>
          <w:szCs w:val="22"/>
        </w:rPr>
        <w:t xml:space="preserve">More concerning: many of these institutions have no documented exit strategy or contingency plan for AI vendor dependency. In a sector where operational resilience is a regulatory requirement, this represents a material compliance gap.</w:t>
      </w:r>
    </w:p>
    <w:p>
      <w:pPr>
        <w:pStyle w:val="Heading2"/>
        <w:spacing w:after="120" w:before="280"/>
      </w:pPr>
      <w:r>
        <w:rPr>
          <w:rFonts w:ascii="Arial" w:cs="Arial" w:eastAsia="Arial" w:hAnsi="Arial"/>
          <w:b/>
          <w:bCs/>
          <w:color w:val="1E3A5F"/>
          <w:sz w:val="28"/>
          <w:szCs w:val="28"/>
        </w:rPr>
        <w:t xml:space="preserve">APRA's Recommendations</w:t>
      </w:r>
    </w:p>
    <w:p>
      <w:pPr>
        <w:spacing w:after="100" w:before="80" w:line="320"/>
      </w:pPr>
      <w:r>
        <w:rPr>
          <w:sz w:val="22"/>
          <w:szCs w:val="22"/>
        </w:rPr>
        <w:t xml:space="preserve">The regulator issued clear guidance for institutions to address these gaps:</w:t>
      </w:r>
    </w:p>
    <w:p>
      <w:pPr>
        <w:pStyle w:val="ListParagraph"/>
        <w:numPr>
          <w:ilvl w:val="0"/>
          <w:numId w:val="3"/>
        </w:numPr>
        <w:spacing w:after="40" w:before="40" w:line="300"/>
      </w:pPr>
      <w:r>
        <w:rPr>
          <w:b/>
          <w:bCs/>
          <w:sz w:val="22"/>
          <w:szCs w:val="22"/>
        </w:rPr>
        <w:t xml:space="preserve">Develop a comprehensive AI strategy</w:t>
      </w:r>
      <w:r>
        <w:rPr>
          <w:sz w:val="22"/>
          <w:szCs w:val="22"/>
        </w:rPr>
        <w:t xml:space="preserve"> aligned with the organization's risk appetite — not a vendor's product roadmap</w:t>
      </w:r>
    </w:p>
    <w:p>
      <w:pPr>
        <w:pStyle w:val="ListParagraph"/>
        <w:numPr>
          <w:ilvl w:val="0"/>
          <w:numId w:val="3"/>
        </w:numPr>
        <w:spacing w:after="40" w:before="40" w:line="300"/>
      </w:pPr>
      <w:r>
        <w:rPr>
          <w:b/>
          <w:bCs/>
          <w:sz w:val="22"/>
          <w:szCs w:val="22"/>
        </w:rPr>
        <w:t xml:space="preserve">Build an AI inventory</w:t>
      </w:r>
      <w:r>
        <w:rPr>
          <w:sz w:val="22"/>
          <w:szCs w:val="22"/>
        </w:rPr>
        <w:t xml:space="preserve"> with designated ownership for each AI system, including documentation of what data it accesses, what actions it can take, and who is accountable for its behavior</w:t>
      </w:r>
    </w:p>
    <w:p>
      <w:pPr>
        <w:pStyle w:val="ListParagraph"/>
        <w:numPr>
          <w:ilvl w:val="0"/>
          <w:numId w:val="3"/>
        </w:numPr>
        <w:spacing w:after="40" w:before="40" w:line="300"/>
      </w:pPr>
      <w:r>
        <w:rPr>
          <w:b/>
          <w:bCs/>
          <w:sz w:val="22"/>
          <w:szCs w:val="22"/>
        </w:rPr>
        <w:t xml:space="preserve">Implement controls on autonomous workflows</w:t>
      </w:r>
      <w:r>
        <w:rPr>
          <w:sz w:val="22"/>
          <w:szCs w:val="22"/>
        </w:rPr>
        <w:t xml:space="preserve">, specifically including privileged access management for AI agents operating in sensitive systems</w:t>
      </w:r>
    </w:p>
    <w:p>
      <w:pPr>
        <w:pStyle w:val="ListParagraph"/>
        <w:numPr>
          <w:ilvl w:val="0"/>
          <w:numId w:val="3"/>
        </w:numPr>
        <w:spacing w:after="40" w:before="40" w:line="300"/>
      </w:pPr>
      <w:r>
        <w:rPr>
          <w:b/>
          <w:bCs/>
          <w:sz w:val="22"/>
          <w:szCs w:val="22"/>
        </w:rPr>
        <w:t xml:space="preserve">Maintain human involvement</w:t>
      </w:r>
      <w:r>
        <w:rPr>
          <w:sz w:val="22"/>
          <w:szCs w:val="22"/>
        </w:rPr>
        <w:t xml:space="preserve"> in high-risk decisions, with clearly defined thresholds for when AI recommendations must be reviewed by a human before action is taken</w:t>
      </w:r>
    </w:p>
    <w:p>
      <w:pPr>
        <w:pStyle w:val="ListParagraph"/>
        <w:numPr>
          <w:ilvl w:val="0"/>
          <w:numId w:val="3"/>
        </w:numPr>
        <w:spacing w:after="40" w:before="40" w:line="300"/>
      </w:pPr>
      <w:r>
        <w:rPr>
          <w:b/>
          <w:bCs/>
          <w:sz w:val="22"/>
          <w:szCs w:val="22"/>
        </w:rPr>
        <w:t xml:space="preserve">Apply security testing protocols</w:t>
      </w:r>
      <w:r>
        <w:rPr>
          <w:sz w:val="22"/>
          <w:szCs w:val="22"/>
        </w:rPr>
        <w:t xml:space="preserve"> to AI-generated code before deployment — treating AI code output with the same scrutiny as code written by an external contractor</w:t>
      </w:r>
    </w:p>
    <w:p>
      <w:pPr>
        <w:pStyle w:val="Heading2"/>
        <w:spacing w:after="120" w:before="280"/>
      </w:pPr>
      <w:r>
        <w:rPr>
          <w:rFonts w:ascii="Arial" w:cs="Arial" w:eastAsia="Arial" w:hAnsi="Arial"/>
          <w:b/>
          <w:bCs/>
          <w:color w:val="1E3A5F"/>
          <w:sz w:val="28"/>
          <w:szCs w:val="28"/>
        </w:rPr>
        <w:t xml:space="preserve">The Authentication Problem: FIDO Alliance Response</w:t>
      </w:r>
    </w:p>
    <w:p>
      <w:pPr>
        <w:spacing w:after="100" w:before="80" w:line="320"/>
      </w:pPr>
      <w:r>
        <w:rPr>
          <w:sz w:val="22"/>
          <w:szCs w:val="22"/>
        </w:rPr>
        <w:t xml:space="preserve">Recognizing that AI agents are increasingly initiating transactions, accessing services, and acting on behalf of users, the FIDO Alliance has established a new </w:t>
      </w:r>
      <w:r>
        <w:rPr>
          <w:b/>
          <w:bCs/>
          <w:sz w:val="22"/>
          <w:szCs w:val="22"/>
        </w:rPr>
        <w:t xml:space="preserve">Agentic Authentication Technical Working Group</w:t>
      </w:r>
      <w:r>
        <w:rPr>
          <w:sz w:val="22"/>
          <w:szCs w:val="22"/>
        </w:rPr>
        <w:t xml:space="preserve">.</w:t>
      </w:r>
    </w:p>
    <w:p>
      <w:pPr>
        <w:spacing w:after="100" w:before="80" w:line="320"/>
      </w:pPr>
      <w:r>
        <w:rPr>
          <w:sz w:val="22"/>
          <w:szCs w:val="22"/>
        </w:rPr>
        <w:t xml:space="preserve">The group's mandate is to develop specifications for agent-initiated commerce and authentication — addressing a gap that standard identity frameworks do not currently cover: how do you verify that an AI agent acting on behalf of a user is actually authorized to take a specific action, in a specific context, at a specific time?</w:t>
      </w:r>
    </w:p>
    <w:p>
      <w:pPr>
        <w:spacing w:after="100" w:before="80" w:line="320"/>
      </w:pPr>
      <w:r>
        <w:rPr>
          <w:sz w:val="22"/>
          <w:szCs w:val="22"/>
        </w:rPr>
        <w:t xml:space="preserve">This is not a theoretical problem. As AI agents gain the ability to make purchases, book services, transfer data, and execute contracts, the authentication standards that govern these actions need to be rebuilt for a world where the "user" is often software, not a person.</w:t>
      </w:r>
    </w:p>
    <w:p>
      <w:pPr>
        <w:pStyle w:val="Heading2"/>
        <w:spacing w:after="120" w:before="280"/>
      </w:pPr>
      <w:r>
        <w:rPr>
          <w:rFonts w:ascii="Arial" w:cs="Arial" w:eastAsia="Arial" w:hAnsi="Arial"/>
          <w:b/>
          <w:bCs/>
          <w:color w:val="1E3A5F"/>
          <w:sz w:val="28"/>
          <w:szCs w:val="28"/>
        </w:rPr>
        <w:t xml:space="preserve">The Enterprise Perspective: SAP and IBM Weigh In</w:t>
      </w:r>
    </w:p>
    <w:p>
      <w:pPr>
        <w:spacing w:after="100" w:before="80" w:line="320"/>
      </w:pPr>
      <w:r>
        <w:rPr>
          <w:sz w:val="22"/>
          <w:szCs w:val="22"/>
        </w:rPr>
        <w:t xml:space="preserve">Two major enterprise technology providers addressed AI governance in the same week, framing it not as a compliance burden but as a business value driver.</w:t>
      </w:r>
    </w:p>
    <w:p>
      <w:pPr>
        <w:spacing w:after="100" w:before="80" w:line="320"/>
      </w:pPr>
      <w:r>
        <w:rPr>
          <w:b/>
          <w:bCs/>
          <w:sz w:val="22"/>
          <w:szCs w:val="22"/>
        </w:rPr>
        <w:t xml:space="preserve">SAP</w:t>
      </w:r>
      <w:r>
        <w:rPr>
          <w:sz w:val="22"/>
          <w:szCs w:val="22"/>
        </w:rPr>
        <w:t xml:space="preserve"> argued that enterprise AI governance "replaces statistical guesses with deterministic control" — the idea being that properly governed AI systems produce predictable, auditable outcomes that protect profit margins, whereas ungoverned AI introduces variance and liability.</w:t>
      </w:r>
    </w:p>
    <w:p>
      <w:pPr>
        <w:spacing w:after="100" w:before="80" w:line="320"/>
      </w:pPr>
      <w:r>
        <w:rPr>
          <w:b/>
          <w:bCs/>
          <w:sz w:val="22"/>
          <w:szCs w:val="22"/>
        </w:rPr>
        <w:t xml:space="preserve">IBM</w:t>
      </w:r>
      <w:r>
        <w:rPr>
          <w:sz w:val="22"/>
          <w:szCs w:val="22"/>
        </w:rPr>
        <w:t xml:space="preserve">, through its newly launched Bob platform, built governance directly into the product architecture. Bob enforces policy at the point of code generation, scanning for sensitive data, applying prompt normalization, and creating full audit trails of AI-assisted development decisions. IBM's position: governance is not a layer you add to AI systems after deployment — it must be embedded in the workflow from the start.</w:t>
      </w:r>
    </w:p>
    <w:p>
      <w:pPr>
        <w:spacing w:after="100" w:before="80" w:line="320"/>
      </w:pPr>
      <w:r>
        <w:rPr>
          <w:sz w:val="22"/>
          <w:szCs w:val="22"/>
        </w:rPr>
        <w:t xml:space="preserve">Both perspectives converge on the same conclusion: AI governance is not optional for organizations that plan to use AI at scale. It is the mechanism that makes AI reliable enough to trust with consequential decisions.</w:t>
      </w:r>
    </w:p>
    <w:p>
      <w:pPr>
        <w:pStyle w:val="Heading2"/>
        <w:spacing w:after="120" w:before="280"/>
      </w:pPr>
      <w:r>
        <w:rPr>
          <w:rFonts w:ascii="Arial" w:cs="Arial" w:eastAsia="Arial" w:hAnsi="Arial"/>
          <w:b/>
          <w:bCs/>
          <w:color w:val="1E3A5F"/>
          <w:sz w:val="28"/>
          <w:szCs w:val="28"/>
        </w:rPr>
        <w:t xml:space="preserve">What This Means for Your Organization</w:t>
      </w:r>
    </w:p>
    <w:p>
      <w:pPr>
        <w:spacing w:after="100" w:before="80" w:line="320"/>
      </w:pPr>
      <w:r>
        <w:rPr>
          <w:sz w:val="22"/>
          <w:szCs w:val="22"/>
        </w:rPr>
        <w:t xml:space="preserve">Whether or not your industry is regulated by APRA or equivalent bodies, the governance gaps identified apply broadly across every sector deploying agentic AI:</w:t>
      </w:r>
    </w:p>
    <w:p>
      <w:pPr>
        <w:pStyle w:val="ListParagraph"/>
        <w:numPr>
          <w:ilvl w:val="0"/>
          <w:numId w:val="2"/>
        </w:numPr>
        <w:spacing w:after="40" w:before="40" w:line="300"/>
      </w:pPr>
      <w:r>
        <w:rPr>
          <w:b/>
          <w:bCs/>
          <w:sz w:val="22"/>
          <w:szCs w:val="22"/>
        </w:rPr>
        <w:t xml:space="preserve">Who owns each AI system</w:t>
      </w:r>
      <w:r>
        <w:rPr>
          <w:sz w:val="22"/>
          <w:szCs w:val="22"/>
        </w:rPr>
        <w:t xml:space="preserve"> in your organization, and who is accountable when it behaves unexpectedly?</w:t>
      </w:r>
    </w:p>
    <w:p>
      <w:pPr>
        <w:pStyle w:val="ListParagraph"/>
        <w:numPr>
          <w:ilvl w:val="0"/>
          <w:numId w:val="2"/>
        </w:numPr>
        <w:spacing w:after="40" w:before="40" w:line="300"/>
      </w:pPr>
      <w:r>
        <w:rPr>
          <w:b/>
          <w:bCs/>
          <w:sz w:val="22"/>
          <w:szCs w:val="22"/>
        </w:rPr>
        <w:t xml:space="preserve">What can your AI agents access?</w:t>
      </w:r>
      <w:r>
        <w:rPr>
          <w:sz w:val="22"/>
          <w:szCs w:val="22"/>
        </w:rPr>
        <w:t xml:space="preserve"> Are access permissions defined by what the agent needs, or by what was easiest to configure?</w:t>
      </w:r>
    </w:p>
    <w:p>
      <w:pPr>
        <w:pStyle w:val="ListParagraph"/>
        <w:numPr>
          <w:ilvl w:val="0"/>
          <w:numId w:val="2"/>
        </w:numPr>
        <w:spacing w:after="40" w:before="40" w:line="300"/>
      </w:pPr>
      <w:r>
        <w:rPr>
          <w:b/>
          <w:bCs/>
          <w:sz w:val="22"/>
          <w:szCs w:val="22"/>
        </w:rPr>
        <w:t xml:space="preserve">What happens if your primary AI vendor has an outage?</w:t>
      </w:r>
      <w:r>
        <w:rPr>
          <w:sz w:val="22"/>
          <w:szCs w:val="22"/>
        </w:rPr>
        <w:t xml:space="preserve"> Do you have contingency plans, or is your operation fully dependent on a single provider?</w:t>
      </w:r>
    </w:p>
    <w:p>
      <w:pPr>
        <w:pStyle w:val="ListParagraph"/>
        <w:numPr>
          <w:ilvl w:val="0"/>
          <w:numId w:val="2"/>
        </w:numPr>
        <w:spacing w:after="40" w:before="40" w:line="300"/>
      </w:pPr>
      <w:r>
        <w:rPr>
          <w:b/>
          <w:bCs/>
          <w:sz w:val="22"/>
          <w:szCs w:val="22"/>
        </w:rPr>
        <w:t xml:space="preserve">Are you monitoring model behavior in production?</w:t>
      </w:r>
      <w:r>
        <w:rPr>
          <w:sz w:val="22"/>
          <w:szCs w:val="22"/>
        </w:rPr>
        <w:t xml:space="preserve"> Not just performance metrics — but outputs and actions that fall outside expected parameters?</w:t>
      </w:r>
    </w:p>
    <w:p>
      <w:pPr>
        <w:spacing w:after="80" w:before="80"/>
      </w:pPr>
      <w:r>
        <w:t xml:space="preserve"/>
      </w:r>
    </w:p>
    <w:p>
      <w:pPr>
        <w:spacing w:after="100" w:before="80" w:line="320"/>
      </w:pPr>
      <w:r>
        <w:rPr>
          <w:sz w:val="22"/>
          <w:szCs w:val="22"/>
        </w:rPr>
        <w:t xml:space="preserve">Organizations that build answers to these questions now — before an incident forces the conversation — will be better positioned as regulatory scrutiny intensifies and agentic AI becomes a core operational dependency.</w:t>
      </w:r>
    </w:p>
    <w:p>
      <w:pPr>
        <w:pStyle w:val="Heading2"/>
        <w:spacing w:after="120" w:before="280"/>
      </w:pPr>
      <w:r>
        <w:rPr>
          <w:rFonts w:ascii="Arial" w:cs="Arial" w:eastAsia="Arial" w:hAnsi="Arial"/>
          <w:b/>
          <w:bCs/>
          <w:color w:val="1E3A5F"/>
          <w:sz w:val="28"/>
          <w:szCs w:val="28"/>
        </w:rPr>
        <w:t xml:space="preserve">Key Takeaway</w:t>
      </w:r>
    </w:p>
    <w:p>
      <w:pPr>
        <w:spacing w:after="100" w:before="80" w:line="320"/>
      </w:pPr>
      <w:r>
        <w:rPr>
          <w:sz w:val="22"/>
          <w:szCs w:val="22"/>
        </w:rPr>
        <w:t xml:space="preserve">Agentic AI is being deployed faster than the governance frameworks needed to oversee it are being built. Regulators are flagging this explicitly. The organizations that treat AI governance as a core business capability — not an afterthought — will reduce liability, improve operational resilience, and build the institutional trust needed to scale AI systems responsibly.</w:t>
      </w:r>
    </w:p>
    <w:p>
      <w:pPr>
        <w:pBdr>
          <w:bottom w:val="single" w:color="BFDBFE" w:sz="4" w:space="6"/>
        </w:pBdr>
        <w:spacing w:after="160" w:before="160"/>
      </w:pPr>
    </w:p>
    <w:p>
      <w:pPr>
        <w:spacing w:after="80" w:before="80"/>
      </w:pPr>
      <w:r>
        <w:rPr>
          <w:b/>
          <w:bCs/>
          <w:color w:val="6B7280"/>
          <w:sz w:val="20"/>
          <w:szCs w:val="20"/>
        </w:rPr>
        <w:t xml:space="preserve">Sources</w:t>
      </w:r>
    </w:p>
    <w:p>
      <w:pPr>
        <w:pStyle w:val="ListParagraph"/>
        <w:numPr>
          <w:ilvl w:val="0"/>
          <w:numId w:val="2"/>
        </w:numPr>
        <w:spacing w:after="30" w:before="30"/>
      </w:pPr>
      <w:r>
        <w:rPr>
          <w:i/>
          <w:iCs/>
          <w:color w:val="6B7280"/>
          <w:sz w:val="18"/>
          <w:szCs w:val="18"/>
        </w:rPr>
        <w:t xml:space="preserve">AI News — "AI Agent Governance Takes Focus as Regulators Flag Control Gaps" (April 30, 2026): </w:t>
      </w:r>
      <w:hyperlink w:history="1" r:id="rId4mg9koeiiast5vbyh85p_">
        <w:r>
          <w:rPr>
            <w:rStyle w:val="Hyperlink"/>
            <w:i/>
            <w:iCs/>
            <w:sz w:val="18"/>
            <w:szCs w:val="18"/>
          </w:rPr>
          <w:t xml:space="preserve">https://www.artificialintelligence-news.com/2026/04/30/ai-agent-governance-takes-focus-as-regulators-flag-control-gaps/</w:t>
        </w:r>
      </w:hyperlink>
    </w:p>
    <w:p>
      <w:pPr>
        <w:pStyle w:val="ListParagraph"/>
        <w:numPr>
          <w:ilvl w:val="0"/>
          <w:numId w:val="2"/>
        </w:numPr>
        <w:spacing w:after="30" w:before="30"/>
      </w:pPr>
      <w:r>
        <w:rPr>
          <w:i/>
          <w:iCs/>
          <w:color w:val="6B7280"/>
          <w:sz w:val="18"/>
          <w:szCs w:val="18"/>
        </w:rPr>
        <w:t xml:space="preserve">Australia Prudential Regulation Authority (APRA): </w:t>
      </w:r>
      <w:hyperlink w:history="1" r:id="rIdzi7wzzixfwbgzt2iryr0j">
        <w:r>
          <w:rPr>
            <w:rStyle w:val="Hyperlink"/>
            <w:i/>
            <w:iCs/>
            <w:sz w:val="18"/>
            <w:szCs w:val="18"/>
          </w:rPr>
          <w:t xml:space="preserve">https://www.apra.gov.au</w:t>
        </w:r>
      </w:hyperlink>
    </w:p>
    <w:p>
      <w:pPr>
        <w:pStyle w:val="ListParagraph"/>
        <w:numPr>
          <w:ilvl w:val="0"/>
          <w:numId w:val="2"/>
        </w:numPr>
        <w:spacing w:after="30" w:before="30"/>
      </w:pPr>
      <w:r>
        <w:rPr>
          <w:i/>
          <w:iCs/>
          <w:color w:val="6B7280"/>
          <w:sz w:val="18"/>
          <w:szCs w:val="18"/>
        </w:rPr>
        <w:t xml:space="preserve">FIDO Alliance — Agentic Authentication Technical Working Group: </w:t>
      </w:r>
      <w:hyperlink w:history="1" r:id="rIderbd9uw725v04pypdkxpg">
        <w:r>
          <w:rPr>
            <w:rStyle w:val="Hyperlink"/>
            <w:i/>
            <w:iCs/>
            <w:sz w:val="18"/>
            <w:szCs w:val="18"/>
          </w:rPr>
          <w:t xml:space="preserve">https://fidoalliance.org</w:t>
        </w:r>
      </w:hyperlink>
    </w:p>
    <w:p>
      <w:pPr>
        <w:pStyle w:val="ListParagraph"/>
        <w:numPr>
          <w:ilvl w:val="0"/>
          <w:numId w:val="2"/>
        </w:numPr>
        <w:spacing w:after="30" w:before="30"/>
      </w:pPr>
      <w:r>
        <w:rPr>
          <w:i/>
          <w:iCs/>
          <w:color w:val="6B7280"/>
          <w:sz w:val="18"/>
          <w:szCs w:val="18"/>
        </w:rPr>
        <w:t xml:space="preserve">AI News — "IBM Launches AI Platform Bob to Regulate SDLC Costs" (April 28, 2026): </w:t>
      </w:r>
      <w:hyperlink w:history="1" r:id="rIdrosjhl-d-lpfy9rdhacoa">
        <w:r>
          <w:rPr>
            <w:rStyle w:val="Hyperlink"/>
            <w:i/>
            <w:iCs/>
            <w:sz w:val="18"/>
            <w:szCs w:val="18"/>
          </w:rPr>
          <w:t xml:space="preserve">https://www.artificialintelligence-news.com/2026/04/28/ibm-launches-ai-platform-bob-to-regulate-sdlc-costs/</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827"/>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wglppasbwurlahgo-co" Type="http://schemas.openxmlformats.org/officeDocument/2006/relationships/hyperlink" Target="https://www.artificialintelligence-news.com/2026/04/30/ai-agent-governance-takes-focus-as-regulators-flag-control-gaps/" TargetMode="External"/><Relationship Id="rId4mg9koeiiast5vbyh85p_" Type="http://schemas.openxmlformats.org/officeDocument/2006/relationships/hyperlink" Target="https://www.artificialintelligence-news.com/2026/04/30/ai-agent-governance-takes-focus-as-regulators-flag-control-gaps/" TargetMode="External"/><Relationship Id="rIdzi7wzzixfwbgzt2iryr0j" Type="http://schemas.openxmlformats.org/officeDocument/2006/relationships/hyperlink" Target="https://www.apra.gov.au" TargetMode="External"/><Relationship Id="rIderbd9uw725v04pypdkxpg" Type="http://schemas.openxmlformats.org/officeDocument/2006/relationships/hyperlink" Target="https://fidoalliance.org" TargetMode="External"/><Relationship Id="rIdrosjhl-d-lpfy9rdhacoa" Type="http://schemas.openxmlformats.org/officeDocument/2006/relationships/hyperlink" Target="https://www.artificialintelligence-news.com/2026/04/28/ibm-launches-ai-platform-bob-to-regulate-sdlc-cos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2026-05-02T12:50:58.835Z</dcterms:created>
  <dcterms:modified xsi:type="dcterms:W3CDTF">2026-05-02T12:50:58.835Z</dcterms:modified>
</cp:coreProperties>
</file>

<file path=docProps/custom.xml><?xml version="1.0" encoding="utf-8"?>
<Properties xmlns="http://schemas.openxmlformats.org/officeDocument/2006/custom-properties" xmlns:vt="http://schemas.openxmlformats.org/officeDocument/2006/docPropsVTypes"/>
</file>