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0" w:lineRule="exact"/>
        <w:rPr>
          <w:sz w:val="2"/>
        </w:rPr>
      </w:pPr>
      <w:r>
        <w:drawing>
          <wp:anchor distT="0" distB="0" distL="0" distR="0" simplePos="0" relativeHeight="5" behindDoc="1" locked="0" layoutInCell="1" allowOverlap="1">
            <wp:simplePos x="0" y="0"/>
            <wp:positionH relativeFrom="page">
              <wp:posOffset>6874500</wp:posOffset>
            </wp:positionH>
            <wp:positionV relativeFrom="page">
              <wp:posOffset>256032</wp:posOffset>
            </wp:positionV>
            <wp:extent cx="365760" cy="365760"/>
            <wp:effectExtent l="0" t="0" r="0" b="0"/>
            <wp:wrapNone/>
            <wp:docPr id="201" name="gold-tr"/>
            <wp:cNvGraphicFramePr/>
            <a:graphic xmlns:a="http://schemas.openxmlformats.org/drawingml/2006/main">
              <a:graphicData uri="http://schemas.openxmlformats.org/drawingml/2006/picture">
                <pic:pic xmlns:pic="http://schemas.openxmlformats.org/drawingml/2006/picture">
                  <pic:nvPicPr>
                    <pic:cNvPr id="201" name="gold-tr"/>
                    <pic:cNvPicPr/>
                  </pic:nvPicPr>
                  <pic:blipFill>
                    <a:blip r:embed="rId101"/>
                    <a:stretch>
                      <a:fillRect/>
                    </a:stretch>
                  </pic:blipFill>
                  <pic:spPr>
                    <a:xfrm>
                      <a:off x="0" y="0"/>
                      <a:ext cx="365760" cy="36576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274320</wp:posOffset>
            </wp:positionH>
            <wp:positionV relativeFrom="page">
              <wp:posOffset>10120000</wp:posOffset>
            </wp:positionV>
            <wp:extent cx="274320" cy="274320"/>
            <wp:effectExtent l="0" t="0" r="0" b="0"/>
            <wp:wrapNone/>
            <wp:docPr id="202" name="gold-bl"/>
            <wp:cNvGraphicFramePr/>
            <a:graphic xmlns:a="http://schemas.openxmlformats.org/drawingml/2006/main">
              <a:graphicData uri="http://schemas.openxmlformats.org/drawingml/2006/picture">
                <pic:pic xmlns:pic="http://schemas.openxmlformats.org/drawingml/2006/picture">
                  <pic:nvPicPr>
                    <pic:cNvPr id="202" name="gold-bl"/>
                    <pic:cNvPicPr/>
                  </pic:nvPicPr>
                  <pic:blipFill>
                    <a:blip r:embed="rId101"/>
                    <a:stretch>
                      <a:fillRect/>
                    </a:stretch>
                  </pic:blipFill>
                  <pic:spPr>
                    <a:xfrm>
                      <a:off x="0" y="0"/>
                      <a:ext cx="274320" cy="274320"/>
                    </a:xfrm>
                    <a:prstGeom prst="rect">
                      <a:avLst/>
                    </a:prstGeom>
                  </pic:spPr>
                </pic:pic>
              </a:graphicData>
            </a:graphic>
          </wp:anchor>
        </w:drawing>
      </w:r>
    </w:p>
    <w:tbl>
      <w:tblPr>
        <w:tblW w:w="11186" w:type="dxa"/>
        <w:tblLayout w:type="fixed"/>
        <w:tblInd w:w="0" w:type="dxa"/>
        <w:tblBorders>
          <w:top w:val="nil"/>
          <w:left w:val="nil"/>
          <w:bottom w:val="nil"/>
          <w:right w:val="nil"/>
          <w:insideH w:val="nil"/>
          <w:insideV w:val="nil"/>
        </w:tblBorders>
      </w:tblPr>
      <w:tblGrid>
        <w:gridCol w:w="3500"/>
        <w:gridCol w:w="7686"/>
      </w:tblGrid>
      <w:tr>
        <w:tc>
          <w:tcPr>
            <w:tcW w:w="3500" w:type="dxa"/>
            <w:tcMar>
              <w:top w:w="260" w:type="dxa"/>
              <w:left w:w="300" w:type="dxa"/>
              <w:bottom w:w="260" w:type="dxa"/>
              <w:right w:w="280" w:type="dxa"/>
            </w:tcMar>
            <w:shd w:val="clear" w:color="auto" w:fill="0B2238"/>
            <w:vAlign w:val="top"/>
          </w:tcPr>
          <w:p>
            <w:pPr>
              <w:jc w:val="center"/>
              <w:spacing w:before="60" w:after="40"/>
            </w:pPr>
            <w:r>
              <w:drawing>
                <wp:inline distT="0" distB="0" distL="0" distR="0">
                  <wp:extent cx="1737360" cy="1737360"/>
                  <wp:effectExtent l="0" t="0" r="0" b="0"/>
                  <wp:docPr id="100" nam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ortrait.jpg"/>
                          <pic:cNvPicPr/>
                        </pic:nvPicPr>
                        <pic:blipFill>
                          <a:blip r:embed="rId100"/>
                          <a:stretch>
                            <a:fillRect/>
                          </a:stretch>
                        </pic:blipFill>
                        <pic:spPr>
                          <a:xfrm>
                            <a:off x="0" y="0"/>
                            <a:ext cx="1737360" cy="1737360"/>
                          </a:xfrm>
                          <a:prstGeom prst="rect">
                            <a:avLst/>
                          </a:prstGeom>
                          <a:ln w="9525">
                            <a:solidFill>
                              <a:srgbClr val="D4921A"/>
                            </a:solidFill>
                          </a:ln>
                        </pic:spPr>
                      </pic:pic>
                    </a:graphicData>
                  </a:graphic>
                </wp:inline>
              </w:drawing>
            </w:r>
          </w:p>
          <w:p>
            <w:pPr>
              <w:spacing w:before="160" w:after="10"/>
            </w:pPr>
            <w:r>
              <w:rPr>
                <w:rFonts w:ascii="Sora" w:hAnsi="Sora"/>
                <w:b/>
                <w:color w:val="FFFFFF"/>
                <w:sz w:val="34"/>
              </w:rPr>
              <w:t xml:space="preserve">Dr. Jasmine Low</w:t>
            </w:r>
          </w:p>
          <w:p>
            <w:pPr>
              <w:spacing w:before="0" w:after="40"/>
            </w:pPr>
            <w:r>
              <w:rPr>
                <w:i/>
                <w:color w:val="E8B830"/>
                <w:sz w:val="18"/>
              </w:rPr>
              <w:t xml:space="preserve">Organisational Psychologist &amp; Systems Coach</w:t>
            </w:r>
          </w:p>
          <w:p>
            <w:pPr>
              <w:pBdr>
                <w:bottom w:val="single" w:sz="6" w:space="4" w:color="D4921A"/>
              </w:pBdr>
              <w:spacing w:before="240" w:after="110"/>
            </w:pPr>
            <w:r>
              <w:rPr>
                <w:rFonts w:ascii="Sora" w:hAnsi="Sora"/>
                <w:b/>
                <w:color w:val="FFFFFF"/>
                <w:sz w:val="20"/>
                <w:spacing w:val="24"/>
              </w:rPr>
              <w:t xml:space="preserve">CONTACT</w:t>
            </w:r>
          </w:p>
          <w:p>
            <w:pPr>
              <w:spacing w:before="80" w:after="0"/>
            </w:pPr>
            <w:r>
              <w:rPr>
                <w:b/>
                <w:color w:val="E8B830"/>
                <w:sz w:val="17"/>
              </w:rPr>
              <w:t xml:space="preserve">Team</w:t>
            </w:r>
          </w:p>
          <w:p>
            <w:pPr>
              <w:spacing w:before="0" w:after="30"/>
            </w:pPr>
            <w:r>
              <w:rPr>
                <w:color w:val="E9EEF3"/>
                <w:sz w:val="18"/>
              </w:rPr>
              <w:t xml:space="preserve">BHD Asia</w:t>
            </w:r>
          </w:p>
          <w:p>
            <w:pPr>
              <w:spacing w:before="80" w:after="0"/>
            </w:pPr>
            <w:r>
              <w:rPr>
                <w:b/>
                <w:color w:val="E8B830"/>
                <w:sz w:val="17"/>
              </w:rPr>
              <w:t xml:space="preserve">Based</w:t>
            </w:r>
          </w:p>
          <w:p>
            <w:pPr>
              <w:spacing w:before="0" w:after="30"/>
            </w:pPr>
            <w:r>
              <w:rPr>
                <w:color w:val="E9EEF3"/>
                <w:sz w:val="18"/>
              </w:rPr>
              <w:t xml:space="preserve">Singapore</w:t>
            </w:r>
          </w:p>
          <w:p>
            <w:pPr>
              <w:spacing w:before="80" w:after="0"/>
            </w:pPr>
            <w:r>
              <w:rPr>
                <w:b/>
                <w:color w:val="E8B830"/>
                <w:sz w:val="17"/>
              </w:rPr>
              <w:t xml:space="preserve">E-mail</w:t>
            </w:r>
          </w:p>
          <w:p>
            <w:pPr>
              <w:spacing w:before="0" w:after="30"/>
            </w:pPr>
            <w:r>
              <w:rPr>
                <w:color w:val="E9EEF3"/>
                <w:sz w:val="18"/>
              </w:rPr>
              <w:t xml:space="preserve">isabelle@bhdasia.com</w:t>
            </w:r>
          </w:p>
          <w:p>
            <w:pPr>
              <w:spacing w:before="80" w:after="0"/>
            </w:pPr>
            <w:r>
              <w:rPr>
                <w:b/>
                <w:color w:val="E8B830"/>
                <w:sz w:val="17"/>
              </w:rPr>
              <w:t xml:space="preserve">Web</w:t>
            </w:r>
          </w:p>
          <w:p>
            <w:pPr>
              <w:spacing w:before="0" w:after="30"/>
            </w:pPr>
            <w:r>
              <w:rPr>
                <w:color w:val="E9EEF3"/>
                <w:sz w:val="18"/>
              </w:rPr>
              <w:t xml:space="preserve">bhdasia.com</w:t>
            </w:r>
          </w:p>
          <w:p>
            <w:pPr>
              <w:pBdr>
                <w:bottom w:val="single" w:sz="6" w:space="4" w:color="D4921A"/>
              </w:pBdr>
              <w:spacing w:before="240" w:after="110"/>
            </w:pPr>
            <w:r>
              <w:rPr>
                <w:rFonts w:ascii="Sora" w:hAnsi="Sora"/>
                <w:b/>
                <w:color w:val="FFFFFF"/>
                <w:sz w:val="20"/>
                <w:spacing w:val="24"/>
              </w:rPr>
              <w:t xml:space="preserve">CORE SKILLS</w:t>
            </w:r>
          </w:p>
          <w:p>
            <w:pPr>
              <w:ind w:left="210" w:hanging="170"/>
              <w:spacing w:after="50" w:line="252" w:lineRule="auto"/>
            </w:pPr>
            <w:r>
              <w:rPr>
                <w:color w:val="E8B830"/>
                <w:sz w:val="16"/>
              </w:rPr>
              <w:t xml:space="preserve">▪  </w:t>
            </w:r>
            <w:r>
              <w:rPr>
                <w:color w:val="E9EEF3"/>
                <w:sz w:val="18"/>
              </w:rPr>
              <w:t xml:space="preserve">ORSC Systems Coaching</w:t>
            </w:r>
          </w:p>
          <w:p>
            <w:pPr>
              <w:ind w:left="210" w:hanging="170"/>
              <w:spacing w:after="50" w:line="252" w:lineRule="auto"/>
            </w:pPr>
            <w:r>
              <w:rPr>
                <w:color w:val="E8B830"/>
                <w:sz w:val="16"/>
              </w:rPr>
              <w:t xml:space="preserve">▪  </w:t>
            </w:r>
            <w:r>
              <w:rPr>
                <w:color w:val="E9EEF3"/>
                <w:sz w:val="18"/>
              </w:rPr>
              <w:t xml:space="preserve">Leadership &amp; Team Development</w:t>
            </w:r>
          </w:p>
          <w:p>
            <w:pPr>
              <w:ind w:left="210" w:hanging="170"/>
              <w:spacing w:after="50" w:line="252" w:lineRule="auto"/>
            </w:pPr>
            <w:r>
              <w:rPr>
                <w:color w:val="E8B830"/>
                <w:sz w:val="16"/>
              </w:rPr>
              <w:t xml:space="preserve">▪  </w:t>
            </w:r>
            <w:r>
              <w:rPr>
                <w:color w:val="E9EEF3"/>
                <w:sz w:val="18"/>
              </w:rPr>
              <w:t xml:space="preserve">Organisation Development &amp; Change</w:t>
            </w:r>
          </w:p>
          <w:p>
            <w:pPr>
              <w:ind w:left="210" w:hanging="170"/>
              <w:spacing w:after="50" w:line="252" w:lineRule="auto"/>
            </w:pPr>
            <w:r>
              <w:rPr>
                <w:color w:val="E8B830"/>
                <w:sz w:val="16"/>
              </w:rPr>
              <w:t xml:space="preserve">▪  </w:t>
            </w:r>
            <w:r>
              <w:rPr>
                <w:color w:val="E9EEF3"/>
                <w:sz w:val="18"/>
              </w:rPr>
              <w:t xml:space="preserve">Psychological Safety</w:t>
            </w:r>
          </w:p>
          <w:p>
            <w:pPr>
              <w:ind w:left="210" w:hanging="170"/>
              <w:spacing w:after="50" w:line="252" w:lineRule="auto"/>
            </w:pPr>
            <w:r>
              <w:rPr>
                <w:color w:val="E8B830"/>
                <w:sz w:val="16"/>
              </w:rPr>
              <w:t xml:space="preserve">▪  </w:t>
            </w:r>
            <w:r>
              <w:rPr>
                <w:color w:val="E9EEF3"/>
                <w:sz w:val="18"/>
              </w:rPr>
              <w:t xml:space="preserve">Strategic Planning &amp; Change</w:t>
            </w:r>
          </w:p>
          <w:p>
            <w:pPr>
              <w:ind w:left="210" w:hanging="170"/>
              <w:spacing w:after="50" w:line="252" w:lineRule="auto"/>
            </w:pPr>
            <w:r>
              <w:rPr>
                <w:color w:val="E8B830"/>
                <w:sz w:val="16"/>
              </w:rPr>
              <w:t xml:space="preserve">▪  </w:t>
            </w:r>
            <w:r>
              <w:rPr>
                <w:color w:val="E9EEF3"/>
                <w:sz w:val="18"/>
              </w:rPr>
              <w:t xml:space="preserve">Experiential Learning</w:t>
            </w:r>
          </w:p>
          <w:p>
            <w:pPr>
              <w:ind w:left="210" w:hanging="170"/>
              <w:spacing w:after="50" w:line="252" w:lineRule="auto"/>
            </w:pPr>
            <w:r>
              <w:rPr>
                <w:color w:val="E8B830"/>
                <w:sz w:val="16"/>
              </w:rPr>
              <w:t xml:space="preserve">▪  </w:t>
            </w:r>
            <w:r>
              <w:rPr>
                <w:color w:val="E9EEF3"/>
                <w:sz w:val="18"/>
              </w:rPr>
              <w:t xml:space="preserve">Process Facilitation</w:t>
            </w:r>
          </w:p>
          <w:p>
            <w:pPr>
              <w:ind w:left="210" w:hanging="170"/>
              <w:spacing w:after="50" w:line="252" w:lineRule="auto"/>
            </w:pPr>
            <w:r>
              <w:rPr>
                <w:color w:val="E8B830"/>
                <w:sz w:val="16"/>
              </w:rPr>
              <w:t xml:space="preserve">▪  </w:t>
            </w:r>
            <w:r>
              <w:rPr>
                <w:color w:val="E9EEF3"/>
                <w:sz w:val="18"/>
              </w:rPr>
              <w:t xml:space="preserve">Design Thinking</w:t>
            </w:r>
          </w:p>
          <w:p>
            <w:pPr>
              <w:ind w:left="210" w:hanging="170"/>
              <w:spacing w:after="50" w:line="252" w:lineRule="auto"/>
            </w:pPr>
            <w:r>
              <w:rPr>
                <w:color w:val="E8B830"/>
                <w:sz w:val="16"/>
              </w:rPr>
              <w:t xml:space="preserve">▪  </w:t>
            </w:r>
            <w:r>
              <w:rPr>
                <w:color w:val="E9EEF3"/>
                <w:sz w:val="18"/>
              </w:rPr>
              <w:t xml:space="preserve">Data Analysis &amp; Research</w:t>
            </w:r>
          </w:p>
          <w:p>
            <w:pPr>
              <w:pBdr>
                <w:bottom w:val="single" w:sz="6" w:space="4" w:color="D4921A"/>
              </w:pBdr>
              <w:spacing w:before="240" w:after="110"/>
            </w:pPr>
            <w:r>
              <w:rPr>
                <w:rFonts w:ascii="Sora" w:hAnsi="Sora"/>
                <w:b/>
                <w:color w:val="FFFFFF"/>
                <w:sz w:val="20"/>
                <w:spacing w:val="24"/>
              </w:rPr>
              <w:t xml:space="preserve">LANGUAGES</w:t>
            </w:r>
          </w:p>
          <w:p>
            <w:pPr>
              <w:ind w:left="210" w:hanging="170"/>
              <w:spacing w:after="50" w:line="252" w:lineRule="auto"/>
            </w:pPr>
            <w:r>
              <w:rPr>
                <w:color w:val="E8B830"/>
                <w:sz w:val="16"/>
              </w:rPr>
              <w:t xml:space="preserve">▪  </w:t>
            </w:r>
            <w:r>
              <w:rPr>
                <w:color w:val="E9EEF3"/>
                <w:sz w:val="18"/>
              </w:rPr>
              <w:t xml:space="preserve">English</w:t>
            </w:r>
          </w:p>
          <w:p>
            <w:pPr>
              <w:ind w:left="210" w:hanging="170"/>
              <w:spacing w:after="50" w:line="252" w:lineRule="auto"/>
            </w:pPr>
            <w:r>
              <w:rPr>
                <w:color w:val="E8B830"/>
                <w:sz w:val="16"/>
              </w:rPr>
              <w:t xml:space="preserve">▪  </w:t>
            </w:r>
            <w:r>
              <w:rPr>
                <w:color w:val="E9EEF3"/>
                <w:sz w:val="18"/>
              </w:rPr>
              <w:t xml:space="preserve">Chinese</w:t>
            </w:r>
          </w:p>
          <w:p>
            <w:pPr>
              <w:ind w:left="210" w:hanging="170"/>
              <w:spacing w:after="50" w:line="252" w:lineRule="auto"/>
            </w:pPr>
            <w:r>
              <w:rPr>
                <w:color w:val="E8B830"/>
                <w:sz w:val="16"/>
              </w:rPr>
              <w:t xml:space="preserve">▪  </w:t>
            </w:r>
            <w:r>
              <w:rPr>
                <w:color w:val="E9EEF3"/>
                <w:sz w:val="18"/>
              </w:rPr>
              <w:t xml:space="preserve">Spanish</w:t>
            </w:r>
          </w:p>
        </w:tc>
        <w:tc>
          <w:tcPr>
            <w:tcW w:w="7686" w:type="dxa"/>
            <w:tcMar>
              <w:top w:w="200" w:type="dxa"/>
              <w:left w:w="360" w:type="dxa"/>
              <w:bottom w:w="200" w:type="dxa"/>
              <w:right w:w="200" w:type="dxa"/>
            </w:tcMar>
            <w:shd w:val="clear" w:color="auto" w:fill="FFFFFF"/>
            <w:vAlign w:val="top"/>
          </w:tcPr>
          <w:p>
            <w:pPr>
              <w:shd w:val="clear" w:color="auto" w:fill="FAF7F4"/>
              <w:ind w:left="150" w:right="150"/>
              <w:spacing w:before="140" w:after="170"/>
            </w:pPr>
            <w:r>
              <w:rPr>
                <w:rFonts w:ascii="Sora" w:hAnsi="Sora"/>
                <w:i/>
                <w:b/>
                <w:color w:val="0B2238"/>
                <w:sz w:val="24"/>
              </w:rPr>
              <w:t xml:space="preserve">"Helping leaders and teams navigate complexity, build alignment, and strengthen psychological safety."</w:t>
            </w:r>
          </w:p>
          <w:p>
            <w:pPr>
              <w:pBdr>
                <w:bottom w:val="single" w:sz="8" w:space="3" w:color="0B2238"/>
              </w:pBdr>
              <w:spacing w:before="230" w:after="110"/>
            </w:pPr>
            <w:r>
              <w:rPr>
                <w:rFonts w:ascii="Sora" w:hAnsi="Sora"/>
                <w:b/>
                <w:color w:val="0B2238"/>
                <w:sz w:val="23"/>
              </w:rPr>
              <w:t xml:space="preserve">Profile</w:t>
            </w:r>
          </w:p>
          <w:p>
            <w:pPr>
              <w:spacing w:after="100" w:line="264" w:lineRule="auto"/>
              <w:jc w:val="both"/>
            </w:pPr>
            <w:r>
              <w:rPr>
                <w:color w:val="23303F"/>
                <w:sz w:val="19"/>
              </w:rPr>
              <w:t xml:space="preserve">Part of the BHD Asia team, Dr. Jasmine Low is an Organisational Psychologist with over 15 years of experience designing and delivering interventions that drive leadership development, organisational transformation, and team effectiveness. She blends evidence-based psychology with systems thinking and human-centered design.</w:t>
            </w:r>
          </w:p>
          <w:p>
            <w:pPr>
              <w:spacing w:after="100" w:line="264" w:lineRule="auto"/>
              <w:jc w:val="both"/>
            </w:pPr>
            <w:r>
              <w:rPr>
                <w:color w:val="23303F"/>
                <w:sz w:val="19"/>
              </w:rPr>
              <w:t xml:space="preserve">As a systems coach and facilitator, Jasmine helps leaders and teams navigate complexity, build alignment, and strengthen psychological safety. Her calm, adaptive presence fosters reflective and inclusive spaces for growth. To date she has supported over 100 organisations across healthcare, education, government, and technology.</w:t>
            </w:r>
          </w:p>
          <w:p>
            <w:pPr>
              <w:pBdr>
                <w:bottom w:val="single" w:sz="8" w:space="3" w:color="0B2238"/>
              </w:pBdr>
              <w:spacing w:before="230" w:after="110"/>
            </w:pPr>
            <w:r>
              <w:rPr>
                <w:rFonts w:ascii="Sora" w:hAnsi="Sora"/>
                <w:b/>
                <w:color w:val="0B2238"/>
                <w:sz w:val="23"/>
              </w:rPr>
              <w:t xml:space="preserve">Selected Engagements</w:t>
            </w:r>
          </w:p>
          <w:p>
            <w:pPr>
              <w:ind w:left="250" w:hanging="190"/>
              <w:spacing w:after="70" w:line="258" w:lineRule="auto"/>
              <w:jc w:val="both"/>
            </w:pPr>
            <w:r>
              <w:rPr>
                <w:color w:val="D4921A"/>
                <w:sz w:val="18"/>
              </w:rPr>
              <w:t xml:space="preserve">•  </w:t>
            </w:r>
            <w:r>
              <w:rPr>
                <w:b/>
                <w:color w:val="0B2238"/>
                <w:sz w:val="18"/>
              </w:rPr>
              <w:t xml:space="preserve">Manager as Coach Programme — </w:t>
            </w:r>
            <w:r>
              <w:rPr>
                <w:color w:val="23303F"/>
                <w:sz w:val="18"/>
              </w:rPr>
              <w:t xml:space="preserve">As a faculty member of KOSS Associates (USA), delivered coaching-skills programmes strengthening reflection and leadership presence for senior and mid-level leaders. Clients: Xylem International, Woodlands Health, Singapore Sports School.</w:t>
            </w:r>
          </w:p>
          <w:p>
            <w:pPr>
              <w:ind w:left="250" w:hanging="190"/>
              <w:spacing w:after="70" w:line="258" w:lineRule="auto"/>
              <w:jc w:val="both"/>
            </w:pPr>
            <w:r>
              <w:rPr>
                <w:color w:val="D4921A"/>
                <w:sz w:val="18"/>
              </w:rPr>
              <w:t xml:space="preserve">•  </w:t>
            </w:r>
            <w:r>
              <w:rPr>
                <w:b/>
                <w:color w:val="0B2238"/>
                <w:sz w:val="18"/>
              </w:rPr>
              <w:t xml:space="preserve">Culture Building, Woodlands Health — </w:t>
            </w:r>
            <w:r>
              <w:rPr>
                <w:color w:val="23303F"/>
                <w:sz w:val="18"/>
              </w:rPr>
              <w:t xml:space="preserve">Engaged as Adjunct Facilitator for an organisation-wide culture initiative covering psychological safety, values alignment, communication dynamics and speech acts.</w:t>
            </w:r>
          </w:p>
          <w:p>
            <w:pPr>
              <w:ind w:left="250" w:hanging="190"/>
              <w:spacing w:after="70" w:line="258" w:lineRule="auto"/>
              <w:jc w:val="both"/>
            </w:pPr>
            <w:r>
              <w:rPr>
                <w:color w:val="D4921A"/>
                <w:sz w:val="18"/>
              </w:rPr>
              <w:t xml:space="preserve">•  </w:t>
            </w:r>
            <w:r>
              <w:rPr>
                <w:b/>
                <w:color w:val="0B2238"/>
                <w:sz w:val="18"/>
              </w:rPr>
              <w:t xml:space="preserve">Psychological Safety &amp; Team Development — </w:t>
            </w:r>
            <w:r>
              <w:rPr>
                <w:color w:val="23303F"/>
                <w:sz w:val="18"/>
              </w:rPr>
              <w:t xml:space="preserve">Designed and facilitated ORSC-based team programmes to strengthen group cohesion and surface team dynamics. Clients: Thermo Fisher Scientific, Ngee Ann Polytechnic, Woodlands Health.</w:t>
            </w:r>
          </w:p>
          <w:p>
            <w:pPr>
              <w:ind w:left="250" w:hanging="190"/>
              <w:spacing w:after="70" w:line="258" w:lineRule="auto"/>
              <w:jc w:val="both"/>
            </w:pPr>
            <w:r>
              <w:rPr>
                <w:color w:val="D4921A"/>
                <w:sz w:val="18"/>
              </w:rPr>
              <w:t xml:space="preserve">•  </w:t>
            </w:r>
            <w:r>
              <w:rPr>
                <w:b/>
                <w:color w:val="0B2238"/>
                <w:sz w:val="18"/>
              </w:rPr>
              <w:t xml:space="preserve">Strategy, Change &amp; Systems Thinking — </w:t>
            </w:r>
            <w:r>
              <w:rPr>
                <w:color w:val="23303F"/>
                <w:sz w:val="18"/>
              </w:rPr>
              <w:t xml:space="preserve">Facilitated strategic meetings, leadership programmes and change initiatives using systems constellations and ORSC methods. Clients: NUHS, SG Enable, MSF, Singapore Polytechnic, Mitsubishi Electric.</w:t>
            </w:r>
          </w:p>
          <w:p>
            <w:pPr>
              <w:ind w:left="250" w:hanging="190"/>
              <w:spacing w:after="70" w:line="258" w:lineRule="auto"/>
              <w:jc w:val="both"/>
            </w:pPr>
            <w:r>
              <w:rPr>
                <w:color w:val="D4921A"/>
                <w:sz w:val="18"/>
              </w:rPr>
              <w:t xml:space="preserve">•  </w:t>
            </w:r>
            <w:r>
              <w:rPr>
                <w:b/>
                <w:color w:val="0B2238"/>
                <w:sz w:val="18"/>
              </w:rPr>
              <w:t xml:space="preserve">Community Building &amp; Complexity — </w:t>
            </w:r>
            <w:r>
              <w:rPr>
                <w:color w:val="23303F"/>
                <w:sz w:val="18"/>
              </w:rPr>
              <w:t xml:space="preserve">As faculty of AND Pte Ltd, facilitated Civic Trails and reflective dialogues that help teams navigate diversity and systemic resilience. Clients: DBS, OCBC, CSC, MOE, Millennia Institute.</w:t>
            </w:r>
          </w:p>
          <w:p>
            <w:pPr>
              <w:ind w:left="250" w:hanging="190"/>
              <w:spacing w:after="70" w:line="258" w:lineRule="auto"/>
              <w:jc w:val="both"/>
            </w:pPr>
            <w:r>
              <w:rPr>
                <w:color w:val="D4921A"/>
                <w:sz w:val="18"/>
              </w:rPr>
              <w:t xml:space="preserve">•  </w:t>
            </w:r>
            <w:r>
              <w:rPr>
                <w:b/>
                <w:color w:val="0B2238"/>
                <w:sz w:val="18"/>
              </w:rPr>
              <w:t xml:space="preserve">Capability Building — </w:t>
            </w:r>
            <w:r>
              <w:rPr>
                <w:color w:val="23303F"/>
                <w:sz w:val="18"/>
              </w:rPr>
              <w:t xml:space="preserve">Delivered facilitation and design-thinking workshops that build internal capability. Clients: Association of Singapore Teachers, various MOE clusters.</w:t>
            </w:r>
          </w:p>
          <w:p>
            <w:pPr>
              <w:pBdr>
                <w:bottom w:val="single" w:sz="8" w:space="3" w:color="0B2238"/>
              </w:pBdr>
              <w:spacing w:before="230" w:after="110"/>
            </w:pPr>
            <w:r>
              <w:rPr>
                <w:rFonts w:ascii="Sora" w:hAnsi="Sora"/>
                <w:b/>
                <w:color w:val="0B2238"/>
                <w:sz w:val="23"/>
              </w:rPr>
              <w:t xml:space="preserve">Education</w:t>
            </w:r>
          </w:p>
          <w:p>
            <w:pPr>
              <w:tabs>
                <w:tab w:val="right" w:pos="7100"/>
              </w:tabs>
              <w:spacing w:before="110" w:after="6"/>
            </w:pPr>
            <w:r>
              <w:rPr>
                <w:rFonts w:ascii="Sora" w:hAnsi="Sora"/>
                <w:b/>
                <w:color w:val="0B2238"/>
                <w:sz w:val="19"/>
              </w:rPr>
              <w:t xml:space="preserve">Ph.D. in Human Resource Psychology (Cum Laude &amp; International Mention)</w:t>
            </w:r>
            <w:r>
              <w:rPr>
                <w:b/>
                <w:sz w:val="19"/>
              </w:rPr>
              <w:tab/>
            </w:r>
            <w:r>
              <w:rPr>
                <w:color w:val="6B7787"/>
                <w:sz w:val="17"/>
              </w:rPr>
              <w:t xml:space="preserve">2015–2019</w:t>
            </w:r>
          </w:p>
          <w:p>
            <w:pPr>
              <w:spacing w:before="0" w:after="70"/>
            </w:pPr>
            <w:r>
              <w:rPr>
                <w:i/>
                <w:color w:val="D4921A"/>
                <w:sz w:val="18"/>
              </w:rPr>
              <w:t xml:space="preserve">Universidad de Valencia, Spain</w:t>
            </w:r>
          </w:p>
          <w:p>
            <w:pPr>
              <w:tabs>
                <w:tab w:val="right" w:pos="7100"/>
              </w:tabs>
              <w:spacing w:before="110" w:after="6"/>
            </w:pPr>
            <w:r>
              <w:rPr>
                <w:rFonts w:ascii="Sora" w:hAnsi="Sora"/>
                <w:b/>
                <w:color w:val="0B2238"/>
                <w:sz w:val="19"/>
              </w:rPr>
              <w:t xml:space="preserve">Erasmus Mundus Master — Work, Organizational &amp; Personnel Psychology</w:t>
            </w:r>
            <w:r>
              <w:rPr>
                <w:b/>
                <w:sz w:val="19"/>
              </w:rPr>
              <w:tab/>
            </w:r>
            <w:r>
              <w:rPr>
                <w:color w:val="6B7787"/>
                <w:sz w:val="17"/>
              </w:rPr>
              <w:t xml:space="preserve">2012–2014</w:t>
            </w:r>
          </w:p>
          <w:p>
            <w:pPr>
              <w:spacing w:before="0" w:after="70"/>
            </w:pPr>
            <w:r>
              <w:rPr>
                <w:i/>
                <w:color w:val="D4921A"/>
                <w:sz w:val="18"/>
              </w:rPr>
              <w:t xml:space="preserve">Universidad de Valencia &amp; Università di Bologna</w:t>
            </w:r>
          </w:p>
          <w:p>
            <w:pPr>
              <w:tabs>
                <w:tab w:val="right" w:pos="7100"/>
              </w:tabs>
              <w:spacing w:before="110" w:after="6"/>
            </w:pPr>
            <w:r>
              <w:rPr>
                <w:rFonts w:ascii="Sora" w:hAnsi="Sora"/>
                <w:b/>
                <w:color w:val="0B2238"/>
                <w:sz w:val="19"/>
              </w:rPr>
              <w:t xml:space="preserve">B.A. in Psychology (Org. Psychology &amp; Marketing minors)</w:t>
            </w:r>
            <w:r>
              <w:rPr>
                <w:b/>
                <w:sz w:val="19"/>
              </w:rPr>
              <w:tab/>
            </w:r>
            <w:r>
              <w:rPr>
                <w:color w:val="6B7787"/>
                <w:sz w:val="17"/>
              </w:rPr>
              <w:t xml:space="preserve">2008–2011</w:t>
            </w:r>
          </w:p>
          <w:p>
            <w:pPr>
              <w:spacing w:before="0" w:after="70"/>
            </w:pPr>
            <w:r>
              <w:rPr>
                <w:i/>
                <w:color w:val="D4921A"/>
                <w:sz w:val="18"/>
              </w:rPr>
              <w:t xml:space="preserve">Murdoch University, Australia</w:t>
            </w:r>
          </w:p>
          <w:p>
            <w:pPr>
              <w:pBdr>
                <w:bottom w:val="single" w:sz="8" w:space="3" w:color="0B2238"/>
              </w:pBdr>
              <w:spacing w:before="230" w:after="110"/>
            </w:pPr>
            <w:r>
              <w:rPr>
                <w:rFonts w:ascii="Sora" w:hAnsi="Sora"/>
                <w:b/>
                <w:color w:val="0B2238"/>
                <w:sz w:val="23"/>
              </w:rPr>
              <w:t xml:space="preserve">Certifications &amp; Professional Development</w:t>
            </w:r>
          </w:p>
          <w:p>
            <w:pPr>
              <w:ind w:left="250" w:hanging="190"/>
              <w:spacing w:after="50" w:line="258" w:lineRule="auto"/>
            </w:pPr>
            <w:r>
              <w:rPr>
                <w:color w:val="D4921A"/>
                <w:sz w:val="18"/>
              </w:rPr>
              <w:t xml:space="preserve">•  </w:t>
            </w:r>
            <w:r>
              <w:rPr>
                <w:color w:val="23303F"/>
                <w:sz w:val="18"/>
              </w:rPr>
              <w:t xml:space="preserve">Organization &amp; Relationship Systems Coaching (ORSC) — CRR Global (2022)</w:t>
            </w:r>
          </w:p>
          <w:p>
            <w:pPr>
              <w:ind w:left="250" w:hanging="190"/>
              <w:spacing w:after="50" w:line="258" w:lineRule="auto"/>
            </w:pPr>
            <w:r>
              <w:rPr>
                <w:color w:val="D4921A"/>
                <w:sz w:val="18"/>
              </w:rPr>
              <w:t xml:space="preserve">•  </w:t>
            </w:r>
            <w:r>
              <w:rPr>
                <w:color w:val="23303F"/>
                <w:sz w:val="18"/>
              </w:rPr>
              <w:t xml:space="preserve">Advanced Certificate in Learning &amp; Performance (ACLP) — Institute of Adult Learning (2020)</w:t>
            </w:r>
          </w:p>
          <w:p>
            <w:pPr>
              <w:ind w:left="250" w:hanging="190"/>
              <w:spacing w:after="50" w:line="258" w:lineRule="auto"/>
            </w:pPr>
            <w:r>
              <w:rPr>
                <w:color w:val="D4921A"/>
                <w:sz w:val="18"/>
              </w:rPr>
              <w:t xml:space="preserve">•  </w:t>
            </w:r>
            <w:r>
              <w:rPr>
                <w:color w:val="23303F"/>
                <w:sz w:val="18"/>
              </w:rPr>
              <w:t xml:space="preserve">Design Thinking Facilitator — Design Thinking Academy (2020)</w:t>
            </w:r>
          </w:p>
          <w:p>
            <w:pPr>
              <w:ind w:left="250" w:hanging="190"/>
              <w:spacing w:after="50" w:line="258" w:lineRule="auto"/>
            </w:pPr>
            <w:r>
              <w:rPr>
                <w:color w:val="D4921A"/>
                <w:sz w:val="18"/>
              </w:rPr>
              <w:t xml:space="preserve">•  </w:t>
            </w:r>
            <w:r>
              <w:rPr>
                <w:color w:val="23303F"/>
                <w:sz w:val="18"/>
              </w:rPr>
              <w:t xml:space="preserve">Organisational Development &amp; Change; Self &amp; System — AND Pte Ltd (2022–2024)</w:t>
            </w:r>
          </w:p>
          <w:p>
            <w:pPr>
              <w:ind w:left="250" w:hanging="190"/>
              <w:spacing w:after="50" w:line="258" w:lineRule="auto"/>
            </w:pPr>
            <w:r>
              <w:rPr>
                <w:color w:val="D4921A"/>
                <w:sz w:val="18"/>
              </w:rPr>
              <w:t xml:space="preserve">•  </w:t>
            </w:r>
            <w:r>
              <w:rPr>
                <w:color w:val="23303F"/>
                <w:sz w:val="18"/>
              </w:rPr>
              <w:t xml:space="preserve">Certified People Developer — SPRING Singapore (2004); DISC Consultant (2011)</w:t>
            </w:r>
          </w:p>
          <w:p>
            <w:pPr>
              <w:pBdr>
                <w:bottom w:val="single" w:sz="8" w:space="3" w:color="0B2238"/>
              </w:pBdr>
              <w:spacing w:before="230" w:after="110"/>
            </w:pPr>
            <w:r>
              <w:rPr>
                <w:rFonts w:ascii="Sora" w:hAnsi="Sora"/>
                <w:b/>
                <w:color w:val="0B2238"/>
                <w:sz w:val="23"/>
              </w:rPr>
              <w:t xml:space="preserve">Recognition</w:t>
            </w:r>
          </w:p>
          <w:p>
            <w:pPr>
              <w:ind w:left="250" w:hanging="190"/>
              <w:spacing w:after="50" w:line="258" w:lineRule="auto"/>
            </w:pPr>
            <w:r>
              <w:rPr>
                <w:color w:val="D4921A"/>
                <w:sz w:val="18"/>
              </w:rPr>
              <w:t xml:space="preserve">•  </w:t>
            </w:r>
            <w:r>
              <w:rPr>
                <w:color w:val="23303F"/>
                <w:sz w:val="18"/>
              </w:rPr>
              <w:t xml:space="preserve">"Young Organizational Psychologist with Talent" — Colegio Oficial de Psicólogos de Madrid (2016)</w:t>
            </w:r>
          </w:p>
          <w:p>
            <w:pPr>
              <w:ind w:left="250" w:hanging="190"/>
              <w:spacing w:after="50" w:line="258" w:lineRule="auto"/>
            </w:pPr>
            <w:r>
              <w:rPr>
                <w:color w:val="D4921A"/>
                <w:sz w:val="18"/>
              </w:rPr>
              <w:t xml:space="preserve">•  </w:t>
            </w:r>
            <w:r>
              <w:rPr>
                <w:color w:val="23303F"/>
                <w:sz w:val="18"/>
              </w:rPr>
              <w:t xml:space="preserve">Erasmus Mundus Scholarship — European Commission</w:t>
            </w:r>
          </w:p>
          <w:p>
            <w:pPr>
              <w:ind w:left="250" w:hanging="190"/>
              <w:spacing w:after="50" w:line="258" w:lineRule="auto"/>
            </w:pPr>
            <w:r>
              <w:rPr>
                <w:color w:val="D4921A"/>
                <w:sz w:val="18"/>
              </w:rPr>
              <w:t xml:space="preserve">•  </w:t>
            </w:r>
            <w:r>
              <w:rPr>
                <w:color w:val="23303F"/>
                <w:sz w:val="18"/>
              </w:rPr>
              <w:t xml:space="preserve">FPU Research &amp; Teaching Scholarship — Ministry of Science, Spain</w:t>
            </w:r>
          </w:p>
          <w:p>
            <w:pPr>
              <w:pBdr>
                <w:bottom w:val="single" w:sz="8" w:space="3" w:color="0B2238"/>
              </w:pBdr>
              <w:spacing w:before="230" w:after="110"/>
            </w:pPr>
            <w:r>
              <w:rPr>
                <w:rFonts w:ascii="Sora" w:hAnsi="Sora"/>
                <w:b/>
                <w:color w:val="0B2238"/>
                <w:sz w:val="23"/>
              </w:rPr>
              <w:t xml:space="preserve">Community Leadership</w:t>
            </w:r>
          </w:p>
          <w:p>
            <w:pPr>
              <w:ind w:left="250" w:hanging="190"/>
              <w:spacing w:after="50" w:line="258" w:lineRule="auto"/>
            </w:pPr>
            <w:r>
              <w:rPr>
                <w:color w:val="D4921A"/>
                <w:sz w:val="18"/>
              </w:rPr>
              <w:t xml:space="preserve">•  </w:t>
            </w:r>
            <w:r>
              <w:rPr>
                <w:color w:val="23303F"/>
                <w:sz w:val="18"/>
              </w:rPr>
              <w:t xml:space="preserve">Board Member — Singapore Traditional Wushu Federation (2025–Present)</w:t>
            </w:r>
          </w:p>
          <w:p>
            <w:pPr>
              <w:ind w:left="250" w:hanging="190"/>
              <w:spacing w:after="50" w:line="258" w:lineRule="auto"/>
            </w:pPr>
            <w:r>
              <w:rPr>
                <w:color w:val="D4921A"/>
                <w:sz w:val="18"/>
              </w:rPr>
              <w:t xml:space="preserve">•  </w:t>
            </w:r>
            <w:r>
              <w:rPr>
                <w:color w:val="23303F"/>
                <w:sz w:val="18"/>
              </w:rPr>
              <w:t xml:space="preserve">Treasurer — School Advisory Committee, Huamin Primary School (2022–Present)</w:t>
            </w:r>
          </w:p>
        </w:tc>
      </w:tr>
    </w:tbl>
    <w:sectPr>
      <w:pgSz w:w="11906" w:h="16838"/>
      <w:pgMar w:top="360" w:right="360" w:bottom="360" w:left="360" w:header="0" w:footer="0" w:gutter="0"/>
    </w:sectPr>
  </w:body>
</w:document>
</file>

<file path=word/styles.xml><?xml version="1.0" encoding="utf-8"?>
<w:styles xmlns:w="http://schemas.openxmlformats.org/wordprocessingml/2006/main">
  <w:docDefaults>
    <w:rPrDefault>
      <w:rPr>
        <w:rFonts w:ascii="DM Sans" w:hAnsi="DM Sans" w:cs="DM Sans"/>
        <w:color w:val="23303F"/>
        <w:sz w:val="19"/>
        <w:szCs w:val="19"/>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portrait.jpg'/><Relationship Id='rId101' Type='http://schemas.openxmlformats.org/officeDocument/2006/relationships/image' Target='media/gold.jpg'/></Relationships>
</file>