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
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0" w:lineRule="exact"/>
        <w:rPr>
          <w:sz w:val="2"/>
        </w:rPr>
      </w:pPr>
      <w:r>
        <w:drawing>
          <wp:anchor distT="0" distB="0" distL="0" distR="0" simplePos="0" relativeHeight="5" behindDoc="1" locked="0" layoutInCell="1" allowOverlap="1">
            <wp:simplePos x="0" y="0"/>
            <wp:positionH relativeFrom="page">
              <wp:posOffset>6874500</wp:posOffset>
            </wp:positionH>
            <wp:positionV relativeFrom="page">
              <wp:posOffset>256032</wp:posOffset>
            </wp:positionV>
            <wp:extent cx="365760" cy="365760"/>
            <wp:effectExtent l="0" t="0" r="0" b="0"/>
            <wp:wrapNone/>
            <wp:docPr id="201" name="gold-t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gold-tr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" behindDoc="1" locked="0" layoutInCell="1" allowOverlap="1">
            <wp:simplePos x="0" y="0"/>
            <wp:positionH relativeFrom="page">
              <wp:posOffset>274320</wp:posOffset>
            </wp:positionH>
            <wp:positionV relativeFrom="page">
              <wp:posOffset>10120000</wp:posOffset>
            </wp:positionV>
            <wp:extent cx="274320" cy="274320"/>
            <wp:effectExtent l="0" t="0" r="0" b="0"/>
            <wp:wrapNone/>
            <wp:docPr id="202" name="gold-b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gold-bl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1186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00"/>
        <w:gridCol w:w="7686"/>
      </w:tblGrid>
      <w:tr>
        <w:tc>
          <w:tcPr>
            <w:tcW w:w="3500" w:type="dxa"/>
            <w:tcMar>
              <w:top w:w="260" w:type="dxa"/>
              <w:left w:w="300" w:type="dxa"/>
              <w:bottom w:w="260" w:type="dxa"/>
              <w:right w:w="280" w:type="dxa"/>
            </w:tcMar>
            <w:shd w:val="clear" w:color="auto" w:fill="0B2238"/>
            <w:vAlign w:val="top"/>
          </w:tcPr>
          <w:p>
            <w:pPr>
              <w:jc w:val="center"/>
              <w:spacing w:before="60" w:after="40"/>
            </w:pPr>
            <w:r>
              <w:drawing>
                <wp:inline distT="0" distB="0" distL="0" distR="0">
                  <wp:extent cx="1737360" cy="1737360"/>
                  <wp:effectExtent l="0" t="0" r="0" b="0"/>
                  <wp:docPr id="100" name="portra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ortrait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7373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4921A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10"/>
            </w:pPr>
            <w:r>
              <w:rPr>
                <w:rFonts w:ascii="Sora" w:hAnsi="Sora"/>
                <w:b/>
                <w:color w:val="FFFFFF"/>
                <w:sz w:val="34"/>
              </w:rPr>
              <w:t xml:space="preserve">Isabelle Claus Teixeira</w:t>
            </w:r>
          </w:p>
          <w:p>
            <w:pPr>
              <w:spacing w:before="0" w:after="40"/>
            </w:pPr>
            <w:r>
              <w:rPr>
                <w:i/>
                <w:color w:val="E8B830"/>
                <w:sz w:val="18"/>
              </w:rPr>
              <w:t xml:space="preserve">Co-Founder &amp; Director · BHD Asia</w:t>
            </w:r>
          </w:p>
          <w:p>
            <w:pPr>
              <w:pBdr>
                <w:bottom w:val="single" w:sz="6" w:space="4" w:color="D4921A"/>
              </w:pBdr>
              <w:spacing w:before="240" w:after="110"/>
            </w:pPr>
            <w:r>
              <w:rPr>
                <w:rFonts w:ascii="Sora" w:hAnsi="Sora"/>
                <w:b/>
                <w:color w:val="FFFFFF"/>
                <w:sz w:val="20"/>
                <w:spacing w:val="24"/>
              </w:rPr>
              <w:t xml:space="preserve">CONTACT</w:t>
            </w:r>
          </w:p>
          <w:p>
            <w:pPr>
              <w:spacing w:before="80" w:after="0"/>
            </w:pPr>
            <w:r>
              <w:rPr>
                <w:b/>
                <w:color w:val="E8B830"/>
                <w:sz w:val="17"/>
              </w:rPr>
              <w:t xml:space="preserve">Location</w:t>
            </w:r>
          </w:p>
          <w:p>
            <w:pPr>
              <w:spacing w:before="0" w:after="30"/>
            </w:pPr>
            <w:r>
              <w:rPr>
                <w:color w:val="E9EEF3"/>
                <w:sz w:val="18"/>
              </w:rPr>
              <w:t xml:space="preserve">Kyoto, Japan</w:t>
            </w:r>
          </w:p>
          <w:p>
            <w:pPr>
              <w:spacing w:before="80" w:after="0"/>
            </w:pPr>
            <w:r>
              <w:rPr>
                <w:b/>
                <w:color w:val="E8B830"/>
                <w:sz w:val="17"/>
              </w:rPr>
              <w:t xml:space="preserve">Phone</w:t>
            </w:r>
          </w:p>
          <w:p>
            <w:pPr>
              <w:spacing w:before="0" w:after="30"/>
            </w:pPr>
            <w:r>
              <w:rPr>
                <w:color w:val="E9EEF3"/>
                <w:sz w:val="18"/>
              </w:rPr>
              <w:t xml:space="preserve">+81 80 6515 1778</w:t>
            </w:r>
          </w:p>
          <w:p>
            <w:pPr>
              <w:spacing w:before="80" w:after="0"/>
            </w:pPr>
            <w:r>
              <w:rPr>
                <w:b/>
                <w:color w:val="E8B830"/>
                <w:sz w:val="17"/>
              </w:rPr>
              <w:t xml:space="preserve">E-mail</w:t>
            </w:r>
          </w:p>
          <w:p>
            <w:pPr>
              <w:spacing w:before="0" w:after="30"/>
            </w:pPr>
            <w:r>
              <w:rPr>
                <w:color w:val="E9EEF3"/>
                <w:sz w:val="18"/>
              </w:rPr>
              <w:t xml:space="preserve">isabelle@bhdasia.com</w:t>
            </w:r>
          </w:p>
          <w:p>
            <w:pPr>
              <w:spacing w:before="80" w:after="0"/>
            </w:pPr>
            <w:r>
              <w:rPr>
                <w:b/>
                <w:color w:val="E8B830"/>
                <w:sz w:val="17"/>
              </w:rPr>
              <w:t xml:space="preserve">Web</w:t>
            </w:r>
          </w:p>
          <w:p>
            <w:pPr>
              <w:spacing w:before="0" w:after="30"/>
            </w:pPr>
            <w:r>
              <w:rPr>
                <w:color w:val="E9EEF3"/>
                <w:sz w:val="18"/>
              </w:rPr>
              <w:t xml:space="preserve">bhdasia.com</w:t>
            </w:r>
          </w:p>
          <w:p>
            <w:pPr>
              <w:pBdr>
                <w:bottom w:val="single" w:sz="6" w:space="4" w:color="D4921A"/>
              </w:pBdr>
              <w:spacing w:before="240" w:after="110"/>
            </w:pPr>
            <w:r>
              <w:rPr>
                <w:rFonts w:ascii="Sora" w:hAnsi="Sora"/>
                <w:b/>
                <w:color w:val="FFFFFF"/>
                <w:sz w:val="20"/>
                <w:spacing w:val="24"/>
              </w:rPr>
              <w:t xml:space="preserve">COACHING FOCUS</w:t>
            </w:r>
          </w:p>
          <w:p>
            <w:pPr>
              <w:ind w:left="210" w:hanging="170"/>
              <w:spacing w:after="50" w:line="252" w:lineRule="auto"/>
            </w:pPr>
            <w:r>
              <w:rPr>
                <w:color w:val="E8B830"/>
                <w:sz w:val="16"/>
              </w:rPr>
              <w:t xml:space="preserve">▪  </w:t>
            </w:r>
            <w:r>
              <w:rPr>
                <w:color w:val="E9EEF3"/>
                <w:sz w:val="18"/>
              </w:rPr>
              <w:t xml:space="preserve">Executive Coaching</w:t>
            </w:r>
          </w:p>
          <w:p>
            <w:pPr>
              <w:ind w:left="210" w:hanging="170"/>
              <w:spacing w:after="50" w:line="252" w:lineRule="auto"/>
            </w:pPr>
            <w:r>
              <w:rPr>
                <w:color w:val="E8B830"/>
                <w:sz w:val="16"/>
              </w:rPr>
              <w:t xml:space="preserve">▪  </w:t>
            </w:r>
            <w:r>
              <w:rPr>
                <w:color w:val="E9EEF3"/>
                <w:sz w:val="18"/>
              </w:rPr>
              <w:t xml:space="preserve">Transition &amp; New-Leader Coaching</w:t>
            </w:r>
          </w:p>
          <w:p>
            <w:pPr>
              <w:ind w:left="210" w:hanging="170"/>
              <w:spacing w:after="50" w:line="252" w:lineRule="auto"/>
            </w:pPr>
            <w:r>
              <w:rPr>
                <w:color w:val="E8B830"/>
                <w:sz w:val="16"/>
              </w:rPr>
              <w:t xml:space="preserve">▪  </w:t>
            </w:r>
            <w:r>
              <w:rPr>
                <w:color w:val="E9EEF3"/>
                <w:sz w:val="18"/>
              </w:rPr>
              <w:t xml:space="preserve">Performance &amp; Career Coaching</w:t>
            </w:r>
          </w:p>
          <w:p>
            <w:pPr>
              <w:ind w:left="210" w:hanging="170"/>
              <w:spacing w:after="50" w:line="252" w:lineRule="auto"/>
            </w:pPr>
            <w:r>
              <w:rPr>
                <w:color w:val="E8B830"/>
                <w:sz w:val="16"/>
              </w:rPr>
              <w:t xml:space="preserve">▪  </w:t>
            </w:r>
            <w:r>
              <w:rPr>
                <w:color w:val="E9EEF3"/>
                <w:sz w:val="18"/>
              </w:rPr>
              <w:t xml:space="preserve">Somatic Coaching &amp; TRE®</w:t>
            </w:r>
          </w:p>
          <w:p>
            <w:pPr>
              <w:ind w:left="210" w:hanging="170"/>
              <w:spacing w:after="50" w:line="252" w:lineRule="auto"/>
            </w:pPr>
            <w:r>
              <w:rPr>
                <w:color w:val="E8B830"/>
                <w:sz w:val="16"/>
              </w:rPr>
              <w:t xml:space="preserve">▪  </w:t>
            </w:r>
            <w:r>
              <w:rPr>
                <w:color w:val="E9EEF3"/>
                <w:sz w:val="18"/>
              </w:rPr>
              <w:t xml:space="preserve">360° Debrief &amp; Feedback</w:t>
            </w:r>
          </w:p>
          <w:p>
            <w:pPr>
              <w:ind w:left="210" w:hanging="170"/>
              <w:spacing w:after="50" w:line="252" w:lineRule="auto"/>
            </w:pPr>
            <w:r>
              <w:rPr>
                <w:color w:val="E8B830"/>
                <w:sz w:val="16"/>
              </w:rPr>
              <w:t xml:space="preserve">▪  </w:t>
            </w:r>
            <w:r>
              <w:rPr>
                <w:color w:val="E9EEF3"/>
                <w:sz w:val="18"/>
              </w:rPr>
              <w:t xml:space="preserve">Conflict Management &amp; Mediation</w:t>
            </w:r>
          </w:p>
          <w:p>
            <w:pPr>
              <w:pBdr>
                <w:bottom w:val="single" w:sz="6" w:space="4" w:color="D4921A"/>
              </w:pBdr>
              <w:spacing w:before="240" w:after="110"/>
            </w:pPr>
            <w:r>
              <w:rPr>
                <w:rFonts w:ascii="Sora" w:hAnsi="Sora"/>
                <w:b/>
                <w:color w:val="FFFFFF"/>
                <w:sz w:val="20"/>
                <w:spacing w:val="24"/>
              </w:rPr>
              <w:t xml:space="preserve">LANGUAGES</w:t>
            </w:r>
          </w:p>
          <w:p>
            <w:pPr>
              <w:ind w:left="210" w:hanging="170"/>
              <w:spacing w:after="50" w:line="252" w:lineRule="auto"/>
            </w:pPr>
            <w:r>
              <w:rPr>
                <w:color w:val="E8B830"/>
                <w:sz w:val="16"/>
              </w:rPr>
              <w:t xml:space="preserve">▪  </w:t>
            </w:r>
            <w:r>
              <w:rPr>
                <w:color w:val="E9EEF3"/>
                <w:sz w:val="18"/>
              </w:rPr>
              <w:t xml:space="preserve">French — Native</w:t>
            </w:r>
          </w:p>
          <w:p>
            <w:pPr>
              <w:ind w:left="210" w:hanging="170"/>
              <w:spacing w:after="50" w:line="252" w:lineRule="auto"/>
            </w:pPr>
            <w:r>
              <w:rPr>
                <w:color w:val="E8B830"/>
                <w:sz w:val="16"/>
              </w:rPr>
              <w:t xml:space="preserve">▪  </w:t>
            </w:r>
            <w:r>
              <w:rPr>
                <w:color w:val="E9EEF3"/>
                <w:sz w:val="18"/>
              </w:rPr>
              <w:t xml:space="preserve">English — Fluent</w:t>
            </w:r>
          </w:p>
          <w:p>
            <w:pPr>
              <w:ind w:left="210" w:hanging="170"/>
              <w:spacing w:after="50" w:line="252" w:lineRule="auto"/>
            </w:pPr>
            <w:r>
              <w:rPr>
                <w:color w:val="E8B830"/>
                <w:sz w:val="16"/>
              </w:rPr>
              <w:t xml:space="preserve">▪  </w:t>
            </w:r>
            <w:r>
              <w:rPr>
                <w:color w:val="E9EEF3"/>
                <w:sz w:val="18"/>
              </w:rPr>
              <w:t xml:space="preserve">Spanish — Fluent</w:t>
            </w:r>
          </w:p>
        </w:tc>
        <w:tc>
          <w:tcPr>
            <w:tcW w:w="7686" w:type="dxa"/>
            <w:tcMar>
              <w:top w:w="200" w:type="dxa"/>
              <w:left w:w="360" w:type="dxa"/>
              <w:bottom w:w="200" w:type="dxa"/>
              <w:right w:w="200" w:type="dxa"/>
            </w:tcMar>
            <w:shd w:val="clear" w:color="auto" w:fill="FFFFFF"/>
            <w:vAlign w:val="top"/>
          </w:tcPr>
          <w:p>
            <w:pPr>
              <w:shd w:val="clear" w:color="auto" w:fill="FAF7F4"/>
              <w:ind w:left="150" w:right="150"/>
              <w:spacing w:before="140" w:after="170"/>
            </w:pPr>
            <w:r>
              <w:rPr>
                <w:rFonts w:ascii="Sora" w:hAnsi="Sora"/>
                <w:i/>
                <w:b/>
                <w:color w:val="0B2238"/>
                <w:sz w:val="24"/>
              </w:rPr>
              <w:t xml:space="preserve">"Helping You Find &amp; Forge Your Own Path"</w:t>
            </w:r>
          </w:p>
          <w:p>
            <w:pPr>
              <w:pBdr>
                <w:bottom w:val="single" w:sz="8" w:space="3" w:color="0B2238"/>
              </w:pBdr>
              <w:spacing w:before="230" w:after="110"/>
            </w:pPr>
            <w:r>
              <w:rPr>
                <w:rFonts w:ascii="Sora" w:hAnsi="Sora"/>
                <w:b/>
                <w:color w:val="0B2238"/>
                <w:sz w:val="23"/>
              </w:rPr>
              <w:t xml:space="preserve">Profile</w:t>
            </w:r>
          </w:p>
          <w:p>
            <w:pPr>
              <w:spacing w:after="100" w:line="264" w:lineRule="auto"/>
              <w:jc w:val="both"/>
            </w:pPr>
            <w:r>
              <w:rPr>
                <w:color w:val="23303F"/>
                <w:sz w:val="19"/>
              </w:rPr>
              <w:t xml:space="preserve">Isabelle brings 27+ years of Senior HR Business Partnering, Regional Talent Management, and Organisational Effectiveness experience across Europe, the US, Asia, Japan and Russia. A certified leadership coach since 2012, she has lived and worked in 9 countries — connecting authentically with clients navigating the human complexities of international business.</w:t>
            </w:r>
          </w:p>
          <w:p>
            <w:pPr>
              <w:pBdr>
                <w:bottom w:val="single" w:sz="8" w:space="3" w:color="0B2238"/>
              </w:pBdr>
              <w:spacing w:before="230" w:after="110"/>
            </w:pPr>
            <w:r>
              <w:rPr>
                <w:rFonts w:ascii="Sora" w:hAnsi="Sora"/>
                <w:b/>
                <w:color w:val="0B2238"/>
                <w:sz w:val="23"/>
              </w:rPr>
              <w:t xml:space="preserve">Coaching Specialisations</w:t>
            </w:r>
          </w:p>
          <w:p>
            <w:pPr>
              <w:ind w:left="250" w:hanging="190"/>
              <w:spacing w:after="50" w:line="258" w:lineRule="auto"/>
            </w:pPr>
            <w:r>
              <w:rPr>
                <w:color w:val="D4921A"/>
                <w:sz w:val="18"/>
              </w:rPr>
              <w:t xml:space="preserve">•  </w:t>
            </w:r>
            <w:r>
              <w:rPr>
                <w:color w:val="23303F"/>
                <w:sz w:val="18"/>
              </w:rPr>
              <w:t xml:space="preserve">Executive, Transition, Performance &amp; Career Coaching</w:t>
            </w:r>
          </w:p>
          <w:p>
            <w:pPr>
              <w:ind w:left="250" w:hanging="190"/>
              <w:spacing w:after="50" w:line="258" w:lineRule="auto"/>
            </w:pPr>
            <w:r>
              <w:rPr>
                <w:color w:val="D4921A"/>
                <w:sz w:val="18"/>
              </w:rPr>
              <w:t xml:space="preserve">•  </w:t>
            </w:r>
            <w:r>
              <w:rPr>
                <w:color w:val="23303F"/>
                <w:sz w:val="18"/>
              </w:rPr>
              <w:t xml:space="preserve">Somatic Coaching — body-based work integrated with neuroscience</w:t>
            </w:r>
          </w:p>
          <w:p>
            <w:pPr>
              <w:ind w:left="250" w:hanging="190"/>
              <w:spacing w:after="50" w:line="258" w:lineRule="auto"/>
            </w:pPr>
            <w:r>
              <w:rPr>
                <w:color w:val="D4921A"/>
                <w:sz w:val="18"/>
              </w:rPr>
              <w:t xml:space="preserve">•  </w:t>
            </w:r>
            <w:r>
              <w:rPr>
                <w:color w:val="23303F"/>
                <w:sz w:val="18"/>
              </w:rPr>
              <w:t xml:space="preserve">TRE® Provider &amp; Trainer Trainee (Tension &amp; Trauma Releasing Exercises)</w:t>
            </w:r>
          </w:p>
          <w:p>
            <w:pPr>
              <w:ind w:left="250" w:hanging="190"/>
              <w:spacing w:after="50" w:line="258" w:lineRule="auto"/>
            </w:pPr>
            <w:r>
              <w:rPr>
                <w:color w:val="D4921A"/>
                <w:sz w:val="18"/>
              </w:rPr>
              <w:t xml:space="preserve">•  </w:t>
            </w:r>
            <w:r>
              <w:rPr>
                <w:color w:val="23303F"/>
                <w:sz w:val="18"/>
              </w:rPr>
              <w:t xml:space="preserve">360° Debrief &amp; Multi-Perspective Feedback</w:t>
            </w:r>
          </w:p>
          <w:p>
            <w:pPr>
              <w:pBdr>
                <w:bottom w:val="single" w:sz="8" w:space="3" w:color="0B2238"/>
              </w:pBdr>
              <w:spacing w:before="230" w:after="110"/>
            </w:pPr>
            <w:r>
              <w:rPr>
                <w:rFonts w:ascii="Sora" w:hAnsi="Sora"/>
                <w:b/>
                <w:color w:val="0B2238"/>
                <w:sz w:val="23"/>
              </w:rPr>
              <w:t xml:space="preserve">Credentials &amp; Certifications</w:t>
            </w:r>
          </w:p>
          <w:p>
            <w:pPr>
              <w:ind w:left="250" w:hanging="190"/>
              <w:spacing w:after="50" w:line="258" w:lineRule="auto"/>
            </w:pPr>
            <w:r>
              <w:rPr>
                <w:color w:val="D4921A"/>
                <w:sz w:val="18"/>
              </w:rPr>
              <w:t xml:space="preserve">•  </w:t>
            </w:r>
            <w:r>
              <w:rPr>
                <w:color w:val="23303F"/>
                <w:sz w:val="18"/>
              </w:rPr>
              <w:t xml:space="preserve">Certified Leadership Coach since 2012 — 1,300+ paid coaching hours</w:t>
            </w:r>
          </w:p>
          <w:p>
            <w:pPr>
              <w:ind w:left="250" w:hanging="190"/>
              <w:spacing w:after="50" w:line="258" w:lineRule="auto"/>
            </w:pPr>
            <w:r>
              <w:rPr>
                <w:color w:val="D4921A"/>
                <w:sz w:val="18"/>
              </w:rPr>
              <w:t xml:space="preserve">•  </w:t>
            </w:r>
            <w:r>
              <w:rPr>
                <w:color w:val="23303F"/>
                <w:sz w:val="18"/>
              </w:rPr>
              <w:t xml:space="preserve">PCC — International Coaching Federation</w:t>
            </w:r>
          </w:p>
          <w:p>
            <w:pPr>
              <w:ind w:left="250" w:hanging="190"/>
              <w:spacing w:after="50" w:line="258" w:lineRule="auto"/>
            </w:pPr>
            <w:r>
              <w:rPr>
                <w:color w:val="D4921A"/>
                <w:sz w:val="18"/>
              </w:rPr>
              <w:t xml:space="preserve">•  </w:t>
            </w:r>
            <w:r>
              <w:rPr>
                <w:color w:val="23303F"/>
                <w:sz w:val="18"/>
              </w:rPr>
              <w:t xml:space="preserve">Accredited Mediator — Singapore International Mediation Institute (SIMI)</w:t>
            </w:r>
          </w:p>
          <w:p>
            <w:pPr>
              <w:ind w:left="250" w:hanging="190"/>
              <w:spacing w:after="50" w:line="258" w:lineRule="auto"/>
            </w:pPr>
            <w:r>
              <w:rPr>
                <w:color w:val="D4921A"/>
                <w:sz w:val="18"/>
              </w:rPr>
              <w:t xml:space="preserve">•  </w:t>
            </w:r>
            <w:r>
              <w:rPr>
                <w:color w:val="23303F"/>
                <w:sz w:val="18"/>
              </w:rPr>
              <w:t xml:space="preserve">Forbes Coaches Council Executive Contributor &amp; Brainz Magazine Contributor</w:t>
            </w:r>
          </w:p>
          <w:p>
            <w:pPr>
              <w:ind w:left="250" w:hanging="190"/>
              <w:spacing w:after="50" w:line="258" w:lineRule="auto"/>
            </w:pPr>
            <w:r>
              <w:rPr>
                <w:color w:val="D4921A"/>
                <w:sz w:val="18"/>
              </w:rPr>
              <w:t xml:space="preserve">•  </w:t>
            </w:r>
            <w:r>
              <w:rPr>
                <w:color w:val="23303F"/>
                <w:sz w:val="18"/>
              </w:rPr>
              <w:t xml:space="preserve">Accredited in Global Cultural Framework, Stakeholder-Centred Coaching, NeuroLeadership, Somatic &amp; Team Coaching</w:t>
            </w:r>
          </w:p>
          <w:p>
            <w:pPr>
              <w:pBdr>
                <w:bottom w:val="single" w:sz="8" w:space="3" w:color="0B2238"/>
              </w:pBdr>
              <w:spacing w:before="230" w:after="110"/>
            </w:pPr>
            <w:r>
              <w:rPr>
                <w:rFonts w:ascii="Sora" w:hAnsi="Sora"/>
                <w:b/>
                <w:color w:val="0B2238"/>
                <w:sz w:val="23"/>
              </w:rPr>
              <w:t xml:space="preserve">Global Perspective</w:t>
            </w:r>
          </w:p>
          <w:p>
            <w:pPr>
              <w:spacing w:after="100" w:line="264" w:lineRule="auto"/>
              <w:jc w:val="both"/>
            </w:pPr>
            <w:r>
              <w:rPr>
                <w:color w:val="23303F"/>
                <w:sz w:val="19"/>
              </w:rPr>
              <w:t xml:space="preserve">Fluent in French and English, Isabelle's multicultural background lets her engage meaningfully across cultures and industries — Automotive, Software, IT, Clinical Research, Trading, Shipping, Semiconductors, Pharmaceuticals, and Medical Devices.</w:t>
            </w:r>
          </w:p>
        </w:tc>
      </w:tr>
    </w:tbl>
    <w:sectPr>
      <w:pgSz w:w="11906" w:h="16838"/>
      <w:pgMar w:top="360" w:right="360" w:bottom="360" w:left="36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DM Sans" w:hAnsi="DM Sans" w:cs="DM Sans"/>
        <w:color w:val="23303F"/>
        <w:sz w:val="19"/>
        <w:szCs w:val="19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'1.0' encoding='UTF-8' standalone='yes'?>
<Relationships xmlns='http://schemas.openxmlformats.org/package/2006/relationships'><Relationship Id='rId1' Type='http://schemas.openxmlformats.org/officeDocument/2006/relationships/styles' Target='styles.xml'/><Relationship Id='rId100' Type='http://schemas.openxmlformats.org/officeDocument/2006/relationships/image' Target='media/portrait.jpg'/><Relationship Id='rId101' Type='http://schemas.openxmlformats.org/officeDocument/2006/relationships/image' Target='media/gold.jpg'/></Relationships>
</file>