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0" w:lineRule="exact"/>
        <w:rPr>
          <w:sz w:val="2"/>
        </w:rPr>
      </w:pPr>
      <w:r>
        <w:drawing>
          <wp:anchor distT="0" distB="0" distL="0" distR="0" simplePos="0" relativeHeight="5" behindDoc="1" locked="0" layoutInCell="1" allowOverlap="1">
            <wp:simplePos x="0" y="0"/>
            <wp:positionH relativeFrom="page">
              <wp:posOffset>6874500</wp:posOffset>
            </wp:positionH>
            <wp:positionV relativeFrom="page">
              <wp:posOffset>256032</wp:posOffset>
            </wp:positionV>
            <wp:extent cx="365760" cy="365760"/>
            <wp:effectExtent l="0" t="0" r="0" b="0"/>
            <wp:wrapNone/>
            <wp:docPr id="201" name="gold-tr"/>
            <wp:cNvGraphicFramePr/>
            <a:graphic xmlns:a="http://schemas.openxmlformats.org/drawingml/2006/main">
              <a:graphicData uri="http://schemas.openxmlformats.org/drawingml/2006/picture">
                <pic:pic xmlns:pic="http://schemas.openxmlformats.org/drawingml/2006/picture">
                  <pic:nvPicPr>
                    <pic:cNvPr id="201" name="gold-tr"/>
                    <pic:cNvPicPr/>
                  </pic:nvPicPr>
                  <pic:blipFill>
                    <a:blip r:embed="rId101"/>
                    <a:stretch>
                      <a:fillRect/>
                    </a:stretch>
                  </pic:blipFill>
                  <pic:spPr>
                    <a:xfrm>
                      <a:off x="0" y="0"/>
                      <a:ext cx="365760" cy="36576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274320</wp:posOffset>
            </wp:positionH>
            <wp:positionV relativeFrom="page">
              <wp:posOffset>10120000</wp:posOffset>
            </wp:positionV>
            <wp:extent cx="274320" cy="274320"/>
            <wp:effectExtent l="0" t="0" r="0" b="0"/>
            <wp:wrapNone/>
            <wp:docPr id="202" name="gold-bl"/>
            <wp:cNvGraphicFramePr/>
            <a:graphic xmlns:a="http://schemas.openxmlformats.org/drawingml/2006/main">
              <a:graphicData uri="http://schemas.openxmlformats.org/drawingml/2006/picture">
                <pic:pic xmlns:pic="http://schemas.openxmlformats.org/drawingml/2006/picture">
                  <pic:nvPicPr>
                    <pic:cNvPr id="202" name="gold-bl"/>
                    <pic:cNvPicPr/>
                  </pic:nvPicPr>
                  <pic:blipFill>
                    <a:blip r:embed="rId101"/>
                    <a:stretch>
                      <a:fillRect/>
                    </a:stretch>
                  </pic:blipFill>
                  <pic:spPr>
                    <a:xfrm>
                      <a:off x="0" y="0"/>
                      <a:ext cx="274320" cy="274320"/>
                    </a:xfrm>
                    <a:prstGeom prst="rect">
                      <a:avLst/>
                    </a:prstGeom>
                  </pic:spPr>
                </pic:pic>
              </a:graphicData>
            </a:graphic>
          </wp:anchor>
        </w:drawing>
      </w:r>
    </w:p>
    <w:tbl>
      <w:tblPr>
        <w:tblW w:w="11186" w:type="dxa"/>
        <w:tblLayout w:type="fixed"/>
        <w:tblInd w:w="0" w:type="dxa"/>
        <w:tblBorders>
          <w:top w:val="nil"/>
          <w:left w:val="nil"/>
          <w:bottom w:val="nil"/>
          <w:right w:val="nil"/>
          <w:insideH w:val="nil"/>
          <w:insideV w:val="nil"/>
        </w:tblBorders>
      </w:tblPr>
      <w:tblGrid>
        <w:gridCol w:w="3500"/>
        <w:gridCol w:w="7686"/>
      </w:tblGrid>
      <w:tr>
        <w:tc>
          <w:tcPr>
            <w:tcW w:w="3500" w:type="dxa"/>
            <w:tcMar>
              <w:top w:w="260" w:type="dxa"/>
              <w:left w:w="300" w:type="dxa"/>
              <w:bottom w:w="260" w:type="dxa"/>
              <w:right w:w="280" w:type="dxa"/>
            </w:tcMar>
            <w:shd w:val="clear" w:color="auto" w:fill="0B2238"/>
            <w:vAlign w:val="top"/>
          </w:tcPr>
          <w:p>
            <w:pPr>
              <w:jc w:val="center"/>
              <w:spacing w:before="60" w:after="40"/>
            </w:pPr>
            <w:r>
              <w:drawing>
                <wp:inline distT="0" distB="0" distL="0" distR="0">
                  <wp:extent cx="1737360" cy="2601241"/>
                  <wp:effectExtent l="0" t="0" r="0" b="0"/>
                  <wp:docPr id="100" nam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ortrait.jpg"/>
                          <pic:cNvPicPr/>
                        </pic:nvPicPr>
                        <pic:blipFill>
                          <a:blip r:embed="rId100"/>
                          <a:stretch>
                            <a:fillRect/>
                          </a:stretch>
                        </pic:blipFill>
                        <pic:spPr>
                          <a:xfrm>
                            <a:off x="0" y="0"/>
                            <a:ext cx="1737360" cy="2601241"/>
                          </a:xfrm>
                          <a:prstGeom prst="rect">
                            <a:avLst/>
                          </a:prstGeom>
                          <a:ln w="9525">
                            <a:solidFill>
                              <a:srgbClr val="D4921A"/>
                            </a:solidFill>
                          </a:ln>
                        </pic:spPr>
                      </pic:pic>
                    </a:graphicData>
                  </a:graphic>
                </wp:inline>
              </w:drawing>
            </w:r>
          </w:p>
          <w:p>
            <w:pPr>
              <w:spacing w:before="160" w:after="10"/>
            </w:pPr>
            <w:r>
              <w:rPr>
                <w:rFonts w:ascii="Sora" w:hAnsi="Sora"/>
                <w:b/>
                <w:color w:val="FFFFFF"/>
                <w:sz w:val="34"/>
              </w:rPr>
              <w:t xml:space="preserve">Rina Ho</w:t>
            </w:r>
          </w:p>
          <w:p>
            <w:pPr>
              <w:spacing w:before="0" w:after="40"/>
            </w:pPr>
            <w:r>
              <w:rPr>
                <w:i/>
                <w:color w:val="E8B830"/>
                <w:sz w:val="18"/>
              </w:rPr>
              <w:t xml:space="preserve">Executive Coach &amp; TRE® Practitioner</w:t>
            </w:r>
          </w:p>
          <w:p>
            <w:pPr>
              <w:pBdr>
                <w:bottom w:val="single" w:sz="6" w:space="4" w:color="D4921A"/>
              </w:pBdr>
              <w:spacing w:before="240" w:after="110"/>
            </w:pPr>
            <w:r>
              <w:rPr>
                <w:rFonts w:ascii="Sora" w:hAnsi="Sora"/>
                <w:b/>
                <w:color w:val="FFFFFF"/>
                <w:sz w:val="20"/>
                <w:spacing w:val="24"/>
              </w:rPr>
              <w:t xml:space="preserve">CONTACT</w:t>
            </w:r>
          </w:p>
          <w:p>
            <w:pPr>
              <w:spacing w:before="80" w:after="0"/>
            </w:pPr>
            <w:r>
              <w:rPr>
                <w:b/>
                <w:color w:val="E8B830"/>
                <w:sz w:val="17"/>
              </w:rPr>
              <w:t xml:space="preserve">Team</w:t>
            </w:r>
          </w:p>
          <w:p>
            <w:pPr>
              <w:spacing w:before="0" w:after="30"/>
            </w:pPr>
            <w:r>
              <w:rPr>
                <w:color w:val="E9EEF3"/>
                <w:sz w:val="18"/>
              </w:rPr>
              <w:t xml:space="preserve">BHD Asia</w:t>
            </w:r>
          </w:p>
          <w:p>
            <w:pPr>
              <w:spacing w:before="80" w:after="0"/>
            </w:pPr>
            <w:r>
              <w:rPr>
                <w:b/>
                <w:color w:val="E8B830"/>
                <w:sz w:val="17"/>
              </w:rPr>
              <w:t xml:space="preserve">Based</w:t>
            </w:r>
          </w:p>
          <w:p>
            <w:pPr>
              <w:spacing w:before="0" w:after="30"/>
            </w:pPr>
            <w:r>
              <w:rPr>
                <w:color w:val="E9EEF3"/>
                <w:sz w:val="18"/>
              </w:rPr>
              <w:t xml:space="preserve">Singapore</w:t>
            </w:r>
          </w:p>
          <w:p>
            <w:pPr>
              <w:spacing w:before="80" w:after="0"/>
            </w:pPr>
            <w:r>
              <w:rPr>
                <w:b/>
                <w:color w:val="E8B830"/>
                <w:sz w:val="17"/>
              </w:rPr>
              <w:t xml:space="preserve">E-mail</w:t>
            </w:r>
          </w:p>
          <w:p>
            <w:pPr>
              <w:spacing w:before="0" w:after="30"/>
            </w:pPr>
            <w:r>
              <w:rPr>
                <w:color w:val="E9EEF3"/>
                <w:sz w:val="18"/>
              </w:rPr>
              <w:t xml:space="preserve">isabelle@bhdasia.com</w:t>
            </w:r>
          </w:p>
          <w:p>
            <w:pPr>
              <w:spacing w:before="80" w:after="0"/>
            </w:pPr>
            <w:r>
              <w:rPr>
                <w:b/>
                <w:color w:val="E8B830"/>
                <w:sz w:val="17"/>
              </w:rPr>
              <w:t xml:space="preserve">Web</w:t>
            </w:r>
          </w:p>
          <w:p>
            <w:pPr>
              <w:spacing w:before="0" w:after="30"/>
            </w:pPr>
            <w:r>
              <w:rPr>
                <w:color w:val="E9EEF3"/>
                <w:sz w:val="18"/>
              </w:rPr>
              <w:t xml:space="preserve">bhdasia.com</w:t>
            </w:r>
          </w:p>
          <w:p>
            <w:pPr>
              <w:pBdr>
                <w:bottom w:val="single" w:sz="6" w:space="4" w:color="D4921A"/>
              </w:pBdr>
              <w:spacing w:before="240" w:after="110"/>
            </w:pPr>
            <w:r>
              <w:rPr>
                <w:rFonts w:ascii="Sora" w:hAnsi="Sora"/>
                <w:b/>
                <w:color w:val="FFFFFF"/>
                <w:sz w:val="20"/>
                <w:spacing w:val="24"/>
              </w:rPr>
              <w:t xml:space="preserve">CORE FOCUS</w:t>
            </w:r>
          </w:p>
          <w:p>
            <w:pPr>
              <w:ind w:left="210" w:hanging="170"/>
              <w:spacing w:after="50" w:line="252" w:lineRule="auto"/>
            </w:pPr>
            <w:r>
              <w:rPr>
                <w:color w:val="E8B830"/>
                <w:sz w:val="16"/>
              </w:rPr>
              <w:t xml:space="preserve">▪  </w:t>
            </w:r>
            <w:r>
              <w:rPr>
                <w:color w:val="E9EEF3"/>
                <w:sz w:val="18"/>
              </w:rPr>
              <w:t xml:space="preserve">Executive Coaching</w:t>
            </w:r>
          </w:p>
          <w:p>
            <w:pPr>
              <w:ind w:left="210" w:hanging="170"/>
              <w:spacing w:after="50" w:line="252" w:lineRule="auto"/>
            </w:pPr>
            <w:r>
              <w:rPr>
                <w:color w:val="E8B830"/>
                <w:sz w:val="16"/>
              </w:rPr>
              <w:t xml:space="preserve">▪  </w:t>
            </w:r>
            <w:r>
              <w:rPr>
                <w:color w:val="E9EEF3"/>
                <w:sz w:val="18"/>
              </w:rPr>
              <w:t xml:space="preserve">Leadership Development</w:t>
            </w:r>
          </w:p>
          <w:p>
            <w:pPr>
              <w:ind w:left="210" w:hanging="170"/>
              <w:spacing w:after="50" w:line="252" w:lineRule="auto"/>
            </w:pPr>
            <w:r>
              <w:rPr>
                <w:color w:val="E8B830"/>
                <w:sz w:val="16"/>
              </w:rPr>
              <w:t xml:space="preserve">▪  </w:t>
            </w:r>
            <w:r>
              <w:rPr>
                <w:color w:val="E9EEF3"/>
                <w:sz w:val="18"/>
              </w:rPr>
              <w:t xml:space="preserve">Team Effectiveness</w:t>
            </w:r>
          </w:p>
          <w:p>
            <w:pPr>
              <w:ind w:left="210" w:hanging="170"/>
              <w:spacing w:after="50" w:line="252" w:lineRule="auto"/>
            </w:pPr>
            <w:r>
              <w:rPr>
                <w:color w:val="E8B830"/>
                <w:sz w:val="16"/>
              </w:rPr>
              <w:t xml:space="preserve">▪  </w:t>
            </w:r>
            <w:r>
              <w:rPr>
                <w:color w:val="E9EEF3"/>
                <w:sz w:val="18"/>
              </w:rPr>
              <w:t xml:space="preserve">Somatic Regulation (TRE®)</w:t>
            </w:r>
          </w:p>
          <w:p>
            <w:pPr>
              <w:ind w:left="210" w:hanging="170"/>
              <w:spacing w:after="50" w:line="252" w:lineRule="auto"/>
            </w:pPr>
            <w:r>
              <w:rPr>
                <w:color w:val="E8B830"/>
                <w:sz w:val="16"/>
              </w:rPr>
              <w:t xml:space="preserve">▪  </w:t>
            </w:r>
            <w:r>
              <w:rPr>
                <w:color w:val="E9EEF3"/>
                <w:sz w:val="18"/>
              </w:rPr>
              <w:t xml:space="preserve">Trust &amp; Culture Building</w:t>
            </w:r>
          </w:p>
          <w:p>
            <w:pPr>
              <w:ind w:left="210" w:hanging="170"/>
              <w:spacing w:after="50" w:line="252" w:lineRule="auto"/>
            </w:pPr>
            <w:r>
              <w:rPr>
                <w:color w:val="E8B830"/>
                <w:sz w:val="16"/>
              </w:rPr>
              <w:t xml:space="preserve">▪  </w:t>
            </w:r>
            <w:r>
              <w:rPr>
                <w:color w:val="E9EEF3"/>
                <w:sz w:val="18"/>
              </w:rPr>
              <w:t xml:space="preserve">Cross-Cultural Leadership</w:t>
            </w:r>
          </w:p>
          <w:p>
            <w:pPr>
              <w:pBdr>
                <w:bottom w:val="single" w:sz="6" w:space="4" w:color="D4921A"/>
              </w:pBdr>
              <w:spacing w:before="240" w:after="110"/>
            </w:pPr>
            <w:r>
              <w:rPr>
                <w:rFonts w:ascii="Sora" w:hAnsi="Sora"/>
                <w:b/>
                <w:color w:val="FFFFFF"/>
                <w:sz w:val="20"/>
                <w:spacing w:val="24"/>
              </w:rPr>
              <w:t xml:space="preserve">LANGUAGES</w:t>
            </w:r>
          </w:p>
          <w:p>
            <w:pPr>
              <w:ind w:left="210" w:hanging="170"/>
              <w:spacing w:after="50" w:line="252" w:lineRule="auto"/>
            </w:pPr>
            <w:r>
              <w:rPr>
                <w:color w:val="E8B830"/>
                <w:sz w:val="16"/>
              </w:rPr>
              <w:t xml:space="preserve">▪  </w:t>
            </w:r>
            <w:r>
              <w:rPr>
                <w:color w:val="E9EEF3"/>
                <w:sz w:val="18"/>
              </w:rPr>
              <w:t xml:space="preserve">English</w:t>
            </w:r>
          </w:p>
          <w:p>
            <w:pPr>
              <w:ind w:left="210" w:hanging="170"/>
              <w:spacing w:after="50" w:line="252" w:lineRule="auto"/>
            </w:pPr>
            <w:r>
              <w:rPr>
                <w:color w:val="E8B830"/>
                <w:sz w:val="16"/>
              </w:rPr>
              <w:t xml:space="preserve">▪  </w:t>
            </w:r>
            <w:r>
              <w:rPr>
                <w:color w:val="E9EEF3"/>
                <w:sz w:val="18"/>
              </w:rPr>
              <w:t xml:space="preserve">Mandarin</w:t>
            </w:r>
          </w:p>
        </w:tc>
        <w:tc>
          <w:tcPr>
            <w:tcW w:w="7686" w:type="dxa"/>
            <w:tcMar>
              <w:top w:w="200" w:type="dxa"/>
              <w:left w:w="360" w:type="dxa"/>
              <w:bottom w:w="200" w:type="dxa"/>
              <w:right w:w="200" w:type="dxa"/>
            </w:tcMar>
            <w:shd w:val="clear" w:color="auto" w:fill="FFFFFF"/>
            <w:vAlign w:val="top"/>
          </w:tcPr>
          <w:p>
            <w:pPr>
              <w:shd w:val="clear" w:color="auto" w:fill="FAF7F4"/>
              <w:ind w:left="150" w:right="150"/>
              <w:spacing w:before="140" w:after="170"/>
            </w:pPr>
            <w:r>
              <w:rPr>
                <w:rFonts w:ascii="Sora" w:hAnsi="Sora"/>
                <w:i/>
                <w:b/>
                <w:color w:val="0B2238"/>
                <w:sz w:val="24"/>
              </w:rPr>
              <w:t xml:space="preserve">"A commercially grounded coach and TRE® practitioner, helping leaders and teams build regulation, resilience and sustainable performance."</w:t>
            </w:r>
          </w:p>
          <w:p>
            <w:pPr>
              <w:pBdr>
                <w:bottom w:val="single" w:sz="8" w:space="3" w:color="0B2238"/>
              </w:pBdr>
              <w:spacing w:before="230" w:after="110"/>
            </w:pPr>
            <w:r>
              <w:rPr>
                <w:rFonts w:ascii="Sora" w:hAnsi="Sora"/>
                <w:b/>
                <w:color w:val="0B2238"/>
                <w:sz w:val="23"/>
              </w:rPr>
              <w:t xml:space="preserve">Profile</w:t>
            </w:r>
          </w:p>
          <w:p>
            <w:pPr>
              <w:spacing w:after="100" w:line="264" w:lineRule="auto"/>
              <w:jc w:val="both"/>
            </w:pPr>
            <w:r>
              <w:rPr>
                <w:color w:val="23303F"/>
                <w:sz w:val="19"/>
              </w:rPr>
              <w:t xml:space="preserve">Part of the BHD Asia team, Rina Ho is an executive coach, leadership-development professional and TRE® practitioner with more than 25 years of experience across Sony, Reebok and adidas. She brings a commercially grounded, warm and appropriately challenging style — helping clients deepen self-awareness, strengthen regulation, and create meaningful shifts that support both leadership effectiveness and sustainable performance.</w:t>
            </w:r>
          </w:p>
          <w:p>
            <w:pPr>
              <w:pBdr>
                <w:bottom w:val="single" w:sz="8" w:space="3" w:color="0B2238"/>
              </w:pBdr>
              <w:spacing w:before="230" w:after="110"/>
            </w:pPr>
            <w:r>
              <w:rPr>
                <w:rFonts w:ascii="Sora" w:hAnsi="Sora"/>
                <w:b/>
                <w:color w:val="0B2238"/>
                <w:sz w:val="23"/>
              </w:rPr>
              <w:t xml:space="preserve">Corporate &amp; Leadership Experience</w:t>
            </w:r>
          </w:p>
          <w:p>
            <w:pPr>
              <w:spacing w:after="100" w:line="264" w:lineRule="auto"/>
              <w:jc w:val="both"/>
            </w:pPr>
            <w:r>
              <w:rPr>
                <w:color w:val="23303F"/>
                <w:sz w:val="19"/>
              </w:rPr>
              <w:t xml:space="preserve">Rina's career spans business strategy, marketing, product creation, merchandising and retail operations across Asia Pacific and Greater China. As Vice President at adidas, she led the company's largest business unit in the region — accountable for go-to-market strategy and execution that drove market share, revenue, retail profit and brand equity across omnichannel.</w:t>
            </w:r>
          </w:p>
          <w:p>
            <w:pPr>
              <w:spacing w:after="100" w:line="264" w:lineRule="auto"/>
              <w:jc w:val="both"/>
            </w:pPr>
            <w:r>
              <w:rPr>
                <w:color w:val="23303F"/>
                <w:sz w:val="19"/>
              </w:rPr>
              <w:t xml:space="preserve">She is adept at navigating complex, multicultural matrix organisations, fostering collaboration and building high-performing teams, and works fluently across cultures and levels.</w:t>
            </w:r>
          </w:p>
          <w:p>
            <w:pPr>
              <w:pBdr>
                <w:bottom w:val="single" w:sz="8" w:space="3" w:color="0B2238"/>
              </w:pBdr>
              <w:spacing w:before="230" w:after="110"/>
            </w:pPr>
            <w:r>
              <w:rPr>
                <w:rFonts w:ascii="Sora" w:hAnsi="Sora"/>
                <w:b/>
                <w:color w:val="0B2238"/>
                <w:sz w:val="23"/>
              </w:rPr>
              <w:t xml:space="preserve">Coaching &amp; TRE® Practice</w:t>
            </w:r>
          </w:p>
          <w:p>
            <w:pPr>
              <w:spacing w:after="100" w:line="264" w:lineRule="auto"/>
              <w:jc w:val="both"/>
            </w:pPr>
            <w:r>
              <w:rPr>
                <w:color w:val="23303F"/>
                <w:sz w:val="19"/>
              </w:rPr>
              <w:t xml:space="preserve">Rina coaches senior leaders to broaden perspective, build trust and make practical shifts that strengthen both leadership effectiveness and business outcomes. As a TRE® practitioner, she supports clients in developing greater body awareness, self-regulation and resilience — bringing a practical somatic approach to stress management and sustainable leadership.</w:t>
            </w:r>
          </w:p>
          <w:p>
            <w:pPr>
              <w:spacing w:after="100" w:line="264" w:lineRule="auto"/>
              <w:jc w:val="both"/>
            </w:pPr>
            <w:r>
              <w:rPr>
                <w:color w:val="23303F"/>
                <w:sz w:val="19"/>
              </w:rPr>
              <w:t xml:space="preserve">Working in English and Mandarin, she has coached leaders across consumer goods, automotive, oil and gas, electronics and pharmaceuticals.</w:t>
            </w:r>
          </w:p>
          <w:p>
            <w:pPr>
              <w:pBdr>
                <w:bottom w:val="single" w:sz="8" w:space="3" w:color="0B2238"/>
              </w:pBdr>
              <w:spacing w:before="230" w:after="110"/>
            </w:pPr>
            <w:r>
              <w:rPr>
                <w:rFonts w:ascii="Sora" w:hAnsi="Sora"/>
                <w:b/>
                <w:color w:val="0B2238"/>
                <w:sz w:val="23"/>
              </w:rPr>
              <w:t xml:space="preserve">Credentials</w:t>
            </w:r>
          </w:p>
          <w:p>
            <w:pPr>
              <w:ind w:left="250" w:hanging="190"/>
              <w:spacing w:after="50" w:line="258" w:lineRule="auto"/>
            </w:pPr>
            <w:r>
              <w:rPr>
                <w:color w:val="D4921A"/>
                <w:sz w:val="18"/>
              </w:rPr>
              <w:t xml:space="preserve">•  </w:t>
            </w:r>
            <w:r>
              <w:rPr>
                <w:color w:val="23303F"/>
                <w:sz w:val="18"/>
              </w:rPr>
              <w:t xml:space="preserve">Associate Certified Coach (ACC) — International Coaching Federation</w:t>
            </w:r>
          </w:p>
          <w:p>
            <w:pPr>
              <w:ind w:left="250" w:hanging="190"/>
              <w:spacing w:after="50" w:line="258" w:lineRule="auto"/>
            </w:pPr>
            <w:r>
              <w:rPr>
                <w:color w:val="D4921A"/>
                <w:sz w:val="18"/>
              </w:rPr>
              <w:t xml:space="preserve">•  </w:t>
            </w:r>
            <w:r>
              <w:rPr>
                <w:color w:val="23303F"/>
                <w:sz w:val="18"/>
              </w:rPr>
              <w:t xml:space="preserve">Newfield Certified Ontological Coach — Individuals &amp; Teams</w:t>
            </w:r>
          </w:p>
          <w:p>
            <w:pPr>
              <w:ind w:left="250" w:hanging="190"/>
              <w:spacing w:after="50" w:line="258" w:lineRule="auto"/>
            </w:pPr>
            <w:r>
              <w:rPr>
                <w:color w:val="D4921A"/>
                <w:sz w:val="18"/>
              </w:rPr>
              <w:t xml:space="preserve">•  </w:t>
            </w:r>
            <w:r>
              <w:rPr>
                <w:color w:val="23303F"/>
                <w:sz w:val="18"/>
              </w:rPr>
              <w:t xml:space="preserve">TRE® (Tension &amp; Trauma Release Exercises) Practitioner</w:t>
            </w:r>
          </w:p>
          <w:p>
            <w:pPr>
              <w:ind w:left="250" w:hanging="190"/>
              <w:spacing w:after="50" w:line="258" w:lineRule="auto"/>
            </w:pPr>
            <w:r>
              <w:rPr>
                <w:color w:val="D4921A"/>
                <w:sz w:val="18"/>
              </w:rPr>
              <w:t xml:space="preserve">•  </w:t>
            </w:r>
            <w:r>
              <w:rPr>
                <w:color w:val="23303F"/>
                <w:sz w:val="18"/>
              </w:rPr>
              <w:t xml:space="preserve">Certified Trust at Work Practitioner</w:t>
            </w:r>
          </w:p>
          <w:p>
            <w:pPr>
              <w:ind w:left="250" w:hanging="190"/>
              <w:spacing w:after="50" w:line="258" w:lineRule="auto"/>
            </w:pPr>
            <w:r>
              <w:rPr>
                <w:color w:val="D4921A"/>
                <w:sz w:val="18"/>
              </w:rPr>
              <w:t xml:space="preserve">•  </w:t>
            </w:r>
            <w:r>
              <w:rPr>
                <w:color w:val="23303F"/>
                <w:sz w:val="18"/>
              </w:rPr>
              <w:t xml:space="preserve">Advanced Certificate in Leadership &amp; Performance — Institute of Adult Learning</w:t>
            </w:r>
          </w:p>
          <w:p>
            <w:pPr>
              <w:ind w:left="250" w:hanging="190"/>
              <w:spacing w:after="50" w:line="258" w:lineRule="auto"/>
            </w:pPr>
            <w:r>
              <w:rPr>
                <w:color w:val="D4921A"/>
                <w:sz w:val="18"/>
              </w:rPr>
              <w:t xml:space="preserve">•  </w:t>
            </w:r>
            <w:r>
              <w:rPr>
                <w:color w:val="23303F"/>
                <w:sz w:val="18"/>
              </w:rPr>
              <w:t xml:space="preserve">Bachelor of Business Studies — Nanyang Technological University</w:t>
            </w:r>
          </w:p>
          <w:p>
            <w:pPr>
              <w:pBdr>
                <w:bottom w:val="single" w:sz="8" w:space="3" w:color="0B2238"/>
              </w:pBdr>
              <w:spacing w:before="230" w:after="110"/>
            </w:pPr>
            <w:r>
              <w:rPr>
                <w:rFonts w:ascii="Sora" w:hAnsi="Sora"/>
                <w:b/>
                <w:color w:val="0B2238"/>
                <w:sz w:val="23"/>
              </w:rPr>
              <w:t xml:space="preserve">Publications</w:t>
            </w:r>
          </w:p>
          <w:p>
            <w:pPr>
              <w:spacing w:after="100" w:line="264" w:lineRule="auto"/>
              <w:jc w:val="both"/>
            </w:pPr>
            <w:r>
              <w:rPr>
                <w:color w:val="23303F"/>
                <w:sz w:val="19"/>
              </w:rPr>
              <w:t xml:space="preserve">Co-author of "The Purple Book of Coaching" — a collection of practices for living and leading meaningfully.</w:t>
            </w:r>
          </w:p>
          <w:p>
            <w:pPr>
              <w:pBdr>
                <w:bottom w:val="single" w:sz="8" w:space="3" w:color="0B2238"/>
              </w:pBdr>
              <w:spacing w:before="230" w:after="110"/>
            </w:pPr>
            <w:r>
              <w:rPr>
                <w:rFonts w:ascii="Sora" w:hAnsi="Sora"/>
                <w:b/>
                <w:color w:val="0B2238"/>
                <w:sz w:val="23"/>
              </w:rPr>
              <w:t xml:space="preserve">Beyond Work</w:t>
            </w:r>
          </w:p>
          <w:p>
            <w:pPr>
              <w:spacing w:after="100" w:line="264" w:lineRule="auto"/>
              <w:jc w:val="both"/>
            </w:pPr>
            <w:r>
              <w:rPr>
                <w:color w:val="23303F"/>
                <w:sz w:val="19"/>
              </w:rPr>
              <w:t xml:space="preserve">Originally from Singapore and now based there, Rina has lived in Hong Kong and Shanghai. She finds joy in cycling, hiking, travelling, and following her curiosity into new adventures.</w:t>
            </w:r>
          </w:p>
        </w:tc>
      </w:tr>
    </w:tbl>
    <w:sectPr>
      <w:pgSz w:w="11906" w:h="16838"/>
      <w:pgMar w:top="360" w:right="360" w:bottom="360" w:left="360" w:header="0" w:footer="0" w:gutter="0"/>
    </w:sectPr>
  </w:body>
</w:document>
</file>

<file path=word/styles.xml><?xml version="1.0" encoding="utf-8"?>
<w:styles xmlns:w="http://schemas.openxmlformats.org/wordprocessingml/2006/main">
  <w:docDefaults>
    <w:rPrDefault>
      <w:rPr>
        <w:rFonts w:ascii="DM Sans" w:hAnsi="DM Sans" w:cs="DM Sans"/>
        <w:color w:val="23303F"/>
        <w:sz w:val="19"/>
        <w:szCs w:val="19"/>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portrait.jpg'/><Relationship Id='rId101' Type='http://schemas.openxmlformats.org/officeDocument/2006/relationships/image' Target='media/gold.jpg'/></Relationships>
</file>