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0" w:lineRule="exact"/>
        <w:rPr>
          <w:sz w:val="2"/>
        </w:rPr>
      </w:pPr>
      <w:r>
        <w:drawing>
          <wp:anchor distT="0" distB="0" distL="0" distR="0" simplePos="0" relativeHeight="5" behindDoc="1" locked="0" layoutInCell="1" allowOverlap="1">
            <wp:simplePos x="0" y="0"/>
            <wp:positionH relativeFrom="page">
              <wp:posOffset>6874500</wp:posOffset>
            </wp:positionH>
            <wp:positionV relativeFrom="page">
              <wp:posOffset>256032</wp:posOffset>
            </wp:positionV>
            <wp:extent cx="365760" cy="365760"/>
            <wp:effectExtent l="0" t="0" r="0" b="0"/>
            <wp:wrapNone/>
            <wp:docPr id="201" name="gold-tr"/>
            <wp:cNvGraphicFramePr/>
            <a:graphic xmlns:a="http://schemas.openxmlformats.org/drawingml/2006/main">
              <a:graphicData uri="http://schemas.openxmlformats.org/drawingml/2006/picture">
                <pic:pic xmlns:pic="http://schemas.openxmlformats.org/drawingml/2006/picture">
                  <pic:nvPicPr>
                    <pic:cNvPr id="201" name="gold-tr"/>
                    <pic:cNvPicPr/>
                  </pic:nvPicPr>
                  <pic:blipFill>
                    <a:blip r:embed="rId101"/>
                    <a:stretch>
                      <a:fillRect/>
                    </a:stretch>
                  </pic:blipFill>
                  <pic:spPr>
                    <a:xfrm>
                      <a:off x="0" y="0"/>
                      <a:ext cx="365760" cy="36576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274320</wp:posOffset>
            </wp:positionH>
            <wp:positionV relativeFrom="page">
              <wp:posOffset>10120000</wp:posOffset>
            </wp:positionV>
            <wp:extent cx="274320" cy="274320"/>
            <wp:effectExtent l="0" t="0" r="0" b="0"/>
            <wp:wrapNone/>
            <wp:docPr id="202" name="gold-bl"/>
            <wp:cNvGraphicFramePr/>
            <a:graphic xmlns:a="http://schemas.openxmlformats.org/drawingml/2006/main">
              <a:graphicData uri="http://schemas.openxmlformats.org/drawingml/2006/picture">
                <pic:pic xmlns:pic="http://schemas.openxmlformats.org/drawingml/2006/picture">
                  <pic:nvPicPr>
                    <pic:cNvPr id="202" name="gold-bl"/>
                    <pic:cNvPicPr/>
                  </pic:nvPicPr>
                  <pic:blipFill>
                    <a:blip r:embed="rId101"/>
                    <a:stretch>
                      <a:fillRect/>
                    </a:stretch>
                  </pic:blipFill>
                  <pic:spPr>
                    <a:xfrm>
                      <a:off x="0" y="0"/>
                      <a:ext cx="274320" cy="274320"/>
                    </a:xfrm>
                    <a:prstGeom prst="rect">
                      <a:avLst/>
                    </a:prstGeom>
                  </pic:spPr>
                </pic:pic>
              </a:graphicData>
            </a:graphic>
          </wp:anchor>
        </w:drawing>
      </w:r>
    </w:p>
    <w:tbl>
      <w:tblPr>
        <w:tblW w:w="11186" w:type="dxa"/>
        <w:tblLayout w:type="fixed"/>
        <w:tblInd w:w="0" w:type="dxa"/>
        <w:tblBorders>
          <w:top w:val="nil"/>
          <w:left w:val="nil"/>
          <w:bottom w:val="nil"/>
          <w:right w:val="nil"/>
          <w:insideH w:val="nil"/>
          <w:insideV w:val="nil"/>
        </w:tblBorders>
      </w:tblPr>
      <w:tblGrid>
        <w:gridCol w:w="3500"/>
        <w:gridCol w:w="7686"/>
      </w:tblGrid>
      <w:tr>
        <w:tc>
          <w:tcPr>
            <w:tcW w:w="3500" w:type="dxa"/>
            <w:tcMar>
              <w:top w:w="260" w:type="dxa"/>
              <w:left w:w="300" w:type="dxa"/>
              <w:bottom w:w="260" w:type="dxa"/>
              <w:right w:w="280" w:type="dxa"/>
            </w:tcMar>
            <w:shd w:val="clear" w:color="auto" w:fill="0B2238"/>
            <w:vAlign w:val="top"/>
          </w:tcPr>
          <w:p>
            <w:pPr>
              <w:jc w:val="center"/>
              <w:spacing w:before="60" w:after="40"/>
            </w:pPr>
            <w:r>
              <w:drawing>
                <wp:inline distT="0" distB="0" distL="0" distR="0">
                  <wp:extent cx="1737360" cy="1737360"/>
                  <wp:effectExtent l="0" t="0" r="0" b="0"/>
                  <wp:docPr id="100" name="portr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ortrait.jpg"/>
                          <pic:cNvPicPr/>
                        </pic:nvPicPr>
                        <pic:blipFill>
                          <a:blip r:embed="rId100"/>
                          <a:stretch>
                            <a:fillRect/>
                          </a:stretch>
                        </pic:blipFill>
                        <pic:spPr>
                          <a:xfrm>
                            <a:off x="0" y="0"/>
                            <a:ext cx="1737360" cy="1737360"/>
                          </a:xfrm>
                          <a:prstGeom prst="rect">
                            <a:avLst/>
                          </a:prstGeom>
                          <a:ln w="9525">
                            <a:solidFill>
                              <a:srgbClr val="D4921A"/>
                            </a:solidFill>
                          </a:ln>
                        </pic:spPr>
                      </pic:pic>
                    </a:graphicData>
                  </a:graphic>
                </wp:inline>
              </w:drawing>
            </w:r>
          </w:p>
          <w:p>
            <w:pPr>
              <w:spacing w:before="160" w:after="10"/>
            </w:pPr>
            <w:r>
              <w:rPr>
                <w:rFonts w:ascii="Sora" w:hAnsi="Sora"/>
                <w:b/>
                <w:color w:val="FFFFFF"/>
                <w:sz w:val="34"/>
              </w:rPr>
              <w:t xml:space="preserve">Isabelle Claus Teixeira</w:t>
            </w:r>
          </w:p>
          <w:p>
            <w:pPr>
              <w:spacing w:before="0" w:after="40"/>
            </w:pPr>
            <w:r>
              <w:rPr>
                <w:i/>
                <w:color w:val="E8B830"/>
                <w:sz w:val="18"/>
              </w:rPr>
              <w:t xml:space="preserve">Executive Coach &amp; HR Consultant</w:t>
            </w:r>
          </w:p>
          <w:p>
            <w:pPr>
              <w:pBdr>
                <w:bottom w:val="single" w:sz="6" w:space="4" w:color="D4921A"/>
              </w:pBdr>
              <w:spacing w:before="260" w:after="120"/>
            </w:pPr>
            <w:r>
              <w:rPr>
                <w:rFonts w:ascii="Sora" w:hAnsi="Sora"/>
                <w:b/>
                <w:color w:val="FFFFFF"/>
                <w:sz w:val="20"/>
                <w:spacing w:val="24"/>
              </w:rPr>
              <w:t xml:space="preserve">CONTACT</w:t>
            </w:r>
          </w:p>
          <w:p>
            <w:pPr>
              <w:spacing w:before="80" w:after="0"/>
            </w:pPr>
            <w:r>
              <w:rPr>
                <w:b/>
                <w:color w:val="E8B830"/>
                <w:sz w:val="17"/>
              </w:rPr>
              <w:t xml:space="preserve">Location</w:t>
            </w:r>
          </w:p>
          <w:p>
            <w:pPr>
              <w:spacing w:before="0" w:after="30"/>
            </w:pPr>
            <w:r>
              <w:rPr>
                <w:color w:val="E9EEF3"/>
                <w:sz w:val="18"/>
              </w:rPr>
              <w:t xml:space="preserve">Kyoto, Japan</w:t>
            </w:r>
          </w:p>
          <w:p>
            <w:pPr>
              <w:spacing w:before="80" w:after="0"/>
            </w:pPr>
            <w:r>
              <w:rPr>
                <w:b/>
                <w:color w:val="E8B830"/>
                <w:sz w:val="17"/>
              </w:rPr>
              <w:t xml:space="preserve">Phone</w:t>
            </w:r>
          </w:p>
          <w:p>
            <w:pPr>
              <w:spacing w:before="0" w:after="30"/>
            </w:pPr>
            <w:r>
              <w:rPr>
                <w:color w:val="E9EEF3"/>
                <w:sz w:val="18"/>
              </w:rPr>
              <w:t xml:space="preserve">+81 80 6515 1778</w:t>
            </w:r>
          </w:p>
          <w:p>
            <w:pPr>
              <w:spacing w:before="80" w:after="0"/>
            </w:pPr>
            <w:r>
              <w:rPr>
                <w:b/>
                <w:color w:val="E8B830"/>
                <w:sz w:val="17"/>
              </w:rPr>
              <w:t xml:space="preserve">E-mail</w:t>
            </w:r>
          </w:p>
          <w:p>
            <w:pPr>
              <w:spacing w:before="0" w:after="30"/>
            </w:pPr>
            <w:r>
              <w:rPr>
                <w:color w:val="E9EEF3"/>
                <w:sz w:val="18"/>
              </w:rPr>
              <w:t xml:space="preserve">isabelle@bhdasia.com</w:t>
            </w:r>
          </w:p>
          <w:p>
            <w:pPr>
              <w:spacing w:before="80" w:after="0"/>
            </w:pPr>
            <w:r>
              <w:rPr>
                <w:b/>
                <w:color w:val="E8B830"/>
                <w:sz w:val="17"/>
              </w:rPr>
              <w:t xml:space="preserve">Web</w:t>
            </w:r>
          </w:p>
          <w:p>
            <w:pPr>
              <w:spacing w:before="0" w:after="30"/>
            </w:pPr>
            <w:r>
              <w:rPr>
                <w:color w:val="E9EEF3"/>
                <w:sz w:val="18"/>
              </w:rPr>
              <w:t xml:space="preserve">bhdasia.com</w:t>
            </w:r>
          </w:p>
          <w:p>
            <w:pPr>
              <w:spacing w:before="80" w:after="0"/>
            </w:pPr>
            <w:r>
              <w:rPr>
                <w:b/>
                <w:color w:val="E8B830"/>
                <w:sz w:val="17"/>
              </w:rPr>
              <w:t xml:space="preserve">Nationality</w:t>
            </w:r>
          </w:p>
          <w:p>
            <w:pPr>
              <w:spacing w:before="0" w:after="30"/>
            </w:pPr>
            <w:r>
              <w:rPr>
                <w:color w:val="E9EEF3"/>
                <w:sz w:val="18"/>
              </w:rPr>
              <w:t xml:space="preserve">French  ·  Japan PR</w:t>
            </w:r>
          </w:p>
          <w:p>
            <w:pPr>
              <w:pBdr>
                <w:bottom w:val="single" w:sz="6" w:space="4" w:color="D4921A"/>
              </w:pBdr>
              <w:spacing w:before="260" w:after="120"/>
            </w:pPr>
            <w:r>
              <w:rPr>
                <w:rFonts w:ascii="Sora" w:hAnsi="Sora"/>
                <w:b/>
                <w:color w:val="FFFFFF"/>
                <w:sz w:val="20"/>
                <w:spacing w:val="24"/>
              </w:rPr>
              <w:t xml:space="preserve">CORE COMPETENCIES</w:t>
            </w:r>
          </w:p>
          <w:p>
            <w:pPr>
              <w:ind w:left="210" w:hanging="170"/>
              <w:spacing w:after="40" w:line="252" w:lineRule="auto"/>
            </w:pPr>
            <w:r>
              <w:rPr>
                <w:color w:val="E8B830"/>
                <w:sz w:val="16"/>
              </w:rPr>
              <w:t xml:space="preserve">▪  </w:t>
            </w:r>
            <w:r>
              <w:rPr>
                <w:color w:val="E9EEF3"/>
                <w:sz w:val="18"/>
              </w:rPr>
              <w:t xml:space="preserve">Executive &amp; Leadership Coaching</w:t>
            </w:r>
          </w:p>
          <w:p>
            <w:pPr>
              <w:ind w:left="210" w:hanging="170"/>
              <w:spacing w:after="40" w:line="252" w:lineRule="auto"/>
            </w:pPr>
            <w:r>
              <w:rPr>
                <w:color w:val="E8B830"/>
                <w:sz w:val="16"/>
              </w:rPr>
              <w:t xml:space="preserve">▪  </w:t>
            </w:r>
            <w:r>
              <w:rPr>
                <w:color w:val="E9EEF3"/>
                <w:sz w:val="18"/>
              </w:rPr>
              <w:t xml:space="preserve">Talent Management &amp; OD</w:t>
            </w:r>
          </w:p>
          <w:p>
            <w:pPr>
              <w:ind w:left="210" w:hanging="170"/>
              <w:spacing w:after="40" w:line="252" w:lineRule="auto"/>
            </w:pPr>
            <w:r>
              <w:rPr>
                <w:color w:val="E8B830"/>
                <w:sz w:val="16"/>
              </w:rPr>
              <w:t xml:space="preserve">▪  </w:t>
            </w:r>
            <w:r>
              <w:rPr>
                <w:color w:val="E9EEF3"/>
                <w:sz w:val="18"/>
              </w:rPr>
              <w:t xml:space="preserve">Leadership Development Design</w:t>
            </w:r>
          </w:p>
          <w:p>
            <w:pPr>
              <w:ind w:left="210" w:hanging="170"/>
              <w:spacing w:after="40" w:line="252" w:lineRule="auto"/>
            </w:pPr>
            <w:r>
              <w:rPr>
                <w:color w:val="E8B830"/>
                <w:sz w:val="16"/>
              </w:rPr>
              <w:t xml:space="preserve">▪  </w:t>
            </w:r>
            <w:r>
              <w:rPr>
                <w:color w:val="E9EEF3"/>
                <w:sz w:val="18"/>
              </w:rPr>
              <w:t xml:space="preserve">HR Business Partnering</w:t>
            </w:r>
          </w:p>
          <w:p>
            <w:pPr>
              <w:ind w:left="210" w:hanging="170"/>
              <w:spacing w:after="40" w:line="252" w:lineRule="auto"/>
            </w:pPr>
            <w:r>
              <w:rPr>
                <w:color w:val="E8B830"/>
                <w:sz w:val="16"/>
              </w:rPr>
              <w:t xml:space="preserve">▪  </w:t>
            </w:r>
            <w:r>
              <w:rPr>
                <w:color w:val="E9EEF3"/>
                <w:sz w:val="18"/>
              </w:rPr>
              <w:t xml:space="preserve">Team Effectiveness</w:t>
            </w:r>
          </w:p>
          <w:p>
            <w:pPr>
              <w:ind w:left="210" w:hanging="170"/>
              <w:spacing w:after="40" w:line="252" w:lineRule="auto"/>
            </w:pPr>
            <w:r>
              <w:rPr>
                <w:color w:val="E8B830"/>
                <w:sz w:val="16"/>
              </w:rPr>
              <w:t xml:space="preserve">▪  </w:t>
            </w:r>
            <w:r>
              <w:rPr>
                <w:color w:val="E9EEF3"/>
                <w:sz w:val="18"/>
              </w:rPr>
              <w:t xml:space="preserve">Change &amp; Culture Transformation</w:t>
            </w:r>
          </w:p>
          <w:p>
            <w:pPr>
              <w:ind w:left="210" w:hanging="170"/>
              <w:spacing w:after="40" w:line="252" w:lineRule="auto"/>
            </w:pPr>
            <w:r>
              <w:rPr>
                <w:color w:val="E8B830"/>
                <w:sz w:val="16"/>
              </w:rPr>
              <w:t xml:space="preserve">▪  </w:t>
            </w:r>
            <w:r>
              <w:rPr>
                <w:color w:val="E9EEF3"/>
                <w:sz w:val="18"/>
              </w:rPr>
              <w:t xml:space="preserve">Conflict Management &amp; Mediation</w:t>
            </w:r>
          </w:p>
          <w:p>
            <w:pPr>
              <w:ind w:left="210" w:hanging="170"/>
              <w:spacing w:after="40" w:line="252" w:lineRule="auto"/>
            </w:pPr>
            <w:r>
              <w:rPr>
                <w:color w:val="E8B830"/>
                <w:sz w:val="16"/>
              </w:rPr>
              <w:t xml:space="preserve">▪  </w:t>
            </w:r>
            <w:r>
              <w:rPr>
                <w:color w:val="E9EEF3"/>
                <w:sz w:val="18"/>
              </w:rPr>
              <w:t xml:space="preserve">Somatic Coaching &amp; TRE®</w:t>
            </w:r>
          </w:p>
          <w:p>
            <w:pPr>
              <w:ind w:left="210" w:hanging="170"/>
              <w:spacing w:after="40" w:line="252" w:lineRule="auto"/>
            </w:pPr>
            <w:r>
              <w:rPr>
                <w:color w:val="E8B830"/>
                <w:sz w:val="16"/>
              </w:rPr>
              <w:t xml:space="preserve">▪  </w:t>
            </w:r>
            <w:r>
              <w:rPr>
                <w:color w:val="E9EEF3"/>
                <w:sz w:val="18"/>
              </w:rPr>
              <w:t xml:space="preserve">Mindfulness Facilitation</w:t>
            </w:r>
          </w:p>
          <w:p>
            <w:pPr>
              <w:ind w:left="210" w:hanging="170"/>
              <w:spacing w:after="40" w:line="252" w:lineRule="auto"/>
            </w:pPr>
            <w:r>
              <w:rPr>
                <w:color w:val="E8B830"/>
                <w:sz w:val="16"/>
              </w:rPr>
              <w:t xml:space="preserve">▪  </w:t>
            </w:r>
            <w:r>
              <w:rPr>
                <w:color w:val="E9EEF3"/>
                <w:sz w:val="18"/>
              </w:rPr>
              <w:t xml:space="preserve">Cross-Cultural Leadership</w:t>
            </w:r>
          </w:p>
          <w:p>
            <w:pPr>
              <w:pBdr>
                <w:bottom w:val="single" w:sz="6" w:space="4" w:color="D4921A"/>
              </w:pBdr>
              <w:spacing w:before="260" w:after="120"/>
            </w:pPr>
            <w:r>
              <w:rPr>
                <w:rFonts w:ascii="Sora" w:hAnsi="Sora"/>
                <w:b/>
                <w:color w:val="FFFFFF"/>
                <w:sz w:val="20"/>
                <w:spacing w:val="24"/>
              </w:rPr>
              <w:t xml:space="preserve">LANGUAGES</w:t>
            </w:r>
          </w:p>
          <w:p>
            <w:pPr>
              <w:ind w:left="210" w:hanging="170"/>
              <w:spacing w:after="40" w:line="252" w:lineRule="auto"/>
            </w:pPr>
            <w:r>
              <w:rPr>
                <w:color w:val="E8B830"/>
                <w:sz w:val="16"/>
              </w:rPr>
              <w:t xml:space="preserve">▪  </w:t>
            </w:r>
            <w:r>
              <w:rPr>
                <w:color w:val="E9EEF3"/>
                <w:sz w:val="18"/>
              </w:rPr>
              <w:t xml:space="preserve">French — Native</w:t>
            </w:r>
          </w:p>
          <w:p>
            <w:pPr>
              <w:ind w:left="210" w:hanging="170"/>
              <w:spacing w:after="40" w:line="252" w:lineRule="auto"/>
            </w:pPr>
            <w:r>
              <w:rPr>
                <w:color w:val="E8B830"/>
                <w:sz w:val="16"/>
              </w:rPr>
              <w:t xml:space="preserve">▪  </w:t>
            </w:r>
            <w:r>
              <w:rPr>
                <w:color w:val="E9EEF3"/>
                <w:sz w:val="18"/>
              </w:rPr>
              <w:t xml:space="preserve">English — Fluent</w:t>
            </w:r>
          </w:p>
          <w:p>
            <w:pPr>
              <w:ind w:left="210" w:hanging="170"/>
              <w:spacing w:after="40" w:line="252" w:lineRule="auto"/>
            </w:pPr>
            <w:r>
              <w:rPr>
                <w:color w:val="E8B830"/>
                <w:sz w:val="16"/>
              </w:rPr>
              <w:t xml:space="preserve">▪  </w:t>
            </w:r>
            <w:r>
              <w:rPr>
                <w:color w:val="E9EEF3"/>
                <w:sz w:val="18"/>
              </w:rPr>
              <w:t xml:space="preserve">Spanish — Fluent</w:t>
            </w:r>
          </w:p>
          <w:p>
            <w:pPr>
              <w:ind w:left="210" w:hanging="170"/>
              <w:spacing w:after="40" w:line="252" w:lineRule="auto"/>
            </w:pPr>
            <w:r>
              <w:rPr>
                <w:color w:val="E8B830"/>
                <w:sz w:val="16"/>
              </w:rPr>
              <w:t xml:space="preserve">▪  </w:t>
            </w:r>
            <w:r>
              <w:rPr>
                <w:color w:val="E9EEF3"/>
                <w:sz w:val="18"/>
              </w:rPr>
              <w:t xml:space="preserve">Japanese — Intermediate</w:t>
            </w:r>
          </w:p>
          <w:p>
            <w:pPr>
              <w:ind w:left="210" w:hanging="170"/>
              <w:spacing w:after="40" w:line="252" w:lineRule="auto"/>
            </w:pPr>
            <w:r>
              <w:rPr>
                <w:color w:val="E8B830"/>
                <w:sz w:val="16"/>
              </w:rPr>
              <w:t xml:space="preserve">▪  </w:t>
            </w:r>
            <w:r>
              <w:rPr>
                <w:color w:val="E9EEF3"/>
                <w:sz w:val="18"/>
              </w:rPr>
              <w:t xml:space="preserve">German — Basic</w:t>
            </w:r>
          </w:p>
        </w:tc>
        <w:tc>
          <w:tcPr>
            <w:tcW w:w="7686" w:type="dxa"/>
            <w:tcMar>
              <w:top w:w="200" w:type="dxa"/>
              <w:left w:w="360" w:type="dxa"/>
              <w:bottom w:w="200" w:type="dxa"/>
              <w:right w:w="200" w:type="dxa"/>
            </w:tcMar>
            <w:shd w:val="clear" w:color="auto" w:fill="FFFFFF"/>
            <w:vAlign w:val="top"/>
          </w:tcPr>
          <w:p>
            <w:pPr>
              <w:pBdr>
                <w:bottom w:val="single" w:sz="8" w:space="3" w:color="0B2238"/>
              </w:pBdr>
              <w:spacing w:before="180" w:after="90"/>
            </w:pPr>
            <w:r>
              <w:rPr>
                <w:rFonts w:ascii="Sora" w:hAnsi="Sora"/>
                <w:b/>
                <w:color w:val="0B2238"/>
                <w:sz w:val="23"/>
              </w:rPr>
              <w:t xml:space="preserve">Professional Summary</w:t>
            </w:r>
          </w:p>
          <w:p>
            <w:pPr>
              <w:spacing w:after="80" w:line="252" w:lineRule="auto"/>
              <w:jc w:val="both"/>
            </w:pPr>
            <w:r>
              <w:rPr>
                <w:color w:val="23303F"/>
                <w:sz w:val="19"/>
              </w:rPr>
              <w:t xml:space="preserve">PCC-level Leadership Coach (ICF) and senior HR leader with close to 30 years of global experience in Executive Coaching, Talent Management, and Organisational Effectiveness across Asia Pacific, Japan, Russia, the US and Europe. Certified coach since 2012 with 1,600+ paid coaching hours, a certified Teacher of Mindfulness, and a Global TRE® Certifying Trainer. Executive contributor to the Forbes Coaches Council and Brainz Magazine.</w:t>
            </w:r>
          </w:p>
          <w:p>
            <w:pPr>
              <w:spacing w:after="80" w:line="252" w:lineRule="auto"/>
              <w:jc w:val="both"/>
            </w:pPr>
            <w:r>
              <w:rPr>
                <w:color w:val="23303F"/>
                <w:sz w:val="19"/>
              </w:rPr>
              <w:t xml:space="preserve">Having lived in 10 countries, Isabelle brings deep cultural agility and a global mindset to her work with C-suites, leadership teams, and emerging leaders. She founded her boutique coaching and leadership-development consultancy in Singapore in 2016, designing award-winning solutions in leadership transition, team effectiveness, organisational culture, and retention.</w:t>
            </w:r>
          </w:p>
          <w:p>
            <w:pPr>
              <w:pBdr>
                <w:bottom w:val="single" w:sz="8" w:space="3" w:color="0B2238"/>
              </w:pBdr>
              <w:spacing w:before="180" w:after="90"/>
            </w:pPr>
            <w:r>
              <w:rPr>
                <w:rFonts w:ascii="Sora" w:hAnsi="Sora"/>
                <w:b/>
                <w:color w:val="0B2238"/>
                <w:sz w:val="23"/>
              </w:rPr>
              <w:t xml:space="preserve">Work Experience</w:t>
            </w:r>
          </w:p>
          <w:p>
            <w:pPr>
              <w:tabs>
                <w:tab w:val="right" w:pos="7100"/>
              </w:tabs>
              <w:spacing w:before="120" w:after="6"/>
            </w:pPr>
            <w:r>
              <w:rPr>
                <w:rFonts w:ascii="Sora" w:hAnsi="Sora"/>
                <w:b/>
                <w:color w:val="0B2238"/>
                <w:sz w:val="19"/>
              </w:rPr>
              <w:t xml:space="preserve">Founder, Managing Director &amp; Executive Coach</w:t>
            </w:r>
            <w:r>
              <w:rPr>
                <w:b/>
                <w:sz w:val="19"/>
              </w:rPr>
              <w:tab/>
            </w:r>
            <w:r>
              <w:rPr>
                <w:color w:val="6B7787"/>
                <w:sz w:val="17"/>
              </w:rPr>
              <w:t xml:space="preserve">Dec 2016 – Present</w:t>
            </w:r>
          </w:p>
          <w:p>
            <w:pPr>
              <w:spacing w:before="0" w:after="70"/>
            </w:pPr>
            <w:r>
              <w:rPr>
                <w:i/>
                <w:color w:val="D4921A"/>
                <w:sz w:val="18"/>
              </w:rPr>
              <w:t xml:space="preserve">BHD Asia — Singapore &amp; Global</w:t>
            </w:r>
          </w:p>
          <w:p>
            <w:pPr>
              <w:ind w:left="250" w:hanging="190"/>
              <w:spacing w:after="30" w:line="252" w:lineRule="auto"/>
            </w:pPr>
            <w:r>
              <w:rPr>
                <w:color w:val="D4921A"/>
                <w:sz w:val="18"/>
              </w:rPr>
              <w:t xml:space="preserve">•  </w:t>
            </w:r>
            <w:r>
              <w:rPr>
                <w:color w:val="23303F"/>
                <w:sz w:val="18"/>
              </w:rPr>
              <w:t xml:space="preserve">Design and facilitate customised leadership-development, high-performing-team and emerging-leader programmes for global clients.</w:t>
            </w:r>
          </w:p>
          <w:p>
            <w:pPr>
              <w:ind w:left="250" w:hanging="190"/>
              <w:spacing w:after="30" w:line="252" w:lineRule="auto"/>
            </w:pPr>
            <w:r>
              <w:rPr>
                <w:color w:val="D4921A"/>
                <w:sz w:val="18"/>
              </w:rPr>
              <w:t xml:space="preserve">•  </w:t>
            </w:r>
            <w:r>
              <w:rPr>
                <w:color w:val="23303F"/>
                <w:sz w:val="18"/>
              </w:rPr>
              <w:t xml:space="preserve">Executive, leadership, transition and career coaching for C-suites, CEOs and board chairs.</w:t>
            </w:r>
          </w:p>
          <w:p>
            <w:pPr>
              <w:ind w:left="250" w:hanging="190"/>
              <w:spacing w:after="30" w:line="252" w:lineRule="auto"/>
            </w:pPr>
            <w:r>
              <w:rPr>
                <w:color w:val="D4921A"/>
                <w:sz w:val="18"/>
              </w:rPr>
              <w:t xml:space="preserve">•  </w:t>
            </w:r>
            <w:r>
              <w:rPr>
                <w:color w:val="23303F"/>
                <w:sz w:val="18"/>
              </w:rPr>
              <w:t xml:space="preserve">Conflict management and mediation; employee-engagement and burnout-prevention programmes.</w:t>
            </w:r>
          </w:p>
          <w:p>
            <w:pPr>
              <w:ind w:left="250" w:hanging="190"/>
              <w:spacing w:after="30" w:line="252" w:lineRule="auto"/>
            </w:pPr>
            <w:r>
              <w:rPr>
                <w:color w:val="D4921A"/>
                <w:sz w:val="18"/>
              </w:rPr>
              <w:t xml:space="preserve">•  </w:t>
            </w:r>
            <w:r>
              <w:rPr>
                <w:color w:val="23303F"/>
                <w:sz w:val="18"/>
              </w:rPr>
              <w:t xml:space="preserve">HR consulting, organisational-culture initiatives, and HR capability building.</w:t>
            </w:r>
          </w:p>
          <w:p>
            <w:pPr>
              <w:ind w:left="250" w:hanging="190"/>
              <w:spacing w:after="30" w:line="252" w:lineRule="auto"/>
            </w:pPr>
            <w:r>
              <w:rPr>
                <w:color w:val="D4921A"/>
                <w:sz w:val="18"/>
              </w:rPr>
              <w:t xml:space="preserve">•  </w:t>
            </w:r>
            <w:r>
              <w:rPr>
                <w:color w:val="23303F"/>
                <w:sz w:val="18"/>
              </w:rPr>
              <w:t xml:space="preserve">Clients include Mondelez, Clariant, Siemens, Schindler, Keppel, Syngenta, ByteDance (TikTok), NTT DATA, Novartis, Zimmer Biomet, Philips, Fresenius Medical Care, Alcon, Heineken Asia Pacific, DSM, VISA, Mastercard, Robert Walters, UWC SEA and Eton House.</w:t>
            </w:r>
          </w:p>
          <w:p>
            <w:pPr>
              <w:tabs>
                <w:tab w:val="right" w:pos="7100"/>
              </w:tabs>
              <w:spacing w:before="120" w:after="6"/>
            </w:pPr>
            <w:r>
              <w:rPr>
                <w:rFonts w:ascii="Sora" w:hAnsi="Sora"/>
                <w:b/>
                <w:color w:val="0B2238"/>
                <w:sz w:val="19"/>
              </w:rPr>
              <w:t xml:space="preserve">Global Human Resources Business Partner</w:t>
            </w:r>
            <w:r>
              <w:rPr>
                <w:b/>
                <w:sz w:val="19"/>
              </w:rPr>
              <w:tab/>
            </w:r>
            <w:r>
              <w:rPr>
                <w:color w:val="6B7787"/>
                <w:sz w:val="17"/>
              </w:rPr>
              <w:t xml:space="preserve">Jan 2022 – Aug 2024</w:t>
            </w:r>
          </w:p>
          <w:p>
            <w:pPr>
              <w:spacing w:before="0" w:after="70"/>
            </w:pPr>
            <w:r>
              <w:rPr>
                <w:i/>
                <w:color w:val="D4921A"/>
                <w:sz w:val="18"/>
              </w:rPr>
              <w:t xml:space="preserve">Tokyo, Japan</w:t>
            </w:r>
          </w:p>
          <w:p>
            <w:pPr>
              <w:ind w:left="250" w:hanging="190"/>
              <w:spacing w:after="30" w:line="252" w:lineRule="auto"/>
            </w:pPr>
            <w:r>
              <w:rPr>
                <w:color w:val="D4921A"/>
                <w:sz w:val="18"/>
              </w:rPr>
              <w:t xml:space="preserve">•  </w:t>
            </w:r>
            <w:r>
              <w:rPr>
                <w:color w:val="23303F"/>
                <w:sz w:val="18"/>
              </w:rPr>
              <w:t xml:space="preserve">Business partner to 4 Presidents (CEO-1) across software development, enterprise technology and cyber security, plus 2 site leaders in Japan, the UK and USA.</w:t>
            </w:r>
          </w:p>
          <w:p>
            <w:pPr>
              <w:ind w:left="250" w:hanging="190"/>
              <w:spacing w:after="30" w:line="252" w:lineRule="auto"/>
            </w:pPr>
            <w:r>
              <w:rPr>
                <w:color w:val="D4921A"/>
                <w:sz w:val="18"/>
              </w:rPr>
              <w:t xml:space="preserve">•  </w:t>
            </w:r>
            <w:r>
              <w:rPr>
                <w:color w:val="23303F"/>
                <w:sz w:val="18"/>
              </w:rPr>
              <w:t xml:space="preserve">Principal HRBP for a 950-employee, 55-nationality workforce across Japan, California and the UK; reported to the US-based CHRO.</w:t>
            </w:r>
          </w:p>
          <w:p>
            <w:pPr>
              <w:ind w:left="250" w:hanging="190"/>
              <w:spacing w:after="30" w:line="252" w:lineRule="auto"/>
            </w:pPr>
            <w:r>
              <w:rPr>
                <w:color w:val="D4921A"/>
                <w:sz w:val="18"/>
              </w:rPr>
              <w:t xml:space="preserve">•  </w:t>
            </w:r>
            <w:r>
              <w:rPr>
                <w:color w:val="23303F"/>
                <w:sz w:val="18"/>
              </w:rPr>
              <w:t xml:space="preserve">Designed and implemented a world-class Management Development programme, sourcing world-class faculty.</w:t>
            </w:r>
          </w:p>
          <w:p>
            <w:pPr>
              <w:ind w:left="250" w:hanging="190"/>
              <w:spacing w:after="30" w:line="252" w:lineRule="auto"/>
            </w:pPr>
            <w:r>
              <w:rPr>
                <w:color w:val="D4921A"/>
                <w:sz w:val="18"/>
              </w:rPr>
              <w:t xml:space="preserve">•  </w:t>
            </w:r>
            <w:r>
              <w:rPr>
                <w:color w:val="23303F"/>
                <w:sz w:val="18"/>
              </w:rPr>
              <w:t xml:space="preserve">Sourced executive coaches, designed a COO-team effectiveness workshop, and led Diversity &amp; Inclusion and employee-wellbeing initiatives.</w:t>
            </w:r>
          </w:p>
          <w:p>
            <w:pPr>
              <w:ind w:left="250" w:hanging="190"/>
              <w:spacing w:after="30" w:line="252" w:lineRule="auto"/>
            </w:pPr>
            <w:r>
              <w:rPr>
                <w:color w:val="D4921A"/>
                <w:sz w:val="18"/>
              </w:rPr>
              <w:t xml:space="preserve">•  </w:t>
            </w:r>
            <w:r>
              <w:rPr>
                <w:color w:val="23303F"/>
                <w:sz w:val="18"/>
              </w:rPr>
              <w:t xml:space="preserve">Led change management through three major re-organisations in under eight months.</w:t>
            </w:r>
          </w:p>
          <w:p>
            <w:pPr>
              <w:tabs>
                <w:tab w:val="right" w:pos="7100"/>
              </w:tabs>
              <w:spacing w:before="120" w:after="6"/>
            </w:pPr>
            <w:r>
              <w:rPr>
                <w:rFonts w:ascii="Sora" w:hAnsi="Sora"/>
                <w:b/>
                <w:color w:val="0B2238"/>
                <w:sz w:val="19"/>
              </w:rPr>
              <w:t xml:space="preserve">Head of Talent Management &amp; OD, Japan &amp; Asia/Russia</w:t>
            </w:r>
            <w:r>
              <w:rPr>
                <w:b/>
                <w:sz w:val="19"/>
              </w:rPr>
              <w:tab/>
            </w:r>
            <w:r>
              <w:rPr>
                <w:color w:val="6B7787"/>
                <w:sz w:val="17"/>
              </w:rPr>
              <w:t xml:space="preserve">Mar 2013 – Nov 2016</w:t>
            </w:r>
          </w:p>
          <w:p>
            <w:pPr>
              <w:spacing w:before="0" w:after="70"/>
            </w:pPr>
            <w:r>
              <w:rPr>
                <w:i/>
                <w:color w:val="D4921A"/>
                <w:sz w:val="18"/>
              </w:rPr>
              <w:t xml:space="preserve">Singapore — covering 15 countries</w:t>
            </w:r>
          </w:p>
          <w:p>
            <w:pPr>
              <w:ind w:left="250" w:hanging="190"/>
              <w:spacing w:after="30" w:line="252" w:lineRule="auto"/>
            </w:pPr>
            <w:r>
              <w:rPr>
                <w:color w:val="D4921A"/>
                <w:sz w:val="18"/>
              </w:rPr>
              <w:t xml:space="preserve">•  </w:t>
            </w:r>
            <w:r>
              <w:rPr>
                <w:color w:val="23303F"/>
                <w:sz w:val="18"/>
              </w:rPr>
              <w:t xml:space="preserve">Created the Talent Management &amp; Organisational Development function across Asia, Russia and Japan during a period of fast growth and change.</w:t>
            </w:r>
          </w:p>
          <w:p>
            <w:pPr>
              <w:ind w:left="250" w:hanging="190"/>
              <w:spacing w:after="30" w:line="252" w:lineRule="auto"/>
            </w:pPr>
            <w:r>
              <w:rPr>
                <w:color w:val="D4921A"/>
                <w:sz w:val="18"/>
              </w:rPr>
              <w:t xml:space="preserve">•  </w:t>
            </w:r>
            <w:r>
              <w:rPr>
                <w:color w:val="23303F"/>
                <w:sz w:val="18"/>
              </w:rPr>
              <w:t xml:space="preserve">Built a talent mindset and a strong pipeline of Asian talent; implemented programmes to reduce turnover and develop regional HR and leadership.</w:t>
            </w:r>
          </w:p>
          <w:p>
            <w:pPr>
              <w:ind w:left="250" w:hanging="190"/>
              <w:spacing w:after="30" w:line="252" w:lineRule="auto"/>
            </w:pPr>
            <w:r>
              <w:rPr>
                <w:color w:val="D4921A"/>
                <w:sz w:val="18"/>
              </w:rPr>
              <w:t xml:space="preserve">•  </w:t>
            </w:r>
            <w:r>
              <w:rPr>
                <w:color w:val="23303F"/>
                <w:sz w:val="18"/>
              </w:rPr>
              <w:t xml:space="preserve">Awards: Global Alcon HR Breakthrough Award (2014); Novartis Group Global Talent &amp; Leadership Development Excellence Award (2014); Most Valuable Team, Alcon (2014).</w:t>
            </w:r>
          </w:p>
          <w:p>
            <w:pPr>
              <w:tabs>
                <w:tab w:val="right" w:pos="7100"/>
              </w:tabs>
              <w:spacing w:before="120" w:after="6"/>
            </w:pPr>
            <w:r>
              <w:rPr>
                <w:rFonts w:ascii="Sora" w:hAnsi="Sora"/>
                <w:b/>
                <w:color w:val="0B2238"/>
                <w:sz w:val="19"/>
              </w:rPr>
              <w:t xml:space="preserve">Director, Talent &amp; Leadership Development, Asia &amp; Japan</w:t>
            </w:r>
            <w:r>
              <w:rPr>
                <w:b/>
                <w:sz w:val="19"/>
              </w:rPr>
              <w:tab/>
            </w:r>
            <w:r>
              <w:rPr>
                <w:color w:val="6B7787"/>
                <w:sz w:val="17"/>
              </w:rPr>
              <w:t xml:space="preserve">Jul 2010 – Feb 2013</w:t>
            </w:r>
          </w:p>
          <w:p>
            <w:pPr>
              <w:spacing w:before="0" w:after="70"/>
            </w:pPr>
            <w:r>
              <w:rPr>
                <w:i/>
                <w:color w:val="D4921A"/>
                <w:sz w:val="18"/>
              </w:rPr>
              <w:t xml:space="preserve">Singapore — covering 6 countries</w:t>
            </w:r>
          </w:p>
          <w:p>
            <w:pPr>
              <w:ind w:left="250" w:hanging="190"/>
              <w:spacing w:after="30" w:line="252" w:lineRule="auto"/>
            </w:pPr>
            <w:r>
              <w:rPr>
                <w:color w:val="D4921A"/>
                <w:sz w:val="18"/>
              </w:rPr>
              <w:t xml:space="preserve">•  </w:t>
            </w:r>
            <w:r>
              <w:rPr>
                <w:color w:val="23303F"/>
                <w:sz w:val="18"/>
              </w:rPr>
              <w:t xml:space="preserve">Created the first Talent Management &amp; OD role in Asia &amp; Japan within a highly centralised organisation.</w:t>
            </w:r>
          </w:p>
          <w:p>
            <w:pPr>
              <w:ind w:left="250" w:hanging="190"/>
              <w:spacing w:after="30" w:line="252" w:lineRule="auto"/>
            </w:pPr>
            <w:r>
              <w:rPr>
                <w:color w:val="D4921A"/>
                <w:sz w:val="18"/>
              </w:rPr>
              <w:t xml:space="preserve">•  </w:t>
            </w:r>
            <w:r>
              <w:rPr>
                <w:color w:val="23303F"/>
                <w:sz w:val="18"/>
              </w:rPr>
              <w:t xml:space="preserve">Championed the region's talent agenda, influenced global HR &amp; talent strategy, and established regional best practices.</w:t>
            </w:r>
          </w:p>
          <w:p>
            <w:pPr>
              <w:tabs>
                <w:tab w:val="right" w:pos="7100"/>
              </w:tabs>
              <w:spacing w:before="120" w:after="6"/>
            </w:pPr>
            <w:r>
              <w:rPr>
                <w:rFonts w:ascii="Sora" w:hAnsi="Sora"/>
                <w:b/>
                <w:color w:val="0B2238"/>
                <w:sz w:val="19"/>
              </w:rPr>
              <w:t xml:space="preserve">Global HR Business Partner — Ocean Transportation</w:t>
            </w:r>
            <w:r>
              <w:rPr>
                <w:b/>
                <w:sz w:val="19"/>
              </w:rPr>
              <w:tab/>
            </w:r>
            <w:r>
              <w:rPr>
                <w:color w:val="6B7787"/>
                <w:sz w:val="17"/>
              </w:rPr>
              <w:t xml:space="preserve">Mar 2008 – Jun 2010</w:t>
            </w:r>
          </w:p>
          <w:p>
            <w:pPr>
              <w:spacing w:before="0" w:after="70"/>
            </w:pPr>
            <w:r>
              <w:rPr>
                <w:i/>
                <w:color w:val="D4921A"/>
                <w:sz w:val="18"/>
              </w:rPr>
              <w:t xml:space="preserve">Geneva, Switzerland — 250 staff across 8 locations</w:t>
            </w:r>
          </w:p>
          <w:p>
            <w:pPr>
              <w:ind w:left="250" w:hanging="190"/>
              <w:spacing w:after="30" w:line="252" w:lineRule="auto"/>
            </w:pPr>
            <w:r>
              <w:rPr>
                <w:color w:val="D4921A"/>
                <w:sz w:val="18"/>
              </w:rPr>
              <w:t xml:space="preserve">•  </w:t>
            </w:r>
            <w:r>
              <w:rPr>
                <w:color w:val="23303F"/>
                <w:sz w:val="18"/>
              </w:rPr>
              <w:t xml:space="preserve">Built a "One Team" culture and increased employee engagement across Asia Pacific, Europe and North America.</w:t>
            </w:r>
          </w:p>
          <w:p>
            <w:pPr>
              <w:ind w:left="250" w:hanging="190"/>
              <w:spacing w:after="30" w:line="252" w:lineRule="auto"/>
            </w:pPr>
            <w:r>
              <w:rPr>
                <w:color w:val="D4921A"/>
                <w:sz w:val="18"/>
              </w:rPr>
              <w:t xml:space="preserve">•  </w:t>
            </w:r>
            <w:r>
              <w:rPr>
                <w:color w:val="23303F"/>
                <w:sz w:val="18"/>
              </w:rPr>
              <w:t xml:space="preserve">Transformed operations into a flexible, scalable, follow-the-sun delivery model.</w:t>
            </w:r>
          </w:p>
          <w:p>
            <w:pPr>
              <w:ind w:left="250" w:hanging="190"/>
              <w:spacing w:after="30" w:line="252" w:lineRule="auto"/>
            </w:pPr>
            <w:r>
              <w:rPr>
                <w:color w:val="D4921A"/>
                <w:sz w:val="18"/>
              </w:rPr>
              <w:t xml:space="preserve">•  </w:t>
            </w:r>
            <w:r>
              <w:rPr>
                <w:color w:val="23303F"/>
                <w:sz w:val="18"/>
              </w:rPr>
              <w:t xml:space="preserve">Recipient of the Business Excellence Award (2009) for employee engagement and strategic planning.</w:t>
            </w:r>
          </w:p>
          <w:p>
            <w:pPr>
              <w:tabs>
                <w:tab w:val="right" w:pos="7100"/>
              </w:tabs>
              <w:spacing w:before="120" w:after="6"/>
            </w:pPr>
            <w:r>
              <w:rPr>
                <w:rFonts w:ascii="Sora" w:hAnsi="Sora"/>
                <w:b/>
                <w:color w:val="0B2238"/>
                <w:sz w:val="19"/>
              </w:rPr>
              <w:t xml:space="preserve">EMEA HR Manager, IT</w:t>
            </w:r>
            <w:r>
              <w:rPr>
                <w:b/>
                <w:sz w:val="19"/>
              </w:rPr>
              <w:tab/>
            </w:r>
            <w:r>
              <w:rPr>
                <w:color w:val="6B7787"/>
                <w:sz w:val="17"/>
              </w:rPr>
              <w:t xml:space="preserve">Oct 2006 – Feb 2008</w:t>
            </w:r>
          </w:p>
          <w:p>
            <w:pPr>
              <w:spacing w:before="0" w:after="70"/>
            </w:pPr>
            <w:r>
              <w:rPr>
                <w:i/>
                <w:color w:val="D4921A"/>
                <w:sz w:val="18"/>
              </w:rPr>
              <w:t xml:space="preserve">Brussels, Belgium — 500+ staff across 14 countries</w:t>
            </w:r>
          </w:p>
          <w:p>
            <w:pPr>
              <w:ind w:left="250" w:hanging="190"/>
              <w:spacing w:after="30" w:line="252" w:lineRule="auto"/>
            </w:pPr>
            <w:r>
              <w:rPr>
                <w:color w:val="D4921A"/>
                <w:sz w:val="18"/>
              </w:rPr>
              <w:t xml:space="preserve">•  </w:t>
            </w:r>
            <w:r>
              <w:rPr>
                <w:color w:val="23303F"/>
                <w:sz w:val="18"/>
              </w:rPr>
              <w:t xml:space="preserve">Led HR through the transformation from a regional structure to a global delivery model.</w:t>
            </w:r>
          </w:p>
          <w:p>
            <w:pPr>
              <w:ind w:left="250" w:hanging="190"/>
              <w:spacing w:after="30" w:line="252" w:lineRule="auto"/>
            </w:pPr>
            <w:r>
              <w:rPr>
                <w:color w:val="D4921A"/>
                <w:sz w:val="18"/>
              </w:rPr>
              <w:t xml:space="preserve">•  </w:t>
            </w:r>
            <w:r>
              <w:rPr>
                <w:color w:val="23303F"/>
                <w:sz w:val="18"/>
              </w:rPr>
              <w:t xml:space="preserve">Delivered major outsourcing projects and the reorganisation of IT Applications &amp; Infrastructure.</w:t>
            </w:r>
          </w:p>
          <w:p>
            <w:pPr>
              <w:tabs>
                <w:tab w:val="right" w:pos="7100"/>
              </w:tabs>
              <w:spacing w:before="120" w:after="6"/>
            </w:pPr>
            <w:r>
              <w:rPr>
                <w:rFonts w:ascii="Sora" w:hAnsi="Sora"/>
                <w:b/>
                <w:color w:val="0B2238"/>
                <w:sz w:val="19"/>
              </w:rPr>
              <w:t xml:space="preserve">HR Director, Spain &amp; Portugal</w:t>
            </w:r>
            <w:r>
              <w:rPr>
                <w:b/>
                <w:sz w:val="19"/>
              </w:rPr>
              <w:tab/>
            </w:r>
            <w:r>
              <w:rPr>
                <w:color w:val="6B7787"/>
                <w:sz w:val="17"/>
              </w:rPr>
              <w:t xml:space="preserve">Feb 2004 – Sep 2006</w:t>
            </w:r>
          </w:p>
          <w:p>
            <w:pPr>
              <w:spacing w:before="0" w:after="70"/>
            </w:pPr>
            <w:r>
              <w:rPr>
                <w:i/>
                <w:color w:val="D4921A"/>
                <w:sz w:val="18"/>
              </w:rPr>
              <w:t xml:space="preserve">Madrid, Spain — 400+ employees; member of the Iberia Executive Committee</w:t>
            </w:r>
          </w:p>
          <w:p>
            <w:pPr>
              <w:ind w:left="250" w:hanging="190"/>
              <w:spacing w:after="30" w:line="252" w:lineRule="auto"/>
            </w:pPr>
            <w:r>
              <w:rPr>
                <w:color w:val="D4921A"/>
                <w:sz w:val="18"/>
              </w:rPr>
              <w:t xml:space="preserve">•  </w:t>
            </w:r>
            <w:r>
              <w:rPr>
                <w:color w:val="23303F"/>
                <w:sz w:val="18"/>
              </w:rPr>
              <w:t xml:space="preserve">Led a major acquisition integration, business-model optimisation, and HR restructuring.</w:t>
            </w:r>
          </w:p>
          <w:p>
            <w:pPr>
              <w:tabs>
                <w:tab w:val="right" w:pos="7100"/>
              </w:tabs>
              <w:spacing w:before="120" w:after="6"/>
            </w:pPr>
            <w:r>
              <w:rPr>
                <w:rFonts w:ascii="Sora" w:hAnsi="Sora"/>
                <w:b/>
                <w:color w:val="0B2238"/>
                <w:sz w:val="19"/>
              </w:rPr>
              <w:t xml:space="preserve">Earlier HR roles — Quintiles &amp; Electronic Data Systems</w:t>
            </w:r>
            <w:r>
              <w:rPr>
                <w:b/>
                <w:sz w:val="19"/>
              </w:rPr>
              <w:tab/>
            </w:r>
            <w:r>
              <w:rPr>
                <w:color w:val="6B7787"/>
                <w:sz w:val="17"/>
              </w:rPr>
              <w:t xml:space="preserve">1996 – 2004</w:t>
            </w:r>
          </w:p>
          <w:p>
            <w:pPr>
              <w:spacing w:before="0" w:after="70"/>
            </w:pPr>
            <w:r>
              <w:rPr>
                <w:i/>
                <w:color w:val="D4921A"/>
                <w:sz w:val="18"/>
              </w:rPr>
              <w:t xml:space="preserve">France, Germany &amp; UK</w:t>
            </w:r>
          </w:p>
          <w:p>
            <w:pPr>
              <w:ind w:left="250" w:hanging="190"/>
              <w:spacing w:after="30" w:line="252" w:lineRule="auto"/>
            </w:pPr>
            <w:r>
              <w:rPr>
                <w:color w:val="D4921A"/>
                <w:sz w:val="18"/>
              </w:rPr>
              <w:t xml:space="preserve">•  </w:t>
            </w:r>
            <w:r>
              <w:rPr>
                <w:color w:val="23303F"/>
                <w:sz w:val="18"/>
              </w:rPr>
              <w:t xml:space="preserve">HR Manager Continental Europe (Quintiles) and HR Partner EMEA (EDS) — restructuring, integration and regional HR initiatives across Europe.</w:t>
            </w:r>
          </w:p>
          <w:p>
            <w:pPr>
              <w:pBdr>
                <w:bottom w:val="single" w:sz="8" w:space="3" w:color="0B2238"/>
              </w:pBdr>
              <w:spacing w:before="180" w:after="90"/>
            </w:pPr>
            <w:r>
              <w:rPr>
                <w:rFonts w:ascii="Sora" w:hAnsi="Sora"/>
                <w:b/>
                <w:color w:val="0B2238"/>
                <w:sz w:val="23"/>
              </w:rPr>
              <w:t xml:space="preserve">Education</w:t>
            </w:r>
          </w:p>
          <w:p>
            <w:pPr>
              <w:tabs>
                <w:tab w:val="right" w:pos="7100"/>
              </w:tabs>
              <w:spacing w:before="120" w:after="6"/>
            </w:pPr>
            <w:r>
              <w:rPr>
                <w:rFonts w:ascii="Sora" w:hAnsi="Sora"/>
                <w:b/>
                <w:color w:val="0B2238"/>
                <w:sz w:val="19"/>
              </w:rPr>
              <w:t xml:space="preserve">Master (DESS), Labour Law &amp; Human Resource Management (Grade A)</w:t>
            </w:r>
            <w:r>
              <w:rPr>
                <w:b/>
                <w:sz w:val="19"/>
              </w:rPr>
              <w:tab/>
            </w:r>
            <w:r>
              <w:rPr>
                <w:color w:val="6B7787"/>
                <w:sz w:val="17"/>
              </w:rPr>
              <w:t xml:space="preserve">1995</w:t>
            </w:r>
          </w:p>
          <w:p>
            <w:pPr>
              <w:spacing w:before="0" w:after="70"/>
            </w:pPr>
            <w:r>
              <w:rPr>
                <w:i/>
                <w:color w:val="D4921A"/>
                <w:sz w:val="18"/>
              </w:rPr>
              <w:t xml:space="preserve">University of Paris X, France</w:t>
            </w:r>
          </w:p>
          <w:p>
            <w:pPr>
              <w:tabs>
                <w:tab w:val="right" w:pos="7100"/>
              </w:tabs>
              <w:spacing w:before="120" w:after="6"/>
            </w:pPr>
            <w:r>
              <w:rPr>
                <w:rFonts w:ascii="Sora" w:hAnsi="Sora"/>
                <w:b/>
                <w:color w:val="0B2238"/>
                <w:sz w:val="19"/>
              </w:rPr>
              <w:t xml:space="preserve">Diploma in Law (Social Relations)</w:t>
            </w:r>
            <w:r>
              <w:rPr>
                <w:b/>
                <w:sz w:val="19"/>
              </w:rPr>
              <w:tab/>
            </w:r>
            <w:r>
              <w:rPr>
                <w:color w:val="6B7787"/>
                <w:sz w:val="17"/>
              </w:rPr>
              <w:t xml:space="preserve">1996</w:t>
            </w:r>
          </w:p>
          <w:p>
            <w:pPr>
              <w:spacing w:before="0" w:after="70"/>
            </w:pPr>
            <w:r>
              <w:rPr>
                <w:i/>
                <w:color w:val="D4921A"/>
                <w:sz w:val="18"/>
              </w:rPr>
              <w:t xml:space="preserve">University of Kent at Canterbury, United Kingdom</w:t>
            </w:r>
          </w:p>
          <w:p>
            <w:pPr>
              <w:tabs>
                <w:tab w:val="right" w:pos="7100"/>
              </w:tabs>
              <w:spacing w:before="120" w:after="6"/>
            </w:pPr>
            <w:r>
              <w:rPr>
                <w:rFonts w:ascii="Sora" w:hAnsi="Sora"/>
                <w:b/>
                <w:color w:val="0B2238"/>
                <w:sz w:val="19"/>
              </w:rPr>
              <w:t xml:space="preserve">Organization Design Certificate (Part 1)</w:t>
            </w:r>
            <w:r>
              <w:rPr>
                <w:b/>
                <w:sz w:val="19"/>
              </w:rPr>
              <w:tab/>
            </w:r>
            <w:r>
              <w:rPr>
                <w:color w:val="6B7787"/>
                <w:sz w:val="17"/>
              </w:rPr>
              <w:t xml:space="preserve">2011</w:t>
            </w:r>
          </w:p>
          <w:p>
            <w:pPr>
              <w:spacing w:before="0" w:after="70"/>
            </w:pPr>
            <w:r>
              <w:rPr>
                <w:i/>
                <w:color w:val="D4921A"/>
                <w:sz w:val="18"/>
              </w:rPr>
              <w:t xml:space="preserve">USC Marshall — Center for Effective Organizations, Los Angeles</w:t>
            </w:r>
          </w:p>
          <w:p>
            <w:pPr>
              <w:pBdr>
                <w:bottom w:val="single" w:sz="8" w:space="3" w:color="0B2238"/>
              </w:pBdr>
              <w:spacing w:before="180" w:after="90"/>
            </w:pPr>
            <w:r>
              <w:rPr>
                <w:rFonts w:ascii="Sora" w:hAnsi="Sora"/>
                <w:b/>
                <w:color w:val="0B2238"/>
                <w:sz w:val="23"/>
              </w:rPr>
              <w:t xml:space="preserve">Certifications &amp; Accreditations</w:t>
            </w:r>
          </w:p>
          <w:p>
            <w:pPr>
              <w:ind w:left="250" w:hanging="190"/>
              <w:spacing w:after="30" w:line="252" w:lineRule="auto"/>
            </w:pPr>
            <w:r>
              <w:rPr>
                <w:color w:val="D4921A"/>
                <w:sz w:val="18"/>
              </w:rPr>
              <w:t xml:space="preserve">•  </w:t>
            </w:r>
            <w:r>
              <w:rPr>
                <w:color w:val="23303F"/>
                <w:sz w:val="18"/>
              </w:rPr>
              <w:t xml:space="preserve">Advanced Coaching Skills — Coaching with Gestalt, Academy of Executive Coaching (2026)</w:t>
            </w:r>
          </w:p>
          <w:p>
            <w:pPr>
              <w:ind w:left="250" w:hanging="190"/>
              <w:spacing w:after="30" w:line="252" w:lineRule="auto"/>
            </w:pPr>
            <w:r>
              <w:rPr>
                <w:color w:val="D4921A"/>
                <w:sz w:val="18"/>
              </w:rPr>
              <w:t xml:space="preserve">•  </w:t>
            </w:r>
            <w:r>
              <w:rPr>
                <w:color w:val="23303F"/>
                <w:sz w:val="18"/>
              </w:rPr>
              <w:t xml:space="preserve">Global TRE® Certifying Teacher (2020–2025); Certified TRE® Provider (2019)</w:t>
            </w:r>
          </w:p>
          <w:p>
            <w:pPr>
              <w:ind w:left="250" w:hanging="190"/>
              <w:spacing w:after="30" w:line="252" w:lineRule="auto"/>
            </w:pPr>
            <w:r>
              <w:rPr>
                <w:color w:val="D4921A"/>
                <w:sz w:val="18"/>
              </w:rPr>
              <w:t xml:space="preserve">•  </w:t>
            </w:r>
            <w:r>
              <w:rPr>
                <w:color w:val="23303F"/>
                <w:sz w:val="18"/>
              </w:rPr>
              <w:t xml:space="preserve">Certified Mindfulness Teacher — UK College of Mindful Meditation (2024); Trauma-Sensitive Mindfulness — David Treleaven (2025)</w:t>
            </w:r>
          </w:p>
          <w:p>
            <w:pPr>
              <w:ind w:left="250" w:hanging="190"/>
              <w:spacing w:after="30" w:line="252" w:lineRule="auto"/>
            </w:pPr>
            <w:r>
              <w:rPr>
                <w:color w:val="D4921A"/>
                <w:sz w:val="18"/>
              </w:rPr>
              <w:t xml:space="preserve">•  </w:t>
            </w:r>
            <w:r>
              <w:rPr>
                <w:color w:val="23303F"/>
                <w:sz w:val="18"/>
              </w:rPr>
              <w:t xml:space="preserve">PCC Coach — International Coaching Federation (2019)</w:t>
            </w:r>
          </w:p>
          <w:p>
            <w:pPr>
              <w:ind w:left="250" w:hanging="190"/>
              <w:spacing w:after="30" w:line="252" w:lineRule="auto"/>
            </w:pPr>
            <w:r>
              <w:rPr>
                <w:color w:val="D4921A"/>
                <w:sz w:val="18"/>
              </w:rPr>
              <w:t xml:space="preserve">•  </w:t>
            </w:r>
            <w:r>
              <w:rPr>
                <w:color w:val="23303F"/>
                <w:sz w:val="18"/>
              </w:rPr>
              <w:t xml:space="preserve">Somatic Coaching — Strozzi Institute (2019); Foundations of Embodiment (2020)</w:t>
            </w:r>
          </w:p>
          <w:p>
            <w:pPr>
              <w:ind w:left="250" w:hanging="190"/>
              <w:spacing w:after="30" w:line="252" w:lineRule="auto"/>
            </w:pPr>
            <w:r>
              <w:rPr>
                <w:color w:val="D4921A"/>
                <w:sz w:val="18"/>
              </w:rPr>
              <w:t xml:space="preserve">•  </w:t>
            </w:r>
            <w:r>
              <w:rPr>
                <w:color w:val="23303F"/>
                <w:sz w:val="18"/>
              </w:rPr>
              <w:t xml:space="preserve">Team Coach Certification, Level I — Leadership in Motion (2022)</w:t>
            </w:r>
          </w:p>
          <w:p>
            <w:pPr>
              <w:ind w:left="250" w:hanging="190"/>
              <w:spacing w:after="30" w:line="252" w:lineRule="auto"/>
            </w:pPr>
            <w:r>
              <w:rPr>
                <w:color w:val="D4921A"/>
                <w:sz w:val="18"/>
              </w:rPr>
              <w:t xml:space="preserve">•  </w:t>
            </w:r>
            <w:r>
              <w:rPr>
                <w:color w:val="23303F"/>
                <w:sz w:val="18"/>
              </w:rPr>
              <w:t xml:space="preserve">Brain-based Coaching — NeuroLeadership Institute (2018)</w:t>
            </w:r>
          </w:p>
          <w:p>
            <w:pPr>
              <w:ind w:left="250" w:hanging="190"/>
              <w:spacing w:after="30" w:line="252" w:lineRule="auto"/>
            </w:pPr>
            <w:r>
              <w:rPr>
                <w:color w:val="D4921A"/>
                <w:sz w:val="18"/>
              </w:rPr>
              <w:t xml:space="preserve">•  </w:t>
            </w:r>
            <w:r>
              <w:rPr>
                <w:color w:val="23303F"/>
                <w:sz w:val="18"/>
              </w:rPr>
              <w:t xml:space="preserve">Accredited Mediator — Singapore International Mediation Institute (2017)</w:t>
            </w:r>
          </w:p>
          <w:p>
            <w:pPr>
              <w:ind w:left="250" w:hanging="190"/>
              <w:spacing w:after="30" w:line="252" w:lineRule="auto"/>
            </w:pPr>
            <w:r>
              <w:rPr>
                <w:color w:val="D4921A"/>
                <w:sz w:val="18"/>
              </w:rPr>
              <w:t xml:space="preserve">•  </w:t>
            </w:r>
            <w:r>
              <w:rPr>
                <w:color w:val="23303F"/>
                <w:sz w:val="18"/>
              </w:rPr>
              <w:t xml:space="preserve">Leading &amp; Coaching Across Cultures (COF) — Rosinski &amp; Company (2021)</w:t>
            </w:r>
          </w:p>
          <w:p>
            <w:pPr>
              <w:ind w:left="250" w:hanging="190"/>
              <w:spacing w:after="30" w:line="252" w:lineRule="auto"/>
            </w:pPr>
            <w:r>
              <w:rPr>
                <w:color w:val="D4921A"/>
                <w:sz w:val="18"/>
              </w:rPr>
              <w:t xml:space="preserve">•  </w:t>
            </w:r>
            <w:r>
              <w:rPr>
                <w:color w:val="23303F"/>
                <w:sz w:val="18"/>
              </w:rPr>
              <w:t xml:space="preserve">Stakeholder-Centered Coaching — Marshall Goldsmith (2012); MBTI I &amp; II; NLP Practitioner; DISC</w:t>
            </w:r>
          </w:p>
          <w:p>
            <w:pPr>
              <w:pBdr>
                <w:bottom w:val="single" w:sz="8" w:space="3" w:color="0B2238"/>
              </w:pBdr>
              <w:spacing w:before="180" w:after="90"/>
            </w:pPr>
            <w:r>
              <w:rPr>
                <w:rFonts w:ascii="Sora" w:hAnsi="Sora"/>
                <w:b/>
                <w:color w:val="0B2238"/>
                <w:sz w:val="23"/>
              </w:rPr>
              <w:t xml:space="preserve">Awards</w:t>
            </w:r>
          </w:p>
          <w:p>
            <w:pPr>
              <w:ind w:left="250" w:hanging="190"/>
              <w:spacing w:after="30" w:line="252" w:lineRule="auto"/>
            </w:pPr>
            <w:r>
              <w:rPr>
                <w:color w:val="D4921A"/>
                <w:sz w:val="18"/>
              </w:rPr>
              <w:t xml:space="preserve">•  </w:t>
            </w:r>
            <w:r>
              <w:rPr>
                <w:color w:val="23303F"/>
                <w:sz w:val="18"/>
              </w:rPr>
              <w:t xml:space="preserve">Global Alcon HR Breakthrough Award (2014)</w:t>
            </w:r>
          </w:p>
          <w:p>
            <w:pPr>
              <w:ind w:left="250" w:hanging="190"/>
              <w:spacing w:after="30" w:line="252" w:lineRule="auto"/>
            </w:pPr>
            <w:r>
              <w:rPr>
                <w:color w:val="D4921A"/>
                <w:sz w:val="18"/>
              </w:rPr>
              <w:t xml:space="preserve">•  </w:t>
            </w:r>
            <w:r>
              <w:rPr>
                <w:color w:val="23303F"/>
                <w:sz w:val="18"/>
              </w:rPr>
              <w:t xml:space="preserve">Novartis Group Global Talent &amp; Leadership Development Excellence Award (2014)</w:t>
            </w:r>
          </w:p>
          <w:p>
            <w:pPr>
              <w:ind w:left="250" w:hanging="190"/>
              <w:spacing w:after="30" w:line="252" w:lineRule="auto"/>
            </w:pPr>
            <w:r>
              <w:rPr>
                <w:color w:val="D4921A"/>
                <w:sz w:val="18"/>
              </w:rPr>
              <w:t xml:space="preserve">•  </w:t>
            </w:r>
            <w:r>
              <w:rPr>
                <w:color w:val="23303F"/>
                <w:sz w:val="18"/>
              </w:rPr>
              <w:t xml:space="preserve">Business Excellence Award — Employee Engagement &amp; Strategic Planning (2009)</w:t>
            </w:r>
          </w:p>
          <w:p>
            <w:pPr>
              <w:pBdr>
                <w:bottom w:val="single" w:sz="8" w:space="3" w:color="0B2238"/>
              </w:pBdr>
              <w:spacing w:before="180" w:after="90"/>
            </w:pPr>
            <w:r>
              <w:rPr>
                <w:rFonts w:ascii="Sora" w:hAnsi="Sora"/>
                <w:b/>
                <w:color w:val="0B2238"/>
                <w:sz w:val="23"/>
              </w:rPr>
              <w:t xml:space="preserve">Interests</w:t>
            </w:r>
          </w:p>
          <w:p>
            <w:pPr>
              <w:spacing w:after="80" w:line="252" w:lineRule="auto"/>
              <w:jc w:val="both"/>
            </w:pPr>
            <w:r>
              <w:rPr>
                <w:color w:val="23303F"/>
                <w:sz w:val="19"/>
              </w:rPr>
              <w:t xml:space="preserve">Oil &amp; acrylic painting  ·  Intelligent yoga  ·  Japanese tea ceremony  ·  Zazen &amp; mindfulness.</w:t>
            </w:r>
          </w:p>
        </w:tc>
      </w:tr>
    </w:tbl>
    <w:sectPr>
      <w:pgSz w:w="11906" w:h="16838"/>
      <w:pgMar w:top="360" w:right="360" w:bottom="360" w:left="360" w:header="0" w:footer="0" w:gutter="0"/>
    </w:sectPr>
  </w:body>
</w:document>
</file>

<file path=word/styles.xml><?xml version="1.0" encoding="utf-8"?>
<w:styles xmlns:w="http://schemas.openxmlformats.org/wordprocessingml/2006/main">
  <w:docDefaults>
    <w:rPrDefault>
      <w:rPr>
        <w:rFonts w:ascii="DM Sans" w:hAnsi="DM Sans" w:cs="DM Sans"/>
        <w:color w:val="23303F"/>
        <w:sz w:val="19"/>
        <w:szCs w:val="19"/>
      </w:rPr>
    </w:rPrDefault>
    <w:pPrDefault>
      <w:pPr>
        <w:spacing w:after="0" w:line="240" w:lineRule="auto"/>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 Type='http://schemas.openxmlformats.org/officeDocument/2006/relationships/image' Target='media/portrait.jpg'/><Relationship Id='rId101' Type='http://schemas.openxmlformats.org/officeDocument/2006/relationships/image' Target='media/gold.jpg'/></Relationships>
</file>