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AA1" w:rsidRDefault="00000AA1">
      <w:pPr>
        <w:rPr>
          <w:b/>
          <w:sz w:val="28"/>
          <w:szCs w:val="28"/>
        </w:rPr>
      </w:pPr>
    </w:p>
    <w:p w:rsidR="00000AA1" w:rsidRDefault="00000AA1">
      <w:pPr>
        <w:rPr>
          <w:b/>
          <w:sz w:val="28"/>
          <w:szCs w:val="28"/>
        </w:rPr>
      </w:pPr>
    </w:p>
    <w:p w:rsidR="00000AA1" w:rsidRDefault="00000AA1">
      <w:pPr>
        <w:rPr>
          <w:b/>
          <w:sz w:val="28"/>
          <w:szCs w:val="28"/>
        </w:rPr>
      </w:pPr>
    </w:p>
    <w:p w:rsidR="00000AA1" w:rsidRDefault="001347DD">
      <w:pPr>
        <w:rPr>
          <w:b/>
          <w:sz w:val="28"/>
          <w:szCs w:val="28"/>
        </w:rPr>
      </w:pPr>
      <w:r>
        <w:rPr>
          <w:b/>
          <w:sz w:val="28"/>
          <w:szCs w:val="28"/>
        </w:rPr>
        <w:t xml:space="preserve">        </w:t>
      </w:r>
    </w:p>
    <w:p w:rsidR="00000AA1" w:rsidRDefault="00000AA1">
      <w:pPr>
        <w:rPr>
          <w:b/>
          <w:sz w:val="28"/>
          <w:szCs w:val="28"/>
        </w:rPr>
      </w:pPr>
    </w:p>
    <w:p w:rsidR="00000AA1" w:rsidRDefault="00000AA1">
      <w:pPr>
        <w:rPr>
          <w:b/>
          <w:sz w:val="28"/>
          <w:szCs w:val="28"/>
        </w:rPr>
      </w:pPr>
    </w:p>
    <w:p w:rsidR="00000AA1" w:rsidRDefault="00000AA1">
      <w:pPr>
        <w:rPr>
          <w:b/>
          <w:sz w:val="28"/>
          <w:szCs w:val="28"/>
        </w:rPr>
      </w:pPr>
    </w:p>
    <w:p w:rsidR="00000AA1" w:rsidRDefault="00000AA1">
      <w:pPr>
        <w:rPr>
          <w:b/>
          <w:sz w:val="28"/>
          <w:szCs w:val="28"/>
        </w:rPr>
      </w:pPr>
    </w:p>
    <w:p w:rsidR="00000AA1" w:rsidRDefault="001347DD">
      <w:pPr>
        <w:jc w:val="center"/>
        <w:rPr>
          <w:rFonts w:ascii="Arial Black" w:eastAsia="Arial Black" w:hAnsi="Arial Black" w:cs="Arial Black"/>
          <w:b/>
          <w:sz w:val="32"/>
          <w:szCs w:val="32"/>
        </w:rPr>
      </w:pPr>
      <w:r>
        <w:rPr>
          <w:rFonts w:ascii="Arial Black" w:eastAsia="Arial Black" w:hAnsi="Arial Black" w:cs="Arial Black"/>
          <w:b/>
          <w:sz w:val="32"/>
          <w:szCs w:val="32"/>
        </w:rPr>
        <w:t>Política Nacional contra el Lavado de Activos</w:t>
      </w:r>
    </w:p>
    <w:p w:rsidR="00000AA1" w:rsidRDefault="00000AA1">
      <w:pPr>
        <w:jc w:val="center"/>
        <w:rPr>
          <w:rFonts w:ascii="Arial Black" w:eastAsia="Arial Black" w:hAnsi="Arial Black" w:cs="Arial Black"/>
          <w:b/>
          <w:sz w:val="32"/>
          <w:szCs w:val="32"/>
        </w:rPr>
      </w:pPr>
    </w:p>
    <w:p w:rsidR="00000AA1" w:rsidRPr="00D6762C" w:rsidRDefault="001347DD">
      <w:pPr>
        <w:jc w:val="center"/>
        <w:rPr>
          <w:rFonts w:ascii="Arial Black" w:eastAsia="Arial Black" w:hAnsi="Arial Black" w:cs="Arial Black"/>
          <w:b/>
          <w:sz w:val="32"/>
          <w:szCs w:val="28"/>
        </w:rPr>
      </w:pPr>
      <w:r w:rsidRPr="00D6762C">
        <w:rPr>
          <w:rFonts w:ascii="Arial Black" w:eastAsia="Arial Black" w:hAnsi="Arial Black" w:cs="Arial Black"/>
          <w:b/>
          <w:sz w:val="32"/>
          <w:szCs w:val="28"/>
        </w:rPr>
        <w:t>Entregable Nº 2</w:t>
      </w:r>
    </w:p>
    <w:p w:rsidR="00000AA1" w:rsidRDefault="001347DD">
      <w:pPr>
        <w:jc w:val="center"/>
        <w:rPr>
          <w:i/>
          <w:sz w:val="32"/>
          <w:szCs w:val="32"/>
        </w:rPr>
      </w:pPr>
      <w:r>
        <w:rPr>
          <w:i/>
          <w:sz w:val="32"/>
          <w:szCs w:val="32"/>
        </w:rPr>
        <w:t>“Situación futura deseada y selección de alternativas de solución”</w:t>
      </w:r>
    </w:p>
    <w:p w:rsidR="00000AA1" w:rsidRDefault="00000AA1">
      <w:pPr>
        <w:pBdr>
          <w:top w:val="nil"/>
          <w:left w:val="nil"/>
          <w:bottom w:val="nil"/>
          <w:right w:val="nil"/>
          <w:between w:val="nil"/>
        </w:pBdr>
        <w:spacing w:after="0" w:line="240" w:lineRule="auto"/>
        <w:rPr>
          <w:rFonts w:ascii="Arial" w:eastAsia="Arial" w:hAnsi="Arial" w:cs="Arial"/>
          <w:sz w:val="24"/>
          <w:szCs w:val="24"/>
        </w:rPr>
      </w:pPr>
    </w:p>
    <w:p w:rsidR="00000AA1" w:rsidRDefault="00000AA1">
      <w:pPr>
        <w:pBdr>
          <w:top w:val="nil"/>
          <w:left w:val="nil"/>
          <w:bottom w:val="nil"/>
          <w:right w:val="nil"/>
          <w:between w:val="nil"/>
        </w:pBdr>
        <w:spacing w:after="0" w:line="240" w:lineRule="auto"/>
        <w:rPr>
          <w:rFonts w:ascii="Arial" w:eastAsia="Arial" w:hAnsi="Arial" w:cs="Arial"/>
          <w:sz w:val="24"/>
          <w:szCs w:val="24"/>
        </w:rPr>
      </w:pPr>
    </w:p>
    <w:p w:rsidR="00000AA1" w:rsidRDefault="00000AA1">
      <w:pPr>
        <w:rPr>
          <w:b/>
          <w:sz w:val="28"/>
          <w:szCs w:val="28"/>
        </w:rPr>
      </w:pPr>
    </w:p>
    <w:p w:rsidR="00000AA1" w:rsidRDefault="00000AA1">
      <w:pPr>
        <w:rPr>
          <w:b/>
          <w:sz w:val="28"/>
          <w:szCs w:val="28"/>
        </w:rPr>
      </w:pPr>
    </w:p>
    <w:p w:rsidR="00000AA1" w:rsidRDefault="00000AA1">
      <w:pPr>
        <w:rPr>
          <w:b/>
          <w:sz w:val="28"/>
          <w:szCs w:val="28"/>
        </w:rPr>
      </w:pPr>
    </w:p>
    <w:p w:rsidR="00000AA1" w:rsidRDefault="001347DD">
      <w:pPr>
        <w:rPr>
          <w:b/>
          <w:sz w:val="24"/>
          <w:szCs w:val="24"/>
        </w:rPr>
      </w:pPr>
      <w:r>
        <w:rPr>
          <w:b/>
          <w:sz w:val="24"/>
          <w:szCs w:val="24"/>
        </w:rPr>
        <w:t>Elaboración:</w:t>
      </w:r>
    </w:p>
    <w:p w:rsidR="00000AA1" w:rsidRDefault="001347DD">
      <w:pPr>
        <w:ind w:right="1841"/>
        <w:jc w:val="both"/>
        <w:rPr>
          <w:sz w:val="24"/>
          <w:szCs w:val="24"/>
        </w:rPr>
      </w:pPr>
      <w:r>
        <w:rPr>
          <w:sz w:val="24"/>
          <w:szCs w:val="24"/>
        </w:rPr>
        <w:t>Unidad de Inteligencia Financiera (SBS)</w:t>
      </w:r>
    </w:p>
    <w:p w:rsidR="00000AA1" w:rsidRDefault="001347DD">
      <w:pPr>
        <w:ind w:right="1841"/>
        <w:jc w:val="both"/>
        <w:rPr>
          <w:sz w:val="24"/>
          <w:szCs w:val="24"/>
        </w:rPr>
      </w:pPr>
      <w:r>
        <w:rPr>
          <w:sz w:val="24"/>
          <w:szCs w:val="24"/>
        </w:rPr>
        <w:t>Secretaría Técnica del Grupo de Trabajo Multisectorial para elaborar la propuesta de actualización de la Política Nacional contra el Lavado de Activos</w:t>
      </w:r>
    </w:p>
    <w:p w:rsidR="00000AA1" w:rsidRDefault="00000AA1">
      <w:pPr>
        <w:rPr>
          <w:b/>
          <w:sz w:val="28"/>
          <w:szCs w:val="28"/>
        </w:rPr>
      </w:pPr>
    </w:p>
    <w:p w:rsidR="00000AA1" w:rsidRDefault="00000AA1">
      <w:pPr>
        <w:rPr>
          <w:b/>
          <w:sz w:val="28"/>
          <w:szCs w:val="28"/>
        </w:rPr>
      </w:pPr>
    </w:p>
    <w:p w:rsidR="00000AA1" w:rsidRDefault="00000AA1">
      <w:pPr>
        <w:rPr>
          <w:b/>
          <w:sz w:val="28"/>
          <w:szCs w:val="28"/>
        </w:rPr>
      </w:pPr>
    </w:p>
    <w:p w:rsidR="00000AA1" w:rsidRDefault="00000AA1">
      <w:pPr>
        <w:rPr>
          <w:b/>
          <w:sz w:val="28"/>
          <w:szCs w:val="28"/>
        </w:rPr>
      </w:pPr>
    </w:p>
    <w:p w:rsidR="00000AA1" w:rsidRDefault="00000AA1">
      <w:pPr>
        <w:rPr>
          <w:b/>
          <w:sz w:val="28"/>
          <w:szCs w:val="28"/>
        </w:rPr>
      </w:pPr>
    </w:p>
    <w:p w:rsidR="00000AA1" w:rsidRDefault="001347DD">
      <w:pPr>
        <w:jc w:val="center"/>
        <w:rPr>
          <w:sz w:val="28"/>
          <w:szCs w:val="28"/>
        </w:rPr>
      </w:pPr>
      <w:r>
        <w:rPr>
          <w:sz w:val="28"/>
          <w:szCs w:val="28"/>
        </w:rPr>
        <w:t>2022</w:t>
      </w:r>
    </w:p>
    <w:p w:rsidR="00000AA1" w:rsidRDefault="001347DD">
      <w:pPr>
        <w:jc w:val="center"/>
        <w:rPr>
          <w:b/>
          <w:u w:val="single"/>
        </w:rPr>
      </w:pPr>
      <w:r>
        <w:rPr>
          <w:b/>
          <w:u w:val="single"/>
        </w:rPr>
        <w:lastRenderedPageBreak/>
        <w:t>CONTENIDO</w:t>
      </w:r>
    </w:p>
    <w:p w:rsidR="00000AA1" w:rsidRDefault="00000AA1">
      <w:pPr>
        <w:keepNext/>
        <w:keepLines/>
        <w:pBdr>
          <w:top w:val="nil"/>
          <w:left w:val="nil"/>
          <w:bottom w:val="nil"/>
          <w:right w:val="nil"/>
          <w:between w:val="nil"/>
        </w:pBdr>
        <w:spacing w:before="240" w:after="0"/>
        <w:ind w:left="432" w:hanging="432"/>
        <w:rPr>
          <w:sz w:val="32"/>
          <w:szCs w:val="32"/>
        </w:rPr>
      </w:pPr>
    </w:p>
    <w:sdt>
      <w:sdtPr>
        <w:id w:val="2002765159"/>
        <w:docPartObj>
          <w:docPartGallery w:val="Table of Contents"/>
          <w:docPartUnique/>
        </w:docPartObj>
      </w:sdtPr>
      <w:sdtEndPr/>
      <w:sdtContent>
        <w:p w:rsidR="00A3041B" w:rsidRPr="00A3041B" w:rsidRDefault="001347DD">
          <w:pPr>
            <w:pStyle w:val="TDC1"/>
            <w:tabs>
              <w:tab w:val="right" w:pos="8494"/>
            </w:tabs>
            <w:rPr>
              <w:rFonts w:asciiTheme="minorHAnsi" w:eastAsiaTheme="minorEastAsia" w:hAnsiTheme="minorHAnsi" w:cstheme="minorBidi"/>
              <w:noProof/>
            </w:rPr>
          </w:pPr>
          <w:r w:rsidRPr="00A3041B">
            <w:fldChar w:fldCharType="begin"/>
          </w:r>
          <w:r w:rsidRPr="00A3041B">
            <w:instrText xml:space="preserve"> TOC \h \u \z </w:instrText>
          </w:r>
          <w:r w:rsidRPr="00A3041B">
            <w:fldChar w:fldCharType="separate"/>
          </w:r>
          <w:hyperlink w:anchor="_Toc113360599" w:history="1">
            <w:r w:rsidR="00A3041B" w:rsidRPr="00A3041B">
              <w:rPr>
                <w:rStyle w:val="Hipervnculo"/>
                <w:noProof/>
              </w:rPr>
              <w:t>Acrónimos</w:t>
            </w:r>
            <w:r w:rsidR="00A3041B" w:rsidRPr="00A3041B">
              <w:rPr>
                <w:noProof/>
                <w:webHidden/>
              </w:rPr>
              <w:tab/>
            </w:r>
            <w:r w:rsidR="00A3041B" w:rsidRPr="00A3041B">
              <w:rPr>
                <w:noProof/>
                <w:webHidden/>
              </w:rPr>
              <w:fldChar w:fldCharType="begin"/>
            </w:r>
            <w:r w:rsidR="00A3041B" w:rsidRPr="00A3041B">
              <w:rPr>
                <w:noProof/>
                <w:webHidden/>
              </w:rPr>
              <w:instrText xml:space="preserve"> PAGEREF _Toc113360599 \h </w:instrText>
            </w:r>
            <w:r w:rsidR="00A3041B" w:rsidRPr="00A3041B">
              <w:rPr>
                <w:noProof/>
                <w:webHidden/>
              </w:rPr>
            </w:r>
            <w:r w:rsidR="00A3041B" w:rsidRPr="00A3041B">
              <w:rPr>
                <w:noProof/>
                <w:webHidden/>
              </w:rPr>
              <w:fldChar w:fldCharType="separate"/>
            </w:r>
            <w:r w:rsidR="00B42CE4">
              <w:rPr>
                <w:noProof/>
                <w:webHidden/>
              </w:rPr>
              <w:t>3</w:t>
            </w:r>
            <w:r w:rsidR="00A3041B" w:rsidRPr="00A3041B">
              <w:rPr>
                <w:noProof/>
                <w:webHidden/>
              </w:rPr>
              <w:fldChar w:fldCharType="end"/>
            </w:r>
          </w:hyperlink>
        </w:p>
        <w:p w:rsidR="00A3041B" w:rsidRPr="00A3041B" w:rsidRDefault="00E03D82">
          <w:pPr>
            <w:pStyle w:val="TDC1"/>
            <w:tabs>
              <w:tab w:val="left" w:pos="440"/>
              <w:tab w:val="right" w:pos="8494"/>
            </w:tabs>
            <w:rPr>
              <w:rFonts w:asciiTheme="minorHAnsi" w:eastAsiaTheme="minorEastAsia" w:hAnsiTheme="minorHAnsi" w:cstheme="minorBidi"/>
              <w:noProof/>
            </w:rPr>
          </w:pPr>
          <w:hyperlink w:anchor="_Toc113360600" w:history="1">
            <w:r w:rsidR="00A3041B" w:rsidRPr="00A3041B">
              <w:rPr>
                <w:rStyle w:val="Hipervnculo"/>
                <w:noProof/>
              </w:rPr>
              <w:t>1</w:t>
            </w:r>
            <w:r w:rsidR="00A3041B" w:rsidRPr="00A3041B">
              <w:rPr>
                <w:rFonts w:asciiTheme="minorHAnsi" w:eastAsiaTheme="minorEastAsia" w:hAnsiTheme="minorHAnsi" w:cstheme="minorBidi"/>
                <w:noProof/>
              </w:rPr>
              <w:tab/>
            </w:r>
            <w:r w:rsidR="00A3041B" w:rsidRPr="00A3041B">
              <w:rPr>
                <w:rStyle w:val="Hipervnculo"/>
                <w:noProof/>
              </w:rPr>
              <w:t>Situación futura deseada</w:t>
            </w:r>
            <w:r w:rsidR="00A3041B" w:rsidRPr="00A3041B">
              <w:rPr>
                <w:noProof/>
                <w:webHidden/>
              </w:rPr>
              <w:tab/>
            </w:r>
            <w:r w:rsidR="00A3041B" w:rsidRPr="00A3041B">
              <w:rPr>
                <w:noProof/>
                <w:webHidden/>
              </w:rPr>
              <w:fldChar w:fldCharType="begin"/>
            </w:r>
            <w:r w:rsidR="00A3041B" w:rsidRPr="00A3041B">
              <w:rPr>
                <w:noProof/>
                <w:webHidden/>
              </w:rPr>
              <w:instrText xml:space="preserve"> PAGEREF _Toc113360600 \h </w:instrText>
            </w:r>
            <w:r w:rsidR="00A3041B" w:rsidRPr="00A3041B">
              <w:rPr>
                <w:noProof/>
                <w:webHidden/>
              </w:rPr>
            </w:r>
            <w:r w:rsidR="00A3041B" w:rsidRPr="00A3041B">
              <w:rPr>
                <w:noProof/>
                <w:webHidden/>
              </w:rPr>
              <w:fldChar w:fldCharType="separate"/>
            </w:r>
            <w:r w:rsidR="00B42CE4">
              <w:rPr>
                <w:noProof/>
                <w:webHidden/>
              </w:rPr>
              <w:t>5</w:t>
            </w:r>
            <w:r w:rsidR="00A3041B" w:rsidRPr="00A3041B">
              <w:rPr>
                <w:noProof/>
                <w:webHidden/>
              </w:rPr>
              <w:fldChar w:fldCharType="end"/>
            </w:r>
          </w:hyperlink>
        </w:p>
        <w:p w:rsidR="00A3041B" w:rsidRPr="00A3041B" w:rsidRDefault="00E03D82">
          <w:pPr>
            <w:pStyle w:val="TDC2"/>
            <w:tabs>
              <w:tab w:val="left" w:pos="880"/>
              <w:tab w:val="right" w:pos="8494"/>
            </w:tabs>
            <w:rPr>
              <w:rFonts w:asciiTheme="minorHAnsi" w:eastAsiaTheme="minorEastAsia" w:hAnsiTheme="minorHAnsi" w:cstheme="minorBidi"/>
              <w:noProof/>
            </w:rPr>
          </w:pPr>
          <w:hyperlink w:anchor="_Toc113360601" w:history="1">
            <w:r w:rsidR="00A3041B" w:rsidRPr="00A3041B">
              <w:rPr>
                <w:rStyle w:val="Hipervnculo"/>
                <w:noProof/>
              </w:rPr>
              <w:t>1.1</w:t>
            </w:r>
            <w:r w:rsidR="00A3041B" w:rsidRPr="00A3041B">
              <w:rPr>
                <w:rFonts w:asciiTheme="minorHAnsi" w:eastAsiaTheme="minorEastAsia" w:hAnsiTheme="minorHAnsi" w:cstheme="minorBidi"/>
                <w:noProof/>
              </w:rPr>
              <w:tab/>
            </w:r>
            <w:r w:rsidR="00A3041B" w:rsidRPr="00A3041B">
              <w:rPr>
                <w:rStyle w:val="Hipervnculo"/>
                <w:noProof/>
              </w:rPr>
              <w:t>Horizonte Temporal</w:t>
            </w:r>
            <w:r w:rsidR="00A3041B" w:rsidRPr="00A3041B">
              <w:rPr>
                <w:noProof/>
                <w:webHidden/>
              </w:rPr>
              <w:tab/>
            </w:r>
            <w:r w:rsidR="00A3041B" w:rsidRPr="00A3041B">
              <w:rPr>
                <w:noProof/>
                <w:webHidden/>
              </w:rPr>
              <w:fldChar w:fldCharType="begin"/>
            </w:r>
            <w:r w:rsidR="00A3041B" w:rsidRPr="00A3041B">
              <w:rPr>
                <w:noProof/>
                <w:webHidden/>
              </w:rPr>
              <w:instrText xml:space="preserve"> PAGEREF _Toc113360601 \h </w:instrText>
            </w:r>
            <w:r w:rsidR="00A3041B" w:rsidRPr="00A3041B">
              <w:rPr>
                <w:noProof/>
                <w:webHidden/>
              </w:rPr>
            </w:r>
            <w:r w:rsidR="00A3041B" w:rsidRPr="00A3041B">
              <w:rPr>
                <w:noProof/>
                <w:webHidden/>
              </w:rPr>
              <w:fldChar w:fldCharType="separate"/>
            </w:r>
            <w:r w:rsidR="00B42CE4">
              <w:rPr>
                <w:noProof/>
                <w:webHidden/>
              </w:rPr>
              <w:t>5</w:t>
            </w:r>
            <w:r w:rsidR="00A3041B" w:rsidRPr="00A3041B">
              <w:rPr>
                <w:noProof/>
                <w:webHidden/>
              </w:rPr>
              <w:fldChar w:fldCharType="end"/>
            </w:r>
          </w:hyperlink>
        </w:p>
        <w:p w:rsidR="00A3041B" w:rsidRPr="00A3041B" w:rsidRDefault="00E03D82">
          <w:pPr>
            <w:pStyle w:val="TDC2"/>
            <w:tabs>
              <w:tab w:val="left" w:pos="880"/>
              <w:tab w:val="right" w:pos="8494"/>
            </w:tabs>
            <w:rPr>
              <w:rFonts w:asciiTheme="minorHAnsi" w:eastAsiaTheme="minorEastAsia" w:hAnsiTheme="minorHAnsi" w:cstheme="minorBidi"/>
              <w:noProof/>
            </w:rPr>
          </w:pPr>
          <w:hyperlink w:anchor="_Toc113360602" w:history="1">
            <w:r w:rsidR="00A3041B" w:rsidRPr="00A3041B">
              <w:rPr>
                <w:rStyle w:val="Hipervnculo"/>
                <w:noProof/>
              </w:rPr>
              <w:t>1.2</w:t>
            </w:r>
            <w:r w:rsidR="00A3041B" w:rsidRPr="00A3041B">
              <w:rPr>
                <w:rFonts w:asciiTheme="minorHAnsi" w:eastAsiaTheme="minorEastAsia" w:hAnsiTheme="minorHAnsi" w:cstheme="minorBidi"/>
                <w:noProof/>
              </w:rPr>
              <w:tab/>
            </w:r>
            <w:r w:rsidR="00A3041B" w:rsidRPr="00A3041B">
              <w:rPr>
                <w:rStyle w:val="Hipervnculo"/>
                <w:noProof/>
              </w:rPr>
              <w:t>Análisis de las aspiraciones de la población en relación a la Política</w:t>
            </w:r>
            <w:r w:rsidR="00A3041B" w:rsidRPr="00A3041B">
              <w:rPr>
                <w:noProof/>
                <w:webHidden/>
              </w:rPr>
              <w:tab/>
            </w:r>
            <w:r w:rsidR="00A3041B" w:rsidRPr="00A3041B">
              <w:rPr>
                <w:noProof/>
                <w:webHidden/>
              </w:rPr>
              <w:fldChar w:fldCharType="begin"/>
            </w:r>
            <w:r w:rsidR="00A3041B" w:rsidRPr="00A3041B">
              <w:rPr>
                <w:noProof/>
                <w:webHidden/>
              </w:rPr>
              <w:instrText xml:space="preserve"> PAGEREF _Toc113360602 \h </w:instrText>
            </w:r>
            <w:r w:rsidR="00A3041B" w:rsidRPr="00A3041B">
              <w:rPr>
                <w:noProof/>
                <w:webHidden/>
              </w:rPr>
            </w:r>
            <w:r w:rsidR="00A3041B" w:rsidRPr="00A3041B">
              <w:rPr>
                <w:noProof/>
                <w:webHidden/>
              </w:rPr>
              <w:fldChar w:fldCharType="separate"/>
            </w:r>
            <w:r w:rsidR="00B42CE4">
              <w:rPr>
                <w:noProof/>
                <w:webHidden/>
              </w:rPr>
              <w:t>6</w:t>
            </w:r>
            <w:r w:rsidR="00A3041B" w:rsidRPr="00A3041B">
              <w:rPr>
                <w:noProof/>
                <w:webHidden/>
              </w:rPr>
              <w:fldChar w:fldCharType="end"/>
            </w:r>
          </w:hyperlink>
        </w:p>
        <w:p w:rsidR="00A3041B" w:rsidRPr="00A3041B" w:rsidRDefault="00E03D82">
          <w:pPr>
            <w:pStyle w:val="TDC2"/>
            <w:tabs>
              <w:tab w:val="left" w:pos="880"/>
              <w:tab w:val="right" w:pos="8494"/>
            </w:tabs>
            <w:rPr>
              <w:rFonts w:asciiTheme="minorHAnsi" w:eastAsiaTheme="minorEastAsia" w:hAnsiTheme="minorHAnsi" w:cstheme="minorBidi"/>
              <w:noProof/>
            </w:rPr>
          </w:pPr>
          <w:hyperlink w:anchor="_Toc113360603" w:history="1">
            <w:r w:rsidR="00A3041B" w:rsidRPr="00A3041B">
              <w:rPr>
                <w:rStyle w:val="Hipervnculo"/>
                <w:noProof/>
              </w:rPr>
              <w:t>1.3</w:t>
            </w:r>
            <w:r w:rsidR="00A3041B" w:rsidRPr="00A3041B">
              <w:rPr>
                <w:rFonts w:asciiTheme="minorHAnsi" w:eastAsiaTheme="minorEastAsia" w:hAnsiTheme="minorHAnsi" w:cstheme="minorBidi"/>
                <w:noProof/>
              </w:rPr>
              <w:tab/>
            </w:r>
            <w:r w:rsidR="00A3041B" w:rsidRPr="00A3041B">
              <w:rPr>
                <w:rStyle w:val="Hipervnculo"/>
                <w:noProof/>
              </w:rPr>
              <w:t>Identificación y evaluación de riesgos y oportunidades</w:t>
            </w:r>
            <w:r w:rsidR="00A3041B" w:rsidRPr="00A3041B">
              <w:rPr>
                <w:noProof/>
                <w:webHidden/>
              </w:rPr>
              <w:tab/>
            </w:r>
            <w:r w:rsidR="00A3041B" w:rsidRPr="00A3041B">
              <w:rPr>
                <w:noProof/>
                <w:webHidden/>
              </w:rPr>
              <w:fldChar w:fldCharType="begin"/>
            </w:r>
            <w:r w:rsidR="00A3041B" w:rsidRPr="00A3041B">
              <w:rPr>
                <w:noProof/>
                <w:webHidden/>
              </w:rPr>
              <w:instrText xml:space="preserve"> PAGEREF _Toc113360603 \h </w:instrText>
            </w:r>
            <w:r w:rsidR="00A3041B" w:rsidRPr="00A3041B">
              <w:rPr>
                <w:noProof/>
                <w:webHidden/>
              </w:rPr>
            </w:r>
            <w:r w:rsidR="00A3041B" w:rsidRPr="00A3041B">
              <w:rPr>
                <w:noProof/>
                <w:webHidden/>
              </w:rPr>
              <w:fldChar w:fldCharType="separate"/>
            </w:r>
            <w:r w:rsidR="00B42CE4">
              <w:rPr>
                <w:noProof/>
                <w:webHidden/>
              </w:rPr>
              <w:t>10</w:t>
            </w:r>
            <w:r w:rsidR="00A3041B" w:rsidRPr="00A3041B">
              <w:rPr>
                <w:noProof/>
                <w:webHidden/>
              </w:rPr>
              <w:fldChar w:fldCharType="end"/>
            </w:r>
          </w:hyperlink>
        </w:p>
        <w:p w:rsidR="00A3041B" w:rsidRPr="00A3041B" w:rsidRDefault="00E03D82">
          <w:pPr>
            <w:pStyle w:val="TDC3"/>
            <w:tabs>
              <w:tab w:val="left" w:pos="1320"/>
              <w:tab w:val="right" w:pos="8494"/>
            </w:tabs>
            <w:rPr>
              <w:rFonts w:asciiTheme="minorHAnsi" w:eastAsiaTheme="minorEastAsia" w:hAnsiTheme="minorHAnsi" w:cstheme="minorBidi"/>
              <w:noProof/>
            </w:rPr>
          </w:pPr>
          <w:hyperlink w:anchor="_Toc113360604" w:history="1">
            <w:r w:rsidR="00A3041B" w:rsidRPr="00A3041B">
              <w:rPr>
                <w:rStyle w:val="Hipervnculo"/>
                <w:noProof/>
              </w:rPr>
              <w:t>1.3.1</w:t>
            </w:r>
            <w:r w:rsidR="00A3041B" w:rsidRPr="00A3041B">
              <w:rPr>
                <w:rFonts w:asciiTheme="minorHAnsi" w:eastAsiaTheme="minorEastAsia" w:hAnsiTheme="minorHAnsi" w:cstheme="minorBidi"/>
                <w:noProof/>
              </w:rPr>
              <w:tab/>
            </w:r>
            <w:r w:rsidR="00A3041B" w:rsidRPr="00A3041B">
              <w:rPr>
                <w:rStyle w:val="Hipervnculo"/>
                <w:noProof/>
              </w:rPr>
              <w:t>Tendencias</w:t>
            </w:r>
            <w:r w:rsidR="00A3041B" w:rsidRPr="00A3041B">
              <w:rPr>
                <w:noProof/>
                <w:webHidden/>
              </w:rPr>
              <w:tab/>
            </w:r>
            <w:r w:rsidR="00A3041B" w:rsidRPr="00A3041B">
              <w:rPr>
                <w:noProof/>
                <w:webHidden/>
              </w:rPr>
              <w:fldChar w:fldCharType="begin"/>
            </w:r>
            <w:r w:rsidR="00A3041B" w:rsidRPr="00A3041B">
              <w:rPr>
                <w:noProof/>
                <w:webHidden/>
              </w:rPr>
              <w:instrText xml:space="preserve"> PAGEREF _Toc113360604 \h </w:instrText>
            </w:r>
            <w:r w:rsidR="00A3041B" w:rsidRPr="00A3041B">
              <w:rPr>
                <w:noProof/>
                <w:webHidden/>
              </w:rPr>
            </w:r>
            <w:r w:rsidR="00A3041B" w:rsidRPr="00A3041B">
              <w:rPr>
                <w:noProof/>
                <w:webHidden/>
              </w:rPr>
              <w:fldChar w:fldCharType="separate"/>
            </w:r>
            <w:r w:rsidR="00B42CE4">
              <w:rPr>
                <w:noProof/>
                <w:webHidden/>
              </w:rPr>
              <w:t>10</w:t>
            </w:r>
            <w:r w:rsidR="00A3041B" w:rsidRPr="00A3041B">
              <w:rPr>
                <w:noProof/>
                <w:webHidden/>
              </w:rPr>
              <w:fldChar w:fldCharType="end"/>
            </w:r>
          </w:hyperlink>
        </w:p>
        <w:p w:rsidR="00A3041B" w:rsidRPr="00A3041B" w:rsidRDefault="00E03D82">
          <w:pPr>
            <w:pStyle w:val="TDC3"/>
            <w:tabs>
              <w:tab w:val="left" w:pos="1320"/>
              <w:tab w:val="right" w:pos="8494"/>
            </w:tabs>
            <w:rPr>
              <w:rFonts w:asciiTheme="minorHAnsi" w:eastAsiaTheme="minorEastAsia" w:hAnsiTheme="minorHAnsi" w:cstheme="minorBidi"/>
              <w:noProof/>
            </w:rPr>
          </w:pPr>
          <w:hyperlink w:anchor="_Toc113360605" w:history="1">
            <w:r w:rsidR="00A3041B" w:rsidRPr="00A3041B">
              <w:rPr>
                <w:rStyle w:val="Hipervnculo"/>
                <w:noProof/>
              </w:rPr>
              <w:t>1.3.2</w:t>
            </w:r>
            <w:r w:rsidR="00A3041B" w:rsidRPr="00A3041B">
              <w:rPr>
                <w:rFonts w:asciiTheme="minorHAnsi" w:eastAsiaTheme="minorEastAsia" w:hAnsiTheme="minorHAnsi" w:cstheme="minorBidi"/>
                <w:noProof/>
              </w:rPr>
              <w:tab/>
            </w:r>
            <w:r w:rsidR="00A3041B" w:rsidRPr="00A3041B">
              <w:rPr>
                <w:rStyle w:val="Hipervnculo"/>
                <w:noProof/>
              </w:rPr>
              <w:t>Escenarios contextuales</w:t>
            </w:r>
            <w:r w:rsidR="00A3041B" w:rsidRPr="00A3041B">
              <w:rPr>
                <w:noProof/>
                <w:webHidden/>
              </w:rPr>
              <w:tab/>
            </w:r>
            <w:r w:rsidR="00A3041B" w:rsidRPr="00A3041B">
              <w:rPr>
                <w:noProof/>
                <w:webHidden/>
              </w:rPr>
              <w:fldChar w:fldCharType="begin"/>
            </w:r>
            <w:r w:rsidR="00A3041B" w:rsidRPr="00A3041B">
              <w:rPr>
                <w:noProof/>
                <w:webHidden/>
              </w:rPr>
              <w:instrText xml:space="preserve"> PAGEREF _Toc113360605 \h </w:instrText>
            </w:r>
            <w:r w:rsidR="00A3041B" w:rsidRPr="00A3041B">
              <w:rPr>
                <w:noProof/>
                <w:webHidden/>
              </w:rPr>
            </w:r>
            <w:r w:rsidR="00A3041B" w:rsidRPr="00A3041B">
              <w:rPr>
                <w:noProof/>
                <w:webHidden/>
              </w:rPr>
              <w:fldChar w:fldCharType="separate"/>
            </w:r>
            <w:r w:rsidR="00B42CE4">
              <w:rPr>
                <w:noProof/>
                <w:webHidden/>
              </w:rPr>
              <w:t>16</w:t>
            </w:r>
            <w:r w:rsidR="00A3041B" w:rsidRPr="00A3041B">
              <w:rPr>
                <w:noProof/>
                <w:webHidden/>
              </w:rPr>
              <w:fldChar w:fldCharType="end"/>
            </w:r>
          </w:hyperlink>
        </w:p>
        <w:p w:rsidR="00A3041B" w:rsidRPr="00A3041B" w:rsidRDefault="00E03D82">
          <w:pPr>
            <w:pStyle w:val="TDC3"/>
            <w:tabs>
              <w:tab w:val="left" w:pos="1320"/>
              <w:tab w:val="right" w:pos="8494"/>
            </w:tabs>
            <w:rPr>
              <w:rFonts w:asciiTheme="minorHAnsi" w:eastAsiaTheme="minorEastAsia" w:hAnsiTheme="minorHAnsi" w:cstheme="minorBidi"/>
              <w:noProof/>
            </w:rPr>
          </w:pPr>
          <w:hyperlink w:anchor="_Toc113360606" w:history="1">
            <w:r w:rsidR="00A3041B" w:rsidRPr="00A3041B">
              <w:rPr>
                <w:rStyle w:val="Hipervnculo"/>
                <w:noProof/>
              </w:rPr>
              <w:t>1.3.3</w:t>
            </w:r>
            <w:r w:rsidR="00A3041B" w:rsidRPr="00A3041B">
              <w:rPr>
                <w:rFonts w:asciiTheme="minorHAnsi" w:eastAsiaTheme="minorEastAsia" w:hAnsiTheme="minorHAnsi" w:cstheme="minorBidi"/>
                <w:noProof/>
              </w:rPr>
              <w:tab/>
            </w:r>
            <w:r w:rsidR="00A3041B" w:rsidRPr="00A3041B">
              <w:rPr>
                <w:rStyle w:val="Hipervnculo"/>
                <w:noProof/>
              </w:rPr>
              <w:t>Matriz de riesgos y oportunidades</w:t>
            </w:r>
            <w:r w:rsidR="00A3041B" w:rsidRPr="00A3041B">
              <w:rPr>
                <w:noProof/>
                <w:webHidden/>
              </w:rPr>
              <w:tab/>
            </w:r>
            <w:r w:rsidR="00A3041B" w:rsidRPr="00A3041B">
              <w:rPr>
                <w:noProof/>
                <w:webHidden/>
              </w:rPr>
              <w:fldChar w:fldCharType="begin"/>
            </w:r>
            <w:r w:rsidR="00A3041B" w:rsidRPr="00A3041B">
              <w:rPr>
                <w:noProof/>
                <w:webHidden/>
              </w:rPr>
              <w:instrText xml:space="preserve"> PAGEREF _Toc113360606 \h </w:instrText>
            </w:r>
            <w:r w:rsidR="00A3041B" w:rsidRPr="00A3041B">
              <w:rPr>
                <w:noProof/>
                <w:webHidden/>
              </w:rPr>
            </w:r>
            <w:r w:rsidR="00A3041B" w:rsidRPr="00A3041B">
              <w:rPr>
                <w:noProof/>
                <w:webHidden/>
              </w:rPr>
              <w:fldChar w:fldCharType="separate"/>
            </w:r>
            <w:r w:rsidR="00B42CE4">
              <w:rPr>
                <w:noProof/>
                <w:webHidden/>
              </w:rPr>
              <w:t>17</w:t>
            </w:r>
            <w:r w:rsidR="00A3041B" w:rsidRPr="00A3041B">
              <w:rPr>
                <w:noProof/>
                <w:webHidden/>
              </w:rPr>
              <w:fldChar w:fldCharType="end"/>
            </w:r>
          </w:hyperlink>
        </w:p>
        <w:p w:rsidR="00A3041B" w:rsidRPr="00A3041B" w:rsidRDefault="00E03D82">
          <w:pPr>
            <w:pStyle w:val="TDC2"/>
            <w:tabs>
              <w:tab w:val="left" w:pos="880"/>
              <w:tab w:val="right" w:pos="8494"/>
            </w:tabs>
            <w:rPr>
              <w:rFonts w:asciiTheme="minorHAnsi" w:eastAsiaTheme="minorEastAsia" w:hAnsiTheme="minorHAnsi" w:cstheme="minorBidi"/>
              <w:noProof/>
            </w:rPr>
          </w:pPr>
          <w:hyperlink w:anchor="_Toc113360607" w:history="1">
            <w:r w:rsidR="00A3041B" w:rsidRPr="00A3041B">
              <w:rPr>
                <w:rStyle w:val="Hipervnculo"/>
                <w:noProof/>
              </w:rPr>
              <w:t>1.4</w:t>
            </w:r>
            <w:r w:rsidR="00A3041B" w:rsidRPr="00A3041B">
              <w:rPr>
                <w:rFonts w:asciiTheme="minorHAnsi" w:eastAsiaTheme="minorEastAsia" w:hAnsiTheme="minorHAnsi" w:cstheme="minorBidi"/>
                <w:noProof/>
              </w:rPr>
              <w:tab/>
            </w:r>
            <w:r w:rsidR="00A3041B" w:rsidRPr="00A3041B">
              <w:rPr>
                <w:rStyle w:val="Hipervnculo"/>
                <w:noProof/>
              </w:rPr>
              <w:t>Situación futura deseada al 2030</w:t>
            </w:r>
            <w:r w:rsidR="00A3041B" w:rsidRPr="00A3041B">
              <w:rPr>
                <w:noProof/>
                <w:webHidden/>
              </w:rPr>
              <w:tab/>
            </w:r>
            <w:r w:rsidR="00A3041B" w:rsidRPr="00A3041B">
              <w:rPr>
                <w:noProof/>
                <w:webHidden/>
              </w:rPr>
              <w:fldChar w:fldCharType="begin"/>
            </w:r>
            <w:r w:rsidR="00A3041B" w:rsidRPr="00A3041B">
              <w:rPr>
                <w:noProof/>
                <w:webHidden/>
              </w:rPr>
              <w:instrText xml:space="preserve"> PAGEREF _Toc113360607 \h </w:instrText>
            </w:r>
            <w:r w:rsidR="00A3041B" w:rsidRPr="00A3041B">
              <w:rPr>
                <w:noProof/>
                <w:webHidden/>
              </w:rPr>
            </w:r>
            <w:r w:rsidR="00A3041B" w:rsidRPr="00A3041B">
              <w:rPr>
                <w:noProof/>
                <w:webHidden/>
              </w:rPr>
              <w:fldChar w:fldCharType="separate"/>
            </w:r>
            <w:r w:rsidR="00B42CE4">
              <w:rPr>
                <w:noProof/>
                <w:webHidden/>
              </w:rPr>
              <w:t>22</w:t>
            </w:r>
            <w:r w:rsidR="00A3041B" w:rsidRPr="00A3041B">
              <w:rPr>
                <w:noProof/>
                <w:webHidden/>
              </w:rPr>
              <w:fldChar w:fldCharType="end"/>
            </w:r>
          </w:hyperlink>
        </w:p>
        <w:p w:rsidR="00A3041B" w:rsidRPr="00A3041B" w:rsidRDefault="00E03D82">
          <w:pPr>
            <w:pStyle w:val="TDC1"/>
            <w:tabs>
              <w:tab w:val="left" w:pos="440"/>
              <w:tab w:val="right" w:pos="8494"/>
            </w:tabs>
            <w:rPr>
              <w:rFonts w:asciiTheme="minorHAnsi" w:eastAsiaTheme="minorEastAsia" w:hAnsiTheme="minorHAnsi" w:cstheme="minorBidi"/>
              <w:noProof/>
            </w:rPr>
          </w:pPr>
          <w:hyperlink w:anchor="_Toc113360608" w:history="1">
            <w:r w:rsidR="00A3041B" w:rsidRPr="00A3041B">
              <w:rPr>
                <w:rStyle w:val="Hipervnculo"/>
                <w:noProof/>
              </w:rPr>
              <w:t>2</w:t>
            </w:r>
            <w:r w:rsidR="00A3041B" w:rsidRPr="00A3041B">
              <w:rPr>
                <w:rFonts w:asciiTheme="minorHAnsi" w:eastAsiaTheme="minorEastAsia" w:hAnsiTheme="minorHAnsi" w:cstheme="minorBidi"/>
                <w:noProof/>
              </w:rPr>
              <w:tab/>
            </w:r>
            <w:r w:rsidR="00A3041B" w:rsidRPr="00A3041B">
              <w:rPr>
                <w:rStyle w:val="Hipervnculo"/>
                <w:noProof/>
              </w:rPr>
              <w:t>Selección de alternativas de solución</w:t>
            </w:r>
            <w:r w:rsidR="00A3041B" w:rsidRPr="00A3041B">
              <w:rPr>
                <w:noProof/>
                <w:webHidden/>
              </w:rPr>
              <w:tab/>
            </w:r>
            <w:r w:rsidR="00A3041B" w:rsidRPr="00A3041B">
              <w:rPr>
                <w:noProof/>
                <w:webHidden/>
              </w:rPr>
              <w:fldChar w:fldCharType="begin"/>
            </w:r>
            <w:r w:rsidR="00A3041B" w:rsidRPr="00A3041B">
              <w:rPr>
                <w:noProof/>
                <w:webHidden/>
              </w:rPr>
              <w:instrText xml:space="preserve"> PAGEREF _Toc113360608 \h </w:instrText>
            </w:r>
            <w:r w:rsidR="00A3041B" w:rsidRPr="00A3041B">
              <w:rPr>
                <w:noProof/>
                <w:webHidden/>
              </w:rPr>
            </w:r>
            <w:r w:rsidR="00A3041B" w:rsidRPr="00A3041B">
              <w:rPr>
                <w:noProof/>
                <w:webHidden/>
              </w:rPr>
              <w:fldChar w:fldCharType="separate"/>
            </w:r>
            <w:r w:rsidR="00B42CE4">
              <w:rPr>
                <w:noProof/>
                <w:webHidden/>
              </w:rPr>
              <w:t>24</w:t>
            </w:r>
            <w:r w:rsidR="00A3041B" w:rsidRPr="00A3041B">
              <w:rPr>
                <w:noProof/>
                <w:webHidden/>
              </w:rPr>
              <w:fldChar w:fldCharType="end"/>
            </w:r>
          </w:hyperlink>
        </w:p>
        <w:p w:rsidR="00A3041B" w:rsidRPr="00A3041B" w:rsidRDefault="00E03D82">
          <w:pPr>
            <w:pStyle w:val="TDC2"/>
            <w:tabs>
              <w:tab w:val="left" w:pos="880"/>
              <w:tab w:val="right" w:pos="8494"/>
            </w:tabs>
            <w:rPr>
              <w:rFonts w:asciiTheme="minorHAnsi" w:eastAsiaTheme="minorEastAsia" w:hAnsiTheme="minorHAnsi" w:cstheme="minorBidi"/>
              <w:noProof/>
            </w:rPr>
          </w:pPr>
          <w:hyperlink w:anchor="_Toc113360609" w:history="1">
            <w:r w:rsidR="00A3041B" w:rsidRPr="00A3041B">
              <w:rPr>
                <w:rStyle w:val="Hipervnculo"/>
                <w:noProof/>
              </w:rPr>
              <w:t>2.1</w:t>
            </w:r>
            <w:r w:rsidR="00A3041B" w:rsidRPr="00A3041B">
              <w:rPr>
                <w:rFonts w:asciiTheme="minorHAnsi" w:eastAsiaTheme="minorEastAsia" w:hAnsiTheme="minorHAnsi" w:cstheme="minorBidi"/>
                <w:noProof/>
              </w:rPr>
              <w:tab/>
            </w:r>
            <w:r w:rsidR="00A3041B" w:rsidRPr="00A3041B">
              <w:rPr>
                <w:rStyle w:val="Hipervnculo"/>
                <w:noProof/>
              </w:rPr>
              <w:t>Criterios de análisis</w:t>
            </w:r>
            <w:r w:rsidR="00A3041B" w:rsidRPr="00A3041B">
              <w:rPr>
                <w:noProof/>
                <w:webHidden/>
              </w:rPr>
              <w:tab/>
            </w:r>
            <w:r w:rsidR="00A3041B" w:rsidRPr="00A3041B">
              <w:rPr>
                <w:noProof/>
                <w:webHidden/>
              </w:rPr>
              <w:fldChar w:fldCharType="begin"/>
            </w:r>
            <w:r w:rsidR="00A3041B" w:rsidRPr="00A3041B">
              <w:rPr>
                <w:noProof/>
                <w:webHidden/>
              </w:rPr>
              <w:instrText xml:space="preserve"> PAGEREF _Toc113360609 \h </w:instrText>
            </w:r>
            <w:r w:rsidR="00A3041B" w:rsidRPr="00A3041B">
              <w:rPr>
                <w:noProof/>
                <w:webHidden/>
              </w:rPr>
            </w:r>
            <w:r w:rsidR="00A3041B" w:rsidRPr="00A3041B">
              <w:rPr>
                <w:noProof/>
                <w:webHidden/>
              </w:rPr>
              <w:fldChar w:fldCharType="separate"/>
            </w:r>
            <w:r w:rsidR="00B42CE4">
              <w:rPr>
                <w:noProof/>
                <w:webHidden/>
              </w:rPr>
              <w:t>24</w:t>
            </w:r>
            <w:r w:rsidR="00A3041B" w:rsidRPr="00A3041B">
              <w:rPr>
                <w:noProof/>
                <w:webHidden/>
              </w:rPr>
              <w:fldChar w:fldCharType="end"/>
            </w:r>
          </w:hyperlink>
        </w:p>
        <w:p w:rsidR="00A3041B" w:rsidRPr="00A3041B" w:rsidRDefault="00E03D82">
          <w:pPr>
            <w:pStyle w:val="TDC2"/>
            <w:tabs>
              <w:tab w:val="left" w:pos="880"/>
              <w:tab w:val="right" w:pos="8494"/>
            </w:tabs>
            <w:rPr>
              <w:rFonts w:asciiTheme="minorHAnsi" w:eastAsiaTheme="minorEastAsia" w:hAnsiTheme="minorHAnsi" w:cstheme="minorBidi"/>
              <w:noProof/>
            </w:rPr>
          </w:pPr>
          <w:hyperlink w:anchor="_Toc113360610" w:history="1">
            <w:r w:rsidR="00A3041B" w:rsidRPr="00A3041B">
              <w:rPr>
                <w:rStyle w:val="Hipervnculo"/>
                <w:noProof/>
              </w:rPr>
              <w:t>2.2</w:t>
            </w:r>
            <w:r w:rsidR="00A3041B" w:rsidRPr="00A3041B">
              <w:rPr>
                <w:rFonts w:asciiTheme="minorHAnsi" w:eastAsiaTheme="minorEastAsia" w:hAnsiTheme="minorHAnsi" w:cstheme="minorBidi"/>
                <w:noProof/>
              </w:rPr>
              <w:tab/>
            </w:r>
            <w:r w:rsidR="00A3041B" w:rsidRPr="00A3041B">
              <w:rPr>
                <w:rStyle w:val="Hipervnculo"/>
                <w:noProof/>
              </w:rPr>
              <w:t>Alternativas de solución seleccionadas</w:t>
            </w:r>
            <w:r w:rsidR="00A3041B" w:rsidRPr="00A3041B">
              <w:rPr>
                <w:noProof/>
                <w:webHidden/>
              </w:rPr>
              <w:tab/>
            </w:r>
            <w:r w:rsidR="00A3041B" w:rsidRPr="00A3041B">
              <w:rPr>
                <w:noProof/>
                <w:webHidden/>
              </w:rPr>
              <w:fldChar w:fldCharType="begin"/>
            </w:r>
            <w:r w:rsidR="00A3041B" w:rsidRPr="00A3041B">
              <w:rPr>
                <w:noProof/>
                <w:webHidden/>
              </w:rPr>
              <w:instrText xml:space="preserve"> PAGEREF _Toc113360610 \h </w:instrText>
            </w:r>
            <w:r w:rsidR="00A3041B" w:rsidRPr="00A3041B">
              <w:rPr>
                <w:noProof/>
                <w:webHidden/>
              </w:rPr>
            </w:r>
            <w:r w:rsidR="00A3041B" w:rsidRPr="00A3041B">
              <w:rPr>
                <w:noProof/>
                <w:webHidden/>
              </w:rPr>
              <w:fldChar w:fldCharType="separate"/>
            </w:r>
            <w:r w:rsidR="00B42CE4">
              <w:rPr>
                <w:noProof/>
                <w:webHidden/>
              </w:rPr>
              <w:t>26</w:t>
            </w:r>
            <w:r w:rsidR="00A3041B" w:rsidRPr="00A3041B">
              <w:rPr>
                <w:noProof/>
                <w:webHidden/>
              </w:rPr>
              <w:fldChar w:fldCharType="end"/>
            </w:r>
          </w:hyperlink>
        </w:p>
        <w:p w:rsidR="00A3041B" w:rsidRPr="00A3041B" w:rsidRDefault="00E03D82">
          <w:pPr>
            <w:pStyle w:val="TDC2"/>
            <w:tabs>
              <w:tab w:val="left" w:pos="880"/>
              <w:tab w:val="right" w:pos="8494"/>
            </w:tabs>
            <w:rPr>
              <w:rFonts w:asciiTheme="minorHAnsi" w:eastAsiaTheme="minorEastAsia" w:hAnsiTheme="minorHAnsi" w:cstheme="minorBidi"/>
              <w:noProof/>
            </w:rPr>
          </w:pPr>
          <w:hyperlink w:anchor="_Toc113360611" w:history="1">
            <w:r w:rsidR="00A3041B" w:rsidRPr="00A3041B">
              <w:rPr>
                <w:rStyle w:val="Hipervnculo"/>
                <w:noProof/>
              </w:rPr>
              <w:t>2.3</w:t>
            </w:r>
            <w:r w:rsidR="00A3041B" w:rsidRPr="00A3041B">
              <w:rPr>
                <w:rFonts w:asciiTheme="minorHAnsi" w:eastAsiaTheme="minorEastAsia" w:hAnsiTheme="minorHAnsi" w:cstheme="minorBidi"/>
                <w:noProof/>
              </w:rPr>
              <w:tab/>
            </w:r>
            <w:r w:rsidR="00A3041B" w:rsidRPr="00A3041B">
              <w:rPr>
                <w:rStyle w:val="Hipervnculo"/>
                <w:noProof/>
              </w:rPr>
              <w:t>Evidencia de Alternativas de Solución</w:t>
            </w:r>
            <w:r w:rsidR="00A3041B" w:rsidRPr="00A3041B">
              <w:rPr>
                <w:noProof/>
                <w:webHidden/>
              </w:rPr>
              <w:tab/>
            </w:r>
            <w:r w:rsidR="00A3041B" w:rsidRPr="00A3041B">
              <w:rPr>
                <w:noProof/>
                <w:webHidden/>
              </w:rPr>
              <w:fldChar w:fldCharType="begin"/>
            </w:r>
            <w:r w:rsidR="00A3041B" w:rsidRPr="00A3041B">
              <w:rPr>
                <w:noProof/>
                <w:webHidden/>
              </w:rPr>
              <w:instrText xml:space="preserve"> PAGEREF _Toc113360611 \h </w:instrText>
            </w:r>
            <w:r w:rsidR="00A3041B" w:rsidRPr="00A3041B">
              <w:rPr>
                <w:noProof/>
                <w:webHidden/>
              </w:rPr>
            </w:r>
            <w:r w:rsidR="00A3041B" w:rsidRPr="00A3041B">
              <w:rPr>
                <w:noProof/>
                <w:webHidden/>
              </w:rPr>
              <w:fldChar w:fldCharType="separate"/>
            </w:r>
            <w:r w:rsidR="00B42CE4">
              <w:rPr>
                <w:noProof/>
                <w:webHidden/>
              </w:rPr>
              <w:t>28</w:t>
            </w:r>
            <w:r w:rsidR="00A3041B" w:rsidRPr="00A3041B">
              <w:rPr>
                <w:noProof/>
                <w:webHidden/>
              </w:rPr>
              <w:fldChar w:fldCharType="end"/>
            </w:r>
          </w:hyperlink>
        </w:p>
        <w:p w:rsidR="00A3041B" w:rsidRPr="00A3041B" w:rsidRDefault="00E03D82">
          <w:pPr>
            <w:pStyle w:val="TDC3"/>
            <w:tabs>
              <w:tab w:val="right" w:pos="8494"/>
            </w:tabs>
            <w:rPr>
              <w:rFonts w:asciiTheme="minorHAnsi" w:eastAsiaTheme="minorEastAsia" w:hAnsiTheme="minorHAnsi" w:cstheme="minorBidi"/>
              <w:noProof/>
            </w:rPr>
          </w:pPr>
          <w:hyperlink w:anchor="_Toc113360612" w:history="1">
            <w:r w:rsidR="00A3041B" w:rsidRPr="00A3041B">
              <w:rPr>
                <w:rStyle w:val="Hipervnculo"/>
                <w:noProof/>
              </w:rPr>
              <w:t>Causa 1: Existencia de informalidad en la economía como factor de riesgo de LA</w:t>
            </w:r>
            <w:r w:rsidR="00A3041B" w:rsidRPr="00A3041B">
              <w:rPr>
                <w:noProof/>
                <w:webHidden/>
              </w:rPr>
              <w:tab/>
            </w:r>
            <w:r w:rsidR="00A3041B" w:rsidRPr="00A3041B">
              <w:rPr>
                <w:noProof/>
                <w:webHidden/>
              </w:rPr>
              <w:fldChar w:fldCharType="begin"/>
            </w:r>
            <w:r w:rsidR="00A3041B" w:rsidRPr="00A3041B">
              <w:rPr>
                <w:noProof/>
                <w:webHidden/>
              </w:rPr>
              <w:instrText xml:space="preserve"> PAGEREF _Toc113360612 \h </w:instrText>
            </w:r>
            <w:r w:rsidR="00A3041B" w:rsidRPr="00A3041B">
              <w:rPr>
                <w:noProof/>
                <w:webHidden/>
              </w:rPr>
            </w:r>
            <w:r w:rsidR="00A3041B" w:rsidRPr="00A3041B">
              <w:rPr>
                <w:noProof/>
                <w:webHidden/>
              </w:rPr>
              <w:fldChar w:fldCharType="separate"/>
            </w:r>
            <w:r w:rsidR="00B42CE4">
              <w:rPr>
                <w:noProof/>
                <w:webHidden/>
              </w:rPr>
              <w:t>28</w:t>
            </w:r>
            <w:r w:rsidR="00A3041B" w:rsidRPr="00A3041B">
              <w:rPr>
                <w:noProof/>
                <w:webHidden/>
              </w:rPr>
              <w:fldChar w:fldCharType="end"/>
            </w:r>
          </w:hyperlink>
        </w:p>
        <w:p w:rsidR="00A3041B" w:rsidRPr="00A3041B" w:rsidRDefault="00E03D82">
          <w:pPr>
            <w:pStyle w:val="TDC3"/>
            <w:tabs>
              <w:tab w:val="right" w:pos="8494"/>
            </w:tabs>
            <w:rPr>
              <w:rFonts w:asciiTheme="minorHAnsi" w:eastAsiaTheme="minorEastAsia" w:hAnsiTheme="minorHAnsi" w:cstheme="minorBidi"/>
              <w:noProof/>
            </w:rPr>
          </w:pPr>
          <w:hyperlink w:anchor="_Toc113360613" w:history="1">
            <w:r w:rsidR="00A3041B" w:rsidRPr="00A3041B">
              <w:rPr>
                <w:rStyle w:val="Hipervnculo"/>
                <w:noProof/>
              </w:rPr>
              <w:t>Causa 2: Deficiente prevención de LA por parte de los sujetos obligados</w:t>
            </w:r>
            <w:r w:rsidR="00A3041B" w:rsidRPr="00A3041B">
              <w:rPr>
                <w:noProof/>
                <w:webHidden/>
              </w:rPr>
              <w:tab/>
            </w:r>
            <w:r w:rsidR="00A3041B" w:rsidRPr="00A3041B">
              <w:rPr>
                <w:noProof/>
                <w:webHidden/>
              </w:rPr>
              <w:fldChar w:fldCharType="begin"/>
            </w:r>
            <w:r w:rsidR="00A3041B" w:rsidRPr="00A3041B">
              <w:rPr>
                <w:noProof/>
                <w:webHidden/>
              </w:rPr>
              <w:instrText xml:space="preserve"> PAGEREF _Toc113360613 \h </w:instrText>
            </w:r>
            <w:r w:rsidR="00A3041B" w:rsidRPr="00A3041B">
              <w:rPr>
                <w:noProof/>
                <w:webHidden/>
              </w:rPr>
            </w:r>
            <w:r w:rsidR="00A3041B" w:rsidRPr="00A3041B">
              <w:rPr>
                <w:noProof/>
                <w:webHidden/>
              </w:rPr>
              <w:fldChar w:fldCharType="separate"/>
            </w:r>
            <w:r w:rsidR="00B42CE4">
              <w:rPr>
                <w:noProof/>
                <w:webHidden/>
              </w:rPr>
              <w:t>29</w:t>
            </w:r>
            <w:r w:rsidR="00A3041B" w:rsidRPr="00A3041B">
              <w:rPr>
                <w:noProof/>
                <w:webHidden/>
              </w:rPr>
              <w:fldChar w:fldCharType="end"/>
            </w:r>
          </w:hyperlink>
        </w:p>
        <w:p w:rsidR="00A3041B" w:rsidRPr="00A3041B" w:rsidRDefault="00E03D82">
          <w:pPr>
            <w:pStyle w:val="TDC3"/>
            <w:tabs>
              <w:tab w:val="right" w:pos="8494"/>
            </w:tabs>
            <w:rPr>
              <w:rFonts w:asciiTheme="minorHAnsi" w:eastAsiaTheme="minorEastAsia" w:hAnsiTheme="minorHAnsi" w:cstheme="minorBidi"/>
              <w:noProof/>
            </w:rPr>
          </w:pPr>
          <w:hyperlink w:anchor="_Toc113360614" w:history="1">
            <w:r w:rsidR="00A3041B" w:rsidRPr="00A3041B">
              <w:rPr>
                <w:rStyle w:val="Hipervnculo"/>
                <w:noProof/>
              </w:rPr>
              <w:t>Causa 3: Debilidad del Estado para combatir el LA</w:t>
            </w:r>
            <w:r w:rsidR="00A3041B" w:rsidRPr="00A3041B">
              <w:rPr>
                <w:noProof/>
                <w:webHidden/>
              </w:rPr>
              <w:tab/>
            </w:r>
            <w:r w:rsidR="00A3041B" w:rsidRPr="00A3041B">
              <w:rPr>
                <w:noProof/>
                <w:webHidden/>
              </w:rPr>
              <w:fldChar w:fldCharType="begin"/>
            </w:r>
            <w:r w:rsidR="00A3041B" w:rsidRPr="00A3041B">
              <w:rPr>
                <w:noProof/>
                <w:webHidden/>
              </w:rPr>
              <w:instrText xml:space="preserve"> PAGEREF _Toc113360614 \h </w:instrText>
            </w:r>
            <w:r w:rsidR="00A3041B" w:rsidRPr="00A3041B">
              <w:rPr>
                <w:noProof/>
                <w:webHidden/>
              </w:rPr>
            </w:r>
            <w:r w:rsidR="00A3041B" w:rsidRPr="00A3041B">
              <w:rPr>
                <w:noProof/>
                <w:webHidden/>
              </w:rPr>
              <w:fldChar w:fldCharType="separate"/>
            </w:r>
            <w:r w:rsidR="00B42CE4">
              <w:rPr>
                <w:noProof/>
                <w:webHidden/>
              </w:rPr>
              <w:t>32</w:t>
            </w:r>
            <w:r w:rsidR="00A3041B" w:rsidRPr="00A3041B">
              <w:rPr>
                <w:noProof/>
                <w:webHidden/>
              </w:rPr>
              <w:fldChar w:fldCharType="end"/>
            </w:r>
          </w:hyperlink>
        </w:p>
        <w:p w:rsidR="00A3041B" w:rsidRPr="00A3041B" w:rsidRDefault="00E03D82">
          <w:pPr>
            <w:pStyle w:val="TDC3"/>
            <w:tabs>
              <w:tab w:val="right" w:pos="8494"/>
            </w:tabs>
            <w:rPr>
              <w:rFonts w:asciiTheme="minorHAnsi" w:eastAsiaTheme="minorEastAsia" w:hAnsiTheme="minorHAnsi" w:cstheme="minorBidi"/>
              <w:noProof/>
            </w:rPr>
          </w:pPr>
          <w:hyperlink w:anchor="_Toc113360615" w:history="1">
            <w:r w:rsidR="00A3041B" w:rsidRPr="00A3041B">
              <w:rPr>
                <w:rStyle w:val="Hipervnculo"/>
                <w:noProof/>
              </w:rPr>
              <w:t>Causa 4: Insuficiente articulación y participación activa entre el Estado, el sector privado y la sociedad civil en la lucha contra LA</w:t>
            </w:r>
            <w:r w:rsidR="00A3041B" w:rsidRPr="00A3041B">
              <w:rPr>
                <w:noProof/>
                <w:webHidden/>
              </w:rPr>
              <w:tab/>
            </w:r>
            <w:r w:rsidR="00A3041B" w:rsidRPr="00A3041B">
              <w:rPr>
                <w:noProof/>
                <w:webHidden/>
              </w:rPr>
              <w:fldChar w:fldCharType="begin"/>
            </w:r>
            <w:r w:rsidR="00A3041B" w:rsidRPr="00A3041B">
              <w:rPr>
                <w:noProof/>
                <w:webHidden/>
              </w:rPr>
              <w:instrText xml:space="preserve"> PAGEREF _Toc113360615 \h </w:instrText>
            </w:r>
            <w:r w:rsidR="00A3041B" w:rsidRPr="00A3041B">
              <w:rPr>
                <w:noProof/>
                <w:webHidden/>
              </w:rPr>
            </w:r>
            <w:r w:rsidR="00A3041B" w:rsidRPr="00A3041B">
              <w:rPr>
                <w:noProof/>
                <w:webHidden/>
              </w:rPr>
              <w:fldChar w:fldCharType="separate"/>
            </w:r>
            <w:r w:rsidR="00B42CE4">
              <w:rPr>
                <w:noProof/>
                <w:webHidden/>
              </w:rPr>
              <w:t>44</w:t>
            </w:r>
            <w:r w:rsidR="00A3041B" w:rsidRPr="00A3041B">
              <w:rPr>
                <w:noProof/>
                <w:webHidden/>
              </w:rPr>
              <w:fldChar w:fldCharType="end"/>
            </w:r>
          </w:hyperlink>
        </w:p>
        <w:p w:rsidR="00A3041B" w:rsidRPr="00A3041B" w:rsidRDefault="00E03D82">
          <w:pPr>
            <w:pStyle w:val="TDC1"/>
            <w:tabs>
              <w:tab w:val="right" w:pos="8494"/>
            </w:tabs>
            <w:rPr>
              <w:rFonts w:asciiTheme="minorHAnsi" w:eastAsiaTheme="minorEastAsia" w:hAnsiTheme="minorHAnsi" w:cstheme="minorBidi"/>
              <w:noProof/>
            </w:rPr>
          </w:pPr>
          <w:hyperlink w:anchor="_Toc113360616" w:history="1">
            <w:r w:rsidR="00A3041B" w:rsidRPr="00A3041B">
              <w:rPr>
                <w:rStyle w:val="Hipervnculo"/>
                <w:noProof/>
              </w:rPr>
              <w:t>ANEXO</w:t>
            </w:r>
            <w:r w:rsidR="00A3041B" w:rsidRPr="00A3041B">
              <w:rPr>
                <w:noProof/>
                <w:webHidden/>
              </w:rPr>
              <w:tab/>
            </w:r>
            <w:r w:rsidR="00A3041B" w:rsidRPr="00A3041B">
              <w:rPr>
                <w:noProof/>
                <w:webHidden/>
              </w:rPr>
              <w:fldChar w:fldCharType="begin"/>
            </w:r>
            <w:r w:rsidR="00A3041B" w:rsidRPr="00A3041B">
              <w:rPr>
                <w:noProof/>
                <w:webHidden/>
              </w:rPr>
              <w:instrText xml:space="preserve"> PAGEREF _Toc113360616 \h </w:instrText>
            </w:r>
            <w:r w:rsidR="00A3041B" w:rsidRPr="00A3041B">
              <w:rPr>
                <w:noProof/>
                <w:webHidden/>
              </w:rPr>
            </w:r>
            <w:r w:rsidR="00A3041B" w:rsidRPr="00A3041B">
              <w:rPr>
                <w:noProof/>
                <w:webHidden/>
              </w:rPr>
              <w:fldChar w:fldCharType="separate"/>
            </w:r>
            <w:r w:rsidR="00B42CE4">
              <w:rPr>
                <w:noProof/>
                <w:webHidden/>
              </w:rPr>
              <w:t>48</w:t>
            </w:r>
            <w:r w:rsidR="00A3041B" w:rsidRPr="00A3041B">
              <w:rPr>
                <w:noProof/>
                <w:webHidden/>
              </w:rPr>
              <w:fldChar w:fldCharType="end"/>
            </w:r>
          </w:hyperlink>
        </w:p>
        <w:p w:rsidR="00A3041B" w:rsidRPr="00A3041B" w:rsidRDefault="00E03D82">
          <w:pPr>
            <w:pStyle w:val="TDC1"/>
            <w:tabs>
              <w:tab w:val="right" w:pos="8494"/>
            </w:tabs>
            <w:rPr>
              <w:rFonts w:asciiTheme="minorHAnsi" w:eastAsiaTheme="minorEastAsia" w:hAnsiTheme="minorHAnsi" w:cstheme="minorBidi"/>
              <w:noProof/>
            </w:rPr>
          </w:pPr>
          <w:hyperlink w:anchor="_Toc113360617" w:history="1">
            <w:r w:rsidR="00A3041B" w:rsidRPr="00A3041B">
              <w:rPr>
                <w:rStyle w:val="Hipervnculo"/>
                <w:noProof/>
              </w:rPr>
              <w:t>Anexo N° 1</w:t>
            </w:r>
            <w:r w:rsidR="00A3041B" w:rsidRPr="00A3041B">
              <w:rPr>
                <w:noProof/>
                <w:webHidden/>
              </w:rPr>
              <w:tab/>
            </w:r>
            <w:r w:rsidR="00A3041B" w:rsidRPr="00A3041B">
              <w:rPr>
                <w:noProof/>
                <w:webHidden/>
              </w:rPr>
              <w:fldChar w:fldCharType="begin"/>
            </w:r>
            <w:r w:rsidR="00A3041B" w:rsidRPr="00A3041B">
              <w:rPr>
                <w:noProof/>
                <w:webHidden/>
              </w:rPr>
              <w:instrText xml:space="preserve"> PAGEREF _Toc113360617 \h </w:instrText>
            </w:r>
            <w:r w:rsidR="00A3041B" w:rsidRPr="00A3041B">
              <w:rPr>
                <w:noProof/>
                <w:webHidden/>
              </w:rPr>
            </w:r>
            <w:r w:rsidR="00A3041B" w:rsidRPr="00A3041B">
              <w:rPr>
                <w:noProof/>
                <w:webHidden/>
              </w:rPr>
              <w:fldChar w:fldCharType="separate"/>
            </w:r>
            <w:r w:rsidR="00B42CE4">
              <w:rPr>
                <w:noProof/>
                <w:webHidden/>
              </w:rPr>
              <w:t>49</w:t>
            </w:r>
            <w:r w:rsidR="00A3041B" w:rsidRPr="00A3041B">
              <w:rPr>
                <w:noProof/>
                <w:webHidden/>
              </w:rPr>
              <w:fldChar w:fldCharType="end"/>
            </w:r>
          </w:hyperlink>
        </w:p>
        <w:p w:rsidR="00A3041B" w:rsidRPr="00A3041B" w:rsidRDefault="00E03D82">
          <w:pPr>
            <w:pStyle w:val="TDC1"/>
            <w:tabs>
              <w:tab w:val="right" w:pos="8494"/>
            </w:tabs>
            <w:rPr>
              <w:rFonts w:asciiTheme="minorHAnsi" w:eastAsiaTheme="minorEastAsia" w:hAnsiTheme="minorHAnsi" w:cstheme="minorBidi"/>
              <w:noProof/>
            </w:rPr>
          </w:pPr>
          <w:hyperlink w:anchor="_Toc113360618" w:history="1">
            <w:r w:rsidR="00A3041B" w:rsidRPr="00A3041B">
              <w:rPr>
                <w:rStyle w:val="Hipervnculo"/>
                <w:noProof/>
                <w:highlight w:val="yellow"/>
              </w:rPr>
              <w:t>Anexo N° 2</w:t>
            </w:r>
            <w:r w:rsidR="00A3041B" w:rsidRPr="00A3041B">
              <w:rPr>
                <w:noProof/>
                <w:webHidden/>
              </w:rPr>
              <w:tab/>
            </w:r>
            <w:r w:rsidR="00A3041B" w:rsidRPr="00A3041B">
              <w:rPr>
                <w:noProof/>
                <w:webHidden/>
              </w:rPr>
              <w:fldChar w:fldCharType="begin"/>
            </w:r>
            <w:r w:rsidR="00A3041B" w:rsidRPr="00A3041B">
              <w:rPr>
                <w:noProof/>
                <w:webHidden/>
              </w:rPr>
              <w:instrText xml:space="preserve"> PAGEREF _Toc113360618 \h </w:instrText>
            </w:r>
            <w:r w:rsidR="00A3041B" w:rsidRPr="00A3041B">
              <w:rPr>
                <w:noProof/>
                <w:webHidden/>
              </w:rPr>
            </w:r>
            <w:r w:rsidR="00A3041B" w:rsidRPr="00A3041B">
              <w:rPr>
                <w:noProof/>
                <w:webHidden/>
              </w:rPr>
              <w:fldChar w:fldCharType="separate"/>
            </w:r>
            <w:r w:rsidR="00B42CE4">
              <w:rPr>
                <w:noProof/>
                <w:webHidden/>
              </w:rPr>
              <w:t>54</w:t>
            </w:r>
            <w:r w:rsidR="00A3041B" w:rsidRPr="00A3041B">
              <w:rPr>
                <w:noProof/>
                <w:webHidden/>
              </w:rPr>
              <w:fldChar w:fldCharType="end"/>
            </w:r>
          </w:hyperlink>
        </w:p>
        <w:p w:rsidR="00A3041B" w:rsidRPr="00A3041B" w:rsidRDefault="00E03D82">
          <w:pPr>
            <w:pStyle w:val="TDC1"/>
            <w:tabs>
              <w:tab w:val="right" w:pos="8494"/>
            </w:tabs>
            <w:rPr>
              <w:rFonts w:asciiTheme="minorHAnsi" w:eastAsiaTheme="minorEastAsia" w:hAnsiTheme="minorHAnsi" w:cstheme="minorBidi"/>
              <w:noProof/>
            </w:rPr>
          </w:pPr>
          <w:hyperlink w:anchor="_Toc113360619" w:history="1">
            <w:r w:rsidR="00A3041B" w:rsidRPr="00A3041B">
              <w:rPr>
                <w:rStyle w:val="Hipervnculo"/>
                <w:noProof/>
              </w:rPr>
              <w:t>Anexo N° 3</w:t>
            </w:r>
            <w:r w:rsidR="00A3041B" w:rsidRPr="00A3041B">
              <w:rPr>
                <w:noProof/>
                <w:webHidden/>
              </w:rPr>
              <w:tab/>
            </w:r>
            <w:r w:rsidR="00A3041B" w:rsidRPr="00A3041B">
              <w:rPr>
                <w:noProof/>
                <w:webHidden/>
              </w:rPr>
              <w:fldChar w:fldCharType="begin"/>
            </w:r>
            <w:r w:rsidR="00A3041B" w:rsidRPr="00A3041B">
              <w:rPr>
                <w:noProof/>
                <w:webHidden/>
              </w:rPr>
              <w:instrText xml:space="preserve"> PAGEREF _Toc113360619 \h </w:instrText>
            </w:r>
            <w:r w:rsidR="00A3041B" w:rsidRPr="00A3041B">
              <w:rPr>
                <w:noProof/>
                <w:webHidden/>
              </w:rPr>
            </w:r>
            <w:r w:rsidR="00A3041B" w:rsidRPr="00A3041B">
              <w:rPr>
                <w:noProof/>
                <w:webHidden/>
              </w:rPr>
              <w:fldChar w:fldCharType="separate"/>
            </w:r>
            <w:r w:rsidR="00B42CE4">
              <w:rPr>
                <w:noProof/>
                <w:webHidden/>
              </w:rPr>
              <w:t>57</w:t>
            </w:r>
            <w:r w:rsidR="00A3041B" w:rsidRPr="00A3041B">
              <w:rPr>
                <w:noProof/>
                <w:webHidden/>
              </w:rPr>
              <w:fldChar w:fldCharType="end"/>
            </w:r>
          </w:hyperlink>
        </w:p>
        <w:p w:rsidR="00A3041B" w:rsidRPr="00A3041B" w:rsidRDefault="00E03D82">
          <w:pPr>
            <w:pStyle w:val="TDC1"/>
            <w:tabs>
              <w:tab w:val="right" w:pos="8494"/>
            </w:tabs>
            <w:rPr>
              <w:rFonts w:asciiTheme="minorHAnsi" w:eastAsiaTheme="minorEastAsia" w:hAnsiTheme="minorHAnsi" w:cstheme="minorBidi"/>
              <w:noProof/>
            </w:rPr>
          </w:pPr>
          <w:hyperlink w:anchor="_Toc113360620" w:history="1">
            <w:r w:rsidR="00A3041B" w:rsidRPr="00A3041B">
              <w:rPr>
                <w:rStyle w:val="Hipervnculo"/>
                <w:noProof/>
              </w:rPr>
              <w:t>Bibliografía</w:t>
            </w:r>
            <w:r w:rsidR="00A3041B" w:rsidRPr="00A3041B">
              <w:rPr>
                <w:noProof/>
                <w:webHidden/>
              </w:rPr>
              <w:tab/>
            </w:r>
            <w:r w:rsidR="00A3041B" w:rsidRPr="00A3041B">
              <w:rPr>
                <w:noProof/>
                <w:webHidden/>
              </w:rPr>
              <w:fldChar w:fldCharType="begin"/>
            </w:r>
            <w:r w:rsidR="00A3041B" w:rsidRPr="00A3041B">
              <w:rPr>
                <w:noProof/>
                <w:webHidden/>
              </w:rPr>
              <w:instrText xml:space="preserve"> PAGEREF _Toc113360620 \h </w:instrText>
            </w:r>
            <w:r w:rsidR="00A3041B" w:rsidRPr="00A3041B">
              <w:rPr>
                <w:noProof/>
                <w:webHidden/>
              </w:rPr>
            </w:r>
            <w:r w:rsidR="00A3041B" w:rsidRPr="00A3041B">
              <w:rPr>
                <w:noProof/>
                <w:webHidden/>
              </w:rPr>
              <w:fldChar w:fldCharType="separate"/>
            </w:r>
            <w:r w:rsidR="00B42CE4">
              <w:rPr>
                <w:noProof/>
                <w:webHidden/>
              </w:rPr>
              <w:t>79</w:t>
            </w:r>
            <w:r w:rsidR="00A3041B" w:rsidRPr="00A3041B">
              <w:rPr>
                <w:noProof/>
                <w:webHidden/>
              </w:rPr>
              <w:fldChar w:fldCharType="end"/>
            </w:r>
          </w:hyperlink>
        </w:p>
        <w:p w:rsidR="00000AA1" w:rsidRDefault="001347DD">
          <w:r w:rsidRPr="00A3041B">
            <w:fldChar w:fldCharType="end"/>
          </w:r>
        </w:p>
      </w:sdtContent>
    </w:sdt>
    <w:p w:rsidR="00000AA1" w:rsidRDefault="00000AA1">
      <w:pPr>
        <w:rPr>
          <w:b/>
          <w:u w:val="single"/>
        </w:rPr>
      </w:pPr>
    </w:p>
    <w:p w:rsidR="00000AA1" w:rsidRDefault="001347DD">
      <w:pPr>
        <w:rPr>
          <w:b/>
          <w:u w:val="single"/>
        </w:rPr>
      </w:pPr>
      <w:r>
        <w:br w:type="page"/>
      </w:r>
    </w:p>
    <w:p w:rsidR="00F17034" w:rsidRPr="00A536FA" w:rsidRDefault="00F17034" w:rsidP="00F17034">
      <w:pPr>
        <w:pStyle w:val="Ttulo1"/>
        <w:jc w:val="center"/>
        <w:rPr>
          <w:b/>
          <w:color w:val="auto"/>
          <w:sz w:val="24"/>
          <w:szCs w:val="24"/>
          <w:u w:val="single"/>
        </w:rPr>
      </w:pPr>
      <w:bookmarkStart w:id="0" w:name="_Toc103784869"/>
      <w:bookmarkStart w:id="1" w:name="_Toc113360599"/>
      <w:r w:rsidRPr="00A536FA">
        <w:rPr>
          <w:b/>
          <w:color w:val="auto"/>
          <w:sz w:val="24"/>
          <w:szCs w:val="24"/>
          <w:u w:val="single"/>
        </w:rPr>
        <w:lastRenderedPageBreak/>
        <w:t>Acrónimos</w:t>
      </w:r>
      <w:bookmarkEnd w:id="0"/>
      <w:bookmarkEnd w:id="1"/>
    </w:p>
    <w:p w:rsidR="00F17034" w:rsidRPr="00A536FA" w:rsidRDefault="00F17034" w:rsidP="00F17034"/>
    <w:tbl>
      <w:tblPr>
        <w:tblStyle w:val="TableNormal"/>
        <w:tblW w:w="5000" w:type="pct"/>
        <w:tblInd w:w="0" w:type="dxa"/>
        <w:tblLayout w:type="fixed"/>
        <w:tblLook w:val="04A0" w:firstRow="1" w:lastRow="0" w:firstColumn="1" w:lastColumn="0" w:noHBand="0" w:noVBand="1"/>
      </w:tblPr>
      <w:tblGrid>
        <w:gridCol w:w="1492"/>
        <w:gridCol w:w="7012"/>
      </w:tblGrid>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AECID</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Agencia Española de Cooperación Internacional</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AFP</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Administradoras Privadas de Fondos de Pensiones</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ALA/CFT</w:t>
            </w:r>
          </w:p>
        </w:tc>
        <w:tc>
          <w:tcPr>
            <w:tcW w:w="4123" w:type="pct"/>
            <w:noWrap/>
            <w:hideMark/>
          </w:tcPr>
          <w:p w:rsidR="00F17034" w:rsidRPr="00A536FA" w:rsidRDefault="00F17034" w:rsidP="004C6AB1">
            <w:pPr>
              <w:spacing w:after="0" w:line="240" w:lineRule="auto"/>
              <w:rPr>
                <w:rFonts w:eastAsia="Times New Roman"/>
              </w:rPr>
            </w:pPr>
            <w:r w:rsidRPr="00A536FA">
              <w:rPr>
                <w:rFonts w:eastAsia="Times New Roman"/>
              </w:rPr>
              <w:t xml:space="preserve">Anti Lavado de Activos y Contra </w:t>
            </w:r>
            <w:r w:rsidR="004C6AB1">
              <w:rPr>
                <w:rFonts w:eastAsia="Times New Roman"/>
              </w:rPr>
              <w:t>el financiamiento</w:t>
            </w:r>
            <w:r w:rsidRPr="00A536FA">
              <w:rPr>
                <w:rFonts w:eastAsia="Times New Roman"/>
              </w:rPr>
              <w:t xml:space="preserve"> del Terrorismo</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AV</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Activos Virtuales</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APNFD</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Actividades y Profesiones No Financieras Designadas</w:t>
            </w:r>
          </w:p>
        </w:tc>
      </w:tr>
      <w:tr w:rsidR="00F17034" w:rsidRPr="00A536FA" w:rsidTr="00F17034">
        <w:trPr>
          <w:trHeight w:val="330"/>
        </w:trPr>
        <w:tc>
          <w:tcPr>
            <w:tcW w:w="877" w:type="pct"/>
            <w:noWrap/>
          </w:tcPr>
          <w:p w:rsidR="00F17034" w:rsidRPr="00A536FA" w:rsidRDefault="00F17034" w:rsidP="00F17034">
            <w:pPr>
              <w:spacing w:after="0" w:line="240" w:lineRule="auto"/>
              <w:jc w:val="both"/>
              <w:rPr>
                <w:rFonts w:eastAsia="Times New Roman"/>
                <w:b/>
                <w:bCs/>
              </w:rPr>
            </w:pPr>
            <w:r w:rsidRPr="00A536FA">
              <w:rPr>
                <w:rFonts w:eastAsia="Times New Roman"/>
                <w:b/>
                <w:bCs/>
              </w:rPr>
              <w:t>BF</w:t>
            </w:r>
          </w:p>
        </w:tc>
        <w:tc>
          <w:tcPr>
            <w:tcW w:w="4123" w:type="pct"/>
            <w:noWrap/>
          </w:tcPr>
          <w:p w:rsidR="00F17034" w:rsidRPr="00A536FA" w:rsidRDefault="00F17034" w:rsidP="00F17034">
            <w:pPr>
              <w:spacing w:after="0" w:line="240" w:lineRule="auto"/>
              <w:rPr>
                <w:rFonts w:eastAsia="Times New Roman"/>
              </w:rPr>
            </w:pPr>
            <w:r w:rsidRPr="00A536FA">
              <w:rPr>
                <w:rFonts w:eastAsia="Times New Roman"/>
              </w:rPr>
              <w:t>Beneficiario final</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BID</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Banco Interamericano de Desarrollo</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CEPLAN</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Centro Nacional de Planeamiento Estratégico</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CMAC</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Cajas Municipales de Ahorro y Crédito</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CONTRALAFT</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 xml:space="preserve">Comisión Ejecutiva Multisectorial contra el Lavado de Activos y el Financiamiento del Terrorismo  </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COOPAC</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Cooperativas de Ahorro y Crédito (antes CAC)</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CPP</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Código Procesal Penal</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CRAC</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Cajas Rurales de Ahorro y Crédito</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CSN</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Corte Superior Nacional de Justicia Penal Especializada</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DAE</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Departamento de Análisis Estratégico de la UIF</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DAO</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Departamento de Análisis Operativo de la UIF</w:t>
            </w:r>
          </w:p>
        </w:tc>
      </w:tr>
      <w:tr w:rsidR="00F17034" w:rsidRPr="00A536FA" w:rsidTr="00F17034">
        <w:trPr>
          <w:trHeight w:val="330"/>
        </w:trPr>
        <w:tc>
          <w:tcPr>
            <w:tcW w:w="877" w:type="pct"/>
            <w:noWrap/>
          </w:tcPr>
          <w:p w:rsidR="00F17034" w:rsidRPr="00A536FA" w:rsidRDefault="00F17034" w:rsidP="00F17034">
            <w:pPr>
              <w:spacing w:after="0" w:line="240" w:lineRule="auto"/>
              <w:jc w:val="both"/>
              <w:rPr>
                <w:rFonts w:eastAsia="Times New Roman"/>
                <w:b/>
                <w:bCs/>
              </w:rPr>
            </w:pPr>
            <w:r w:rsidRPr="00A536FA">
              <w:rPr>
                <w:rFonts w:eastAsia="Times New Roman"/>
                <w:b/>
                <w:bCs/>
              </w:rPr>
              <w:t>DDC</w:t>
            </w:r>
          </w:p>
        </w:tc>
        <w:tc>
          <w:tcPr>
            <w:tcW w:w="4123" w:type="pct"/>
            <w:noWrap/>
          </w:tcPr>
          <w:p w:rsidR="00F17034" w:rsidRPr="00A536FA" w:rsidRDefault="00F17034" w:rsidP="00F17034">
            <w:pPr>
              <w:spacing w:after="0" w:line="240" w:lineRule="auto"/>
              <w:rPr>
                <w:rFonts w:eastAsia="Times New Roman"/>
              </w:rPr>
            </w:pPr>
            <w:r w:rsidRPr="00A536FA">
              <w:rPr>
                <w:rFonts w:eastAsia="Times New Roman"/>
              </w:rPr>
              <w:t>Debida diligencia del cliente</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DEI</w:t>
            </w:r>
          </w:p>
          <w:p w:rsidR="00F17034" w:rsidRPr="00A536FA" w:rsidRDefault="00F17034" w:rsidP="00F17034">
            <w:pPr>
              <w:spacing w:after="0" w:line="240" w:lineRule="auto"/>
              <w:jc w:val="both"/>
              <w:rPr>
                <w:rFonts w:eastAsia="Times New Roman"/>
                <w:b/>
                <w:bCs/>
              </w:rPr>
            </w:pPr>
            <w:r w:rsidRPr="00A536FA">
              <w:rPr>
                <w:rFonts w:eastAsia="Times New Roman"/>
                <w:b/>
                <w:bCs/>
              </w:rPr>
              <w:t>DIRILA</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Departamento de Evaluación e Integridad de la UIF</w:t>
            </w:r>
          </w:p>
          <w:p w:rsidR="00F17034" w:rsidRPr="00A536FA" w:rsidRDefault="00F17034" w:rsidP="00F17034">
            <w:pPr>
              <w:spacing w:after="0" w:line="240" w:lineRule="auto"/>
              <w:rPr>
                <w:rFonts w:eastAsia="Times New Roman"/>
              </w:rPr>
            </w:pPr>
            <w:r w:rsidRPr="00A536FA">
              <w:rPr>
                <w:rFonts w:eastAsia="Times New Roman"/>
              </w:rPr>
              <w:t>Dirección de Lavado de Activos de la PNP</w:t>
            </w:r>
          </w:p>
        </w:tc>
      </w:tr>
      <w:tr w:rsidR="00F17034" w:rsidRPr="00A536FA" w:rsidTr="00F17034">
        <w:trPr>
          <w:trHeight w:val="330"/>
        </w:trPr>
        <w:tc>
          <w:tcPr>
            <w:tcW w:w="877" w:type="pct"/>
            <w:noWrap/>
          </w:tcPr>
          <w:p w:rsidR="00F17034" w:rsidRPr="00A536FA" w:rsidRDefault="00F17034" w:rsidP="00F17034">
            <w:pPr>
              <w:spacing w:after="0" w:line="240" w:lineRule="auto"/>
              <w:jc w:val="both"/>
              <w:rPr>
                <w:rFonts w:eastAsia="Times New Roman"/>
                <w:b/>
                <w:bCs/>
              </w:rPr>
            </w:pPr>
            <w:r w:rsidRPr="00A536FA">
              <w:rPr>
                <w:rFonts w:eastAsia="Times New Roman"/>
                <w:b/>
                <w:bCs/>
              </w:rPr>
              <w:t>DSRLAFT</w:t>
            </w:r>
          </w:p>
        </w:tc>
        <w:tc>
          <w:tcPr>
            <w:tcW w:w="4123" w:type="pct"/>
            <w:noWrap/>
          </w:tcPr>
          <w:p w:rsidR="00F17034" w:rsidRPr="00A536FA" w:rsidRDefault="00F17034" w:rsidP="00F17034">
            <w:pPr>
              <w:spacing w:after="0" w:line="240" w:lineRule="auto"/>
              <w:jc w:val="both"/>
              <w:rPr>
                <w:rFonts w:eastAsia="Times New Roman"/>
              </w:rPr>
            </w:pPr>
            <w:r w:rsidRPr="00A536FA">
              <w:rPr>
                <w:rFonts w:eastAsia="Times New Roman"/>
              </w:rPr>
              <w:t>Departamento de Supervisión de Riesgos de Lavado de Activos y</w:t>
            </w:r>
            <w:r>
              <w:rPr>
                <w:rFonts w:eastAsia="Times New Roman"/>
              </w:rPr>
              <w:t xml:space="preserve"> Financiamiento del Terrorismo de la </w:t>
            </w:r>
            <w:r w:rsidRPr="00944ECE">
              <w:rPr>
                <w:rFonts w:eastAsia="Times New Roman"/>
              </w:rPr>
              <w:t>Superintendencia Adjunta de Riesgos</w:t>
            </w:r>
            <w:r w:rsidR="004C6AB1">
              <w:rPr>
                <w:rFonts w:eastAsia="Times New Roman"/>
              </w:rPr>
              <w:t xml:space="preserve"> de la SBS</w:t>
            </w:r>
            <w:r>
              <w:rPr>
                <w:rFonts w:eastAsia="Times New Roman"/>
              </w:rPr>
              <w:t xml:space="preserve"> (SAR) </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EBR</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Enfoque Basado en Riesgo</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EDPYMES</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Empresas de Desarrollo de Pequeña y Microempresa</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EM</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Evaluación Mutua</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ENR</w:t>
            </w:r>
          </w:p>
        </w:tc>
        <w:tc>
          <w:tcPr>
            <w:tcW w:w="4123" w:type="pct"/>
            <w:noWrap/>
            <w:hideMark/>
          </w:tcPr>
          <w:p w:rsidR="00F17034" w:rsidRPr="00A536FA" w:rsidRDefault="00F17034" w:rsidP="004C6AB1">
            <w:pPr>
              <w:spacing w:after="0" w:line="240" w:lineRule="auto"/>
              <w:rPr>
                <w:rFonts w:eastAsia="Times New Roman"/>
              </w:rPr>
            </w:pPr>
            <w:r w:rsidRPr="00A536FA">
              <w:rPr>
                <w:rFonts w:eastAsia="Times New Roman"/>
              </w:rPr>
              <w:t xml:space="preserve">Evaluación Nacional </w:t>
            </w:r>
            <w:r w:rsidR="004C6AB1">
              <w:rPr>
                <w:rFonts w:eastAsia="Times New Roman"/>
              </w:rPr>
              <w:t>de Riesgos de Lavado de Activos</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ETF</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Empresa de Transferencias de Fondos</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FPDAM</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Financiamiento de Proliferación de Armas de Destrucción Masiva</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FMI</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Fondo Monetario Internacional</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GAFI</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Grupo de Acción Financiera Internacional</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GAFILAT</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Grupo de Acción Financiera de Latinoamérica (anteriormente Grupo de Acción Financiera de Sudamérica – GAFISUD)</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GIZ</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Cooperación Alemana para el Desarrollo, implementada por la Deutsche Gesellschaft für Internationale Zusammenarbeit (GIZ) GmbH</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GTEM</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Grupo de Trabajo de Evaluaciones Mutuas del GAFILAT</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GTM</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Grupo de Trabajo Multisectorial</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IEM</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Informe de Evaluación Mutua</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IIF</w:t>
            </w:r>
          </w:p>
        </w:tc>
        <w:tc>
          <w:tcPr>
            <w:tcW w:w="4123" w:type="pct"/>
            <w:noWrap/>
            <w:hideMark/>
          </w:tcPr>
          <w:p w:rsidR="00F17034" w:rsidRPr="00A536FA" w:rsidRDefault="00F17034" w:rsidP="004C6AB1">
            <w:pPr>
              <w:spacing w:after="0" w:line="240" w:lineRule="auto"/>
              <w:rPr>
                <w:rFonts w:eastAsia="Times New Roman"/>
              </w:rPr>
            </w:pPr>
            <w:r w:rsidRPr="00A536FA">
              <w:rPr>
                <w:rFonts w:eastAsia="Times New Roman"/>
              </w:rPr>
              <w:t xml:space="preserve">Informes de </w:t>
            </w:r>
            <w:r w:rsidR="004C6AB1">
              <w:rPr>
                <w:rFonts w:eastAsia="Times New Roman"/>
              </w:rPr>
              <w:t>I</w:t>
            </w:r>
            <w:r w:rsidRPr="00A536FA">
              <w:rPr>
                <w:rFonts w:eastAsia="Times New Roman"/>
              </w:rPr>
              <w:t xml:space="preserve">nteligencia </w:t>
            </w:r>
            <w:r w:rsidR="004C6AB1">
              <w:rPr>
                <w:rFonts w:eastAsia="Times New Roman"/>
              </w:rPr>
              <w:t>F</w:t>
            </w:r>
            <w:r w:rsidRPr="00A536FA">
              <w:rPr>
                <w:rFonts w:eastAsia="Times New Roman"/>
              </w:rPr>
              <w:t>inanciera</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INEI</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Instituto Nacional de Estadística e Informática</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ISOC</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Informe Semestral del Oficial de Cumplimiento</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LA</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Lavado de activos</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lastRenderedPageBreak/>
              <w:t>LA/FT</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Lavado de activos y/o de financiamiento del terrorismo</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MEF</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Ministerio de Economía y Finanzas</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MESICIC</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Mecanismo de Seguimiento de la Implementación de la Convención Interamericana contra la Corrupción</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MINJUS</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Ministerio de Justicia y Derechos Humanos</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MININTER</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Ministerio del Interior</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MP</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Ministerio Público</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MTC</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Ministerio de Transportes y Comunicaciones</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OC</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Oficial de cumplimiento</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OCDE</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Organización para la Cooperación y el Desarrollo Económicos</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ONGEI</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Oficina Nacional de Gobierno Electrónico e Informática de la PCM</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ONU</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Organización de las Naciones Unidas</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OE</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Objetivo Específico</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OEA</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Organización de Estados Americanos</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OSFL</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Organizaciones sin fines de lucro</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PEA</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Población Económicamente Activa</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PD</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Pérdida de Dominio</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PIB</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Producto Interno Bruto</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PJ</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Poder Judicial</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PNP</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Policía Nacional del Perú</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Política Nacional LAFT</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Política Nacional contra el Lavado de Activos y el Financiamiento del Terrorismo 2018-2021</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PCM</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Presidencia del Consejo de Ministros</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PRICOS</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Principales contribuyentes</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PSAV</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Proveedores de Servicios de Activos Virtuales</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R</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Recomendaciones del GAFI</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RI</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Resultado Inmediato</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ROS</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Reporte de Operaciones Sospechosas</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SAJ</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 xml:space="preserve">Sistema de </w:t>
            </w:r>
            <w:r>
              <w:rPr>
                <w:rFonts w:eastAsia="Times New Roman"/>
              </w:rPr>
              <w:t xml:space="preserve">Administración de </w:t>
            </w:r>
            <w:r w:rsidRPr="00A536FA">
              <w:rPr>
                <w:rFonts w:eastAsia="Times New Roman"/>
              </w:rPr>
              <w:t xml:space="preserve">Justicia </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SAR</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Superintendencia Adjunta de Riesgos de la SBS</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SBS</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Superintendencia de Banca, Seguros y AFP</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SECO</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Secretaría de Estado para Asuntos Económicos de la Cooperación Suiza</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SMV</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Superintendencia del Mercado de Valores</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SO</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Sujeto obligado</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SPLAFT</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Sistema de Prevención del Lavado y del Financiamiento del Terrorismo</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SPP</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Sistema Privado de Pensiones</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SUNARP</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Superintendencia Nacional de los Registros Públicos</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SUNAT</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Superintendencia Nacional de Aduanas y de Administración Tributaria</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TID</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Tráfico Ilícito de Drogas</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UE</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Unión Europea</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UIF</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Unidad de Inteligencia Financiera del Perú, unidad especializada de la SBS</w:t>
            </w:r>
          </w:p>
        </w:tc>
      </w:tr>
      <w:tr w:rsidR="00F17034" w:rsidRPr="00A536FA" w:rsidTr="00F17034">
        <w:trPr>
          <w:trHeight w:val="330"/>
        </w:trPr>
        <w:tc>
          <w:tcPr>
            <w:tcW w:w="877" w:type="pct"/>
            <w:noWrap/>
            <w:hideMark/>
          </w:tcPr>
          <w:p w:rsidR="00F17034" w:rsidRPr="00A536FA" w:rsidRDefault="00F17034" w:rsidP="00F17034">
            <w:pPr>
              <w:spacing w:after="0" w:line="240" w:lineRule="auto"/>
              <w:jc w:val="both"/>
              <w:rPr>
                <w:rFonts w:eastAsia="Times New Roman"/>
                <w:b/>
                <w:bCs/>
              </w:rPr>
            </w:pPr>
            <w:r w:rsidRPr="00A536FA">
              <w:rPr>
                <w:rFonts w:eastAsia="Times New Roman"/>
                <w:b/>
                <w:bCs/>
              </w:rPr>
              <w:t>UNODC</w:t>
            </w:r>
          </w:p>
        </w:tc>
        <w:tc>
          <w:tcPr>
            <w:tcW w:w="4123" w:type="pct"/>
            <w:noWrap/>
            <w:hideMark/>
          </w:tcPr>
          <w:p w:rsidR="00F17034" w:rsidRPr="00A536FA" w:rsidRDefault="00F17034" w:rsidP="00F17034">
            <w:pPr>
              <w:spacing w:after="0" w:line="240" w:lineRule="auto"/>
              <w:rPr>
                <w:rFonts w:eastAsia="Times New Roman"/>
              </w:rPr>
            </w:pPr>
            <w:r w:rsidRPr="00A536FA">
              <w:rPr>
                <w:rFonts w:eastAsia="Times New Roman"/>
              </w:rPr>
              <w:t>Oficina de las Naciones Unidas contra la droga y el delito</w:t>
            </w:r>
          </w:p>
        </w:tc>
      </w:tr>
    </w:tbl>
    <w:p w:rsidR="001F6AF8" w:rsidRDefault="001F6AF8">
      <w:pPr>
        <w:spacing w:after="0" w:line="360" w:lineRule="auto"/>
        <w:jc w:val="center"/>
        <w:rPr>
          <w:b/>
          <w:sz w:val="28"/>
          <w:szCs w:val="28"/>
          <w:u w:val="single"/>
        </w:rPr>
      </w:pPr>
    </w:p>
    <w:p w:rsidR="00000AA1" w:rsidRDefault="001347DD">
      <w:pPr>
        <w:spacing w:after="0" w:line="360" w:lineRule="auto"/>
        <w:jc w:val="center"/>
        <w:rPr>
          <w:b/>
          <w:sz w:val="28"/>
          <w:szCs w:val="28"/>
          <w:u w:val="single"/>
        </w:rPr>
      </w:pPr>
      <w:r>
        <w:rPr>
          <w:b/>
          <w:sz w:val="28"/>
          <w:szCs w:val="28"/>
          <w:u w:val="single"/>
        </w:rPr>
        <w:lastRenderedPageBreak/>
        <w:t>Entregable N° 2</w:t>
      </w:r>
    </w:p>
    <w:p w:rsidR="00000AA1" w:rsidRDefault="00000AA1">
      <w:pPr>
        <w:spacing w:after="0" w:line="360" w:lineRule="auto"/>
        <w:jc w:val="center"/>
      </w:pPr>
    </w:p>
    <w:p w:rsidR="00000AA1" w:rsidRDefault="001347DD">
      <w:pPr>
        <w:spacing w:after="0" w:line="240" w:lineRule="auto"/>
        <w:jc w:val="both"/>
      </w:pPr>
      <w:r>
        <w:t xml:space="preserve">La Política Nacional contra el Lavado de Activos busca combatir la afectación socioeconómica de los ciudadanos y agentes económicos por el ingreso de activos provenientes de actividades criminales a la economía formal. Cabe destacar que en el Entregable N° 1 se presentó el diagnóstico que delimita el problema público de forma integral, junto con el planteamiento del problema, su estructuración operativa (árbol de problemas) y los conceptos claves. </w:t>
      </w:r>
    </w:p>
    <w:p w:rsidR="00000AA1" w:rsidRDefault="00000AA1">
      <w:pPr>
        <w:spacing w:after="0" w:line="240" w:lineRule="auto"/>
      </w:pPr>
    </w:p>
    <w:p w:rsidR="00000AA1" w:rsidRDefault="001347DD">
      <w:pPr>
        <w:spacing w:after="0" w:line="240" w:lineRule="auto"/>
        <w:jc w:val="both"/>
      </w:pPr>
      <w:r>
        <w:t xml:space="preserve">Por ello, siguiendo la </w:t>
      </w:r>
      <w:r w:rsidR="004C0904">
        <w:t>G</w:t>
      </w:r>
      <w:r>
        <w:t>uía de Políticas Nacionales (CEPLAN, 2018), se elabor</w:t>
      </w:r>
      <w:r w:rsidR="004C0904">
        <w:t>ó</w:t>
      </w:r>
      <w:r>
        <w:t xml:space="preserve"> el presente Entregable N°2, el cual comprende los dos siguientes pasos para la formulación de la Política. Primero, la determinación de la situación futura deseada, construida a partir de la revisión, sistematización y evaluación de las tendencias, escenarios y riesgos identificados en relación a la Política, pero también a las expectativas de la población. En segundo lugar, se presenta el análisis de las alternativas </w:t>
      </w:r>
      <w:r w:rsidR="004C0904">
        <w:t xml:space="preserve">de solución </w:t>
      </w:r>
      <w:r>
        <w:t xml:space="preserve">posibles del problema público y la selección de las mismas, conforme a ciertos criterios técnicos. </w:t>
      </w:r>
    </w:p>
    <w:p w:rsidR="00000AA1" w:rsidRDefault="00000AA1">
      <w:pPr>
        <w:spacing w:after="0" w:line="240" w:lineRule="auto"/>
      </w:pPr>
    </w:p>
    <w:p w:rsidR="00000AA1" w:rsidRDefault="001347DD">
      <w:pPr>
        <w:pStyle w:val="Ttulo1"/>
        <w:numPr>
          <w:ilvl w:val="0"/>
          <w:numId w:val="3"/>
        </w:numPr>
        <w:spacing w:before="0" w:line="240" w:lineRule="auto"/>
        <w:ind w:left="0"/>
        <w:rPr>
          <w:b/>
          <w:color w:val="000000"/>
          <w:sz w:val="22"/>
          <w:szCs w:val="22"/>
        </w:rPr>
      </w:pPr>
      <w:bookmarkStart w:id="2" w:name="_Toc113360600"/>
      <w:r>
        <w:rPr>
          <w:b/>
          <w:color w:val="000000"/>
          <w:sz w:val="22"/>
          <w:szCs w:val="22"/>
        </w:rPr>
        <w:t>Situación futura deseada</w:t>
      </w:r>
      <w:bookmarkEnd w:id="2"/>
    </w:p>
    <w:p w:rsidR="00000AA1" w:rsidRDefault="00000AA1">
      <w:pPr>
        <w:spacing w:after="0" w:line="240" w:lineRule="auto"/>
      </w:pPr>
    </w:p>
    <w:p w:rsidR="00000AA1" w:rsidRDefault="001347DD">
      <w:pPr>
        <w:pStyle w:val="Ttulo2"/>
        <w:numPr>
          <w:ilvl w:val="1"/>
          <w:numId w:val="3"/>
        </w:numPr>
        <w:spacing w:before="0" w:line="240" w:lineRule="auto"/>
        <w:rPr>
          <w:b/>
          <w:color w:val="000000"/>
          <w:sz w:val="22"/>
          <w:szCs w:val="22"/>
        </w:rPr>
      </w:pPr>
      <w:bookmarkStart w:id="3" w:name="_Toc113360601"/>
      <w:r>
        <w:rPr>
          <w:b/>
          <w:color w:val="000000"/>
          <w:sz w:val="22"/>
          <w:szCs w:val="22"/>
        </w:rPr>
        <w:t>Horizonte Temporal</w:t>
      </w:r>
      <w:bookmarkEnd w:id="3"/>
    </w:p>
    <w:p w:rsidR="00000AA1" w:rsidRDefault="00000AA1">
      <w:pPr>
        <w:spacing w:after="0" w:line="240" w:lineRule="auto"/>
        <w:ind w:left="576"/>
        <w:jc w:val="both"/>
      </w:pPr>
    </w:p>
    <w:p w:rsidR="00000AA1" w:rsidRDefault="001347DD">
      <w:pPr>
        <w:spacing w:after="0" w:line="240" w:lineRule="auto"/>
        <w:ind w:left="576"/>
        <w:jc w:val="both"/>
      </w:pPr>
      <w:r>
        <w:t xml:space="preserve">Para la elección del horizonte temporal de la Política Nacional contra el Lavado de Activos se han tomado en consideración distintos instrumentos de política y planificación establecidos por el Estado peruano. Cabe mencionar que el horizonte escogido no sólo repercutirá en la formulación de la situación futura, sino también en las alternativas de solución que se plantearán, así como los pasos a seguir en la fase de formulación.  </w:t>
      </w:r>
    </w:p>
    <w:p w:rsidR="00000AA1" w:rsidRDefault="00000AA1">
      <w:pPr>
        <w:spacing w:after="0" w:line="240" w:lineRule="auto"/>
        <w:ind w:left="576"/>
        <w:jc w:val="both"/>
      </w:pPr>
    </w:p>
    <w:p w:rsidR="00000AA1" w:rsidRDefault="001347DD">
      <w:pPr>
        <w:spacing w:after="0" w:line="240" w:lineRule="auto"/>
        <w:ind w:left="576"/>
        <w:jc w:val="both"/>
      </w:pPr>
      <w:r>
        <w:t xml:space="preserve">En primer lugar, se ha considerado la </w:t>
      </w:r>
      <w:r>
        <w:rPr>
          <w:i/>
        </w:rPr>
        <w:t>Visión del Perú al 2050</w:t>
      </w:r>
      <w:r>
        <w:t xml:space="preserve">, aprobada por consenso en el Foro del Acuerdo Nacional el año 2019, la cual representa las aspiraciones de toda la población y describe una situación futura de bienestar que queremos alcanzar en el país  al 2050 (CEPLAN, 2019).  Sobre la base de dicho instrumento se planteó el </w:t>
      </w:r>
      <w:r>
        <w:rPr>
          <w:i/>
        </w:rPr>
        <w:t>Plan Estratégico de Desarrollo Nacional al 2050</w:t>
      </w:r>
      <w:r>
        <w:t xml:space="preserve">, el cual contiene los lineamientos de política, las prioridades, los objetivos, las metas y las acciones de orden estratégico que el Perú debe alcanzar en dicho periodo para el desarrollo armónico, sostenible y descentralizado del país (CEPLAN, 2021b). </w:t>
      </w:r>
    </w:p>
    <w:p w:rsidR="00000AA1" w:rsidRDefault="00000AA1">
      <w:pPr>
        <w:spacing w:after="0" w:line="240" w:lineRule="auto"/>
        <w:ind w:left="576"/>
        <w:jc w:val="both"/>
      </w:pPr>
    </w:p>
    <w:p w:rsidR="00000AA1" w:rsidRDefault="001347DD">
      <w:pPr>
        <w:spacing w:after="0" w:line="240" w:lineRule="auto"/>
        <w:ind w:left="576"/>
        <w:jc w:val="both"/>
      </w:pPr>
      <w:r>
        <w:t xml:space="preserve">En segundo lugar, la presente Política también ha considerado lo señalado en la Política General de Gobierno (PCM, 2021), que contempla el periodo 2021-2026. En este documento se desarrollan diez (10) ejes que se encuentran interrelacionados y que guardan consistencia con el marco de las distintas políticas y planes existentes en el país. </w:t>
      </w:r>
    </w:p>
    <w:p w:rsidR="00000AA1" w:rsidRDefault="00000AA1">
      <w:pPr>
        <w:spacing w:after="0" w:line="240" w:lineRule="auto"/>
        <w:ind w:left="576"/>
        <w:jc w:val="both"/>
      </w:pPr>
    </w:p>
    <w:p w:rsidR="00000AA1" w:rsidRDefault="001347DD">
      <w:pPr>
        <w:spacing w:after="0" w:line="240" w:lineRule="auto"/>
        <w:ind w:left="576"/>
        <w:jc w:val="both"/>
      </w:pPr>
      <w:r>
        <w:t xml:space="preserve">Así también, se revisaron otras políticas cuyas temáticas de fondo están relacionadas directa o indirectamente al problema del lavado de activos. Por ejemplo, se tomó de referencia la Política Nacional de Inclusión Financiera (2019), la Política Nacional frente a la Trata de Personas y sus formas de explotación (2021), la Política Nacional contra las Drogas (2020) y la Política Nacional Multisectorial de lucha contra el Crimen Organizado (2019). Todas estas políticas rigen hasta el año 2030.  </w:t>
      </w:r>
    </w:p>
    <w:p w:rsidR="00000AA1" w:rsidRDefault="00000AA1">
      <w:pPr>
        <w:spacing w:after="0" w:line="240" w:lineRule="auto"/>
        <w:ind w:left="576"/>
        <w:jc w:val="both"/>
      </w:pPr>
    </w:p>
    <w:p w:rsidR="00000AA1" w:rsidRDefault="001347DD">
      <w:pPr>
        <w:spacing w:after="0" w:line="240" w:lineRule="auto"/>
        <w:ind w:left="576"/>
        <w:jc w:val="both"/>
      </w:pPr>
      <w:r>
        <w:t xml:space="preserve">Finalmente, dentro del escenario internacional, también hay instrumentos que fueron considerados. En primer lugar, la Agenda 2030 para el desarrollo sostenible, aprobada por la Asamblea General de las Naciones Unidas en septiembre del 2015. En este documento </w:t>
      </w:r>
      <w:r>
        <w:lastRenderedPageBreak/>
        <w:t>se establece un plan de acción a favor de las personas, el planeta y la prosperidad y que debería ser tomado en consideración dentro de los procesos de planificación de los países miembros. Por otro lado, a pesar de no especificar un periodo de implementación, también se tomó en cuenta el Programa País</w:t>
      </w:r>
      <w:r>
        <w:rPr>
          <w:vertAlign w:val="superscript"/>
        </w:rPr>
        <w:footnoteReference w:id="1"/>
      </w:r>
      <w:r>
        <w:t xml:space="preserve"> del Perú, elaborado por la OCDE el 2014, el cual tiene como objetivo identificar las políticas de mejora y reformas en el país.  </w:t>
      </w:r>
    </w:p>
    <w:p w:rsidR="00000AA1" w:rsidRDefault="00000AA1">
      <w:pPr>
        <w:spacing w:after="0" w:line="240" w:lineRule="auto"/>
        <w:ind w:left="576"/>
        <w:jc w:val="both"/>
      </w:pPr>
    </w:p>
    <w:p w:rsidR="00000AA1" w:rsidRDefault="001347DD">
      <w:pPr>
        <w:spacing w:after="0" w:line="240" w:lineRule="auto"/>
        <w:ind w:left="576"/>
        <w:jc w:val="both"/>
      </w:pPr>
      <w:r>
        <w:t xml:space="preserve">En suma, luego del análisis de los documentos expuestos se estableció como horizonte temporal de la Política Nacional contra el Lavado de Activos el periodo 2022 - 2030, periodo en el cual se busca brindar soluciones a las causas que generan el problema público del LA en el país. </w:t>
      </w:r>
    </w:p>
    <w:p w:rsidR="00000AA1" w:rsidRDefault="00000AA1">
      <w:pPr>
        <w:spacing w:after="0" w:line="240" w:lineRule="auto"/>
      </w:pPr>
    </w:p>
    <w:p w:rsidR="00000AA1" w:rsidRDefault="001347DD">
      <w:pPr>
        <w:pStyle w:val="Ttulo2"/>
        <w:numPr>
          <w:ilvl w:val="1"/>
          <w:numId w:val="3"/>
        </w:numPr>
        <w:spacing w:before="0" w:line="240" w:lineRule="auto"/>
        <w:rPr>
          <w:b/>
          <w:color w:val="000000"/>
          <w:sz w:val="22"/>
          <w:szCs w:val="22"/>
        </w:rPr>
      </w:pPr>
      <w:bookmarkStart w:id="4" w:name="_Toc113360602"/>
      <w:r>
        <w:rPr>
          <w:b/>
          <w:color w:val="000000"/>
          <w:sz w:val="22"/>
          <w:szCs w:val="22"/>
        </w:rPr>
        <w:t>Análisis de las aspiraciones de la población en relación a la Política</w:t>
      </w:r>
      <w:bookmarkEnd w:id="4"/>
    </w:p>
    <w:p w:rsidR="00000AA1" w:rsidRDefault="00000AA1">
      <w:pPr>
        <w:spacing w:after="0" w:line="240" w:lineRule="auto"/>
        <w:ind w:left="567"/>
      </w:pPr>
    </w:p>
    <w:p w:rsidR="00000AA1" w:rsidRPr="00F84A25" w:rsidRDefault="001347DD">
      <w:pPr>
        <w:spacing w:after="0" w:line="240" w:lineRule="auto"/>
        <w:ind w:left="576"/>
        <w:jc w:val="both"/>
      </w:pPr>
      <w:r>
        <w:t xml:space="preserve">Según lo especificado por señalado en la Guía de Políticas Nacionales, las aspiraciones de la población son el conjunto de ideas o imágenes de un futuro deseado planteadas por la población afectada por </w:t>
      </w:r>
      <w:r w:rsidRPr="00F84A25">
        <w:t xml:space="preserve">un problema público, a través de sus representantes. Estas aspiraciones son expresadas como metas comunes que se desean alcanzar en relación al problema público. </w:t>
      </w:r>
    </w:p>
    <w:p w:rsidR="00000AA1" w:rsidRPr="00F84A25" w:rsidRDefault="00000AA1">
      <w:pPr>
        <w:spacing w:after="0" w:line="240" w:lineRule="auto"/>
        <w:ind w:left="576"/>
        <w:jc w:val="both"/>
        <w:rPr>
          <w:sz w:val="20"/>
          <w:szCs w:val="20"/>
        </w:rPr>
      </w:pPr>
    </w:p>
    <w:p w:rsidR="00000AA1" w:rsidRPr="00F84A25" w:rsidRDefault="001347DD">
      <w:pPr>
        <w:spacing w:after="0" w:line="240" w:lineRule="auto"/>
        <w:ind w:left="576"/>
        <w:jc w:val="both"/>
      </w:pPr>
      <w:r w:rsidRPr="00F84A25">
        <w:t xml:space="preserve">La Superintendencia de Banca, Seguros y AFP (SBS), a través de la Unidad de Inteligencia Financiera (UIF) y con la colaboración de la Cooperación Alemana al Desarrollo implementada por la GIZ, con la finalidad de conocer y comprender mejor las aspiraciones, ha realizado y aplicado la “I Encuesta sobre percepciones de LA en el Perú” (Anexo N° 1). </w:t>
      </w:r>
    </w:p>
    <w:p w:rsidR="00000AA1" w:rsidRPr="00F84A25" w:rsidRDefault="00000AA1">
      <w:pPr>
        <w:spacing w:after="0" w:line="240" w:lineRule="auto"/>
        <w:ind w:left="576"/>
        <w:jc w:val="both"/>
      </w:pPr>
    </w:p>
    <w:p w:rsidR="00000AA1" w:rsidRPr="00F84A25" w:rsidRDefault="001347DD">
      <w:pPr>
        <w:spacing w:after="0" w:line="240" w:lineRule="auto"/>
        <w:ind w:left="576"/>
        <w:jc w:val="both"/>
      </w:pPr>
      <w:r w:rsidRPr="00F84A25">
        <w:t xml:space="preserve">El objetivo de la encuesta fue generar información estadística sobre las percepciones en torno a la problemática del lavado de activos en el país: 1) identificar el nivel de conocimiento de la población sobre la problemática del lavado de activos; 2) identificar la percepción y valoración de las personas sobre las medidas que ha implementado el Estado hasta el momento para luchar contra el lavado de activos; y 3) identificar la percepción sobre la situación ideal en torno a la lucha contra el lavado de activos en el país en los próximos años. La muestra elegida está compuesta, por un lado, por estudiantes de diversas universidades, así como por organizaciones de la sociedad civil que tienen vínculo directo con organizaciones de base y población en general. </w:t>
      </w:r>
    </w:p>
    <w:p w:rsidR="00000AA1" w:rsidRPr="00F84A25" w:rsidRDefault="00000AA1">
      <w:pPr>
        <w:spacing w:after="0" w:line="240" w:lineRule="auto"/>
        <w:ind w:left="576"/>
        <w:jc w:val="both"/>
      </w:pPr>
    </w:p>
    <w:p w:rsidR="00000AA1" w:rsidRDefault="001347DD">
      <w:pPr>
        <w:spacing w:after="0" w:line="240" w:lineRule="auto"/>
        <w:ind w:left="576"/>
        <w:jc w:val="both"/>
      </w:pPr>
      <w:r w:rsidRPr="00F84A25">
        <w:t xml:space="preserve">Para determinar el público objetivo a quienes se les </w:t>
      </w:r>
      <w:r w:rsidR="000F2EAC">
        <w:t>aplicó</w:t>
      </w:r>
      <w:r w:rsidRPr="00F84A25">
        <w:t xml:space="preserve"> esta encuesta y los departamentos del país que estarían incluidos, se tomó en consideración aquellos departamentos que registran el mayor  número de Reportes de Operaciones Sospechosas (ROS), según las estadísticas de la UIF (UIF, 2021), así como aquellas afectadas por actos de LA, según las sentencias condenatorias firmes de lavado de activos (SBS, 2021). Por otro lado, se consideró incluir a departamentos que tienen importancia estratégica pues presentan problemáticas relacionadas directamente con delitos precedentes de lavado de activos, tales como Madre de Dios (minería ilegal), Ayacucho (narcotráfico) y Puno (contrabando).  Como resultado de la aplicación de estas variables, los departamentos incluidos en la encuesta fueron Lima, Callao, Arequipa, La Libertad, Tacna, Lambayeque, Madre de Dios, Ayacucho y Puno.</w:t>
      </w:r>
    </w:p>
    <w:p w:rsidR="000F2EAC" w:rsidRPr="00F84A25" w:rsidRDefault="000F2EAC">
      <w:pPr>
        <w:spacing w:after="0" w:line="240" w:lineRule="auto"/>
        <w:ind w:left="576"/>
        <w:jc w:val="both"/>
      </w:pPr>
    </w:p>
    <w:p w:rsidR="00000AA1" w:rsidRPr="00F84A25" w:rsidRDefault="00000AA1">
      <w:pPr>
        <w:spacing w:after="0" w:line="240" w:lineRule="auto"/>
        <w:ind w:left="576"/>
        <w:jc w:val="both"/>
      </w:pPr>
    </w:p>
    <w:p w:rsidR="00000AA1" w:rsidRPr="00F84A25" w:rsidRDefault="001347DD">
      <w:pPr>
        <w:spacing w:after="0" w:line="240" w:lineRule="auto"/>
        <w:ind w:left="576"/>
        <w:jc w:val="both"/>
        <w:rPr>
          <w:b/>
          <w:i/>
        </w:rPr>
      </w:pPr>
      <w:r w:rsidRPr="00F84A25">
        <w:rPr>
          <w:b/>
          <w:i/>
        </w:rPr>
        <w:lastRenderedPageBreak/>
        <w:t>Nivel de conocimiento sobre la problemática del LA</w:t>
      </w:r>
    </w:p>
    <w:p w:rsidR="00000AA1" w:rsidRPr="00F84A25" w:rsidRDefault="00000AA1">
      <w:pPr>
        <w:spacing w:after="0" w:line="240" w:lineRule="auto"/>
        <w:ind w:left="576"/>
        <w:jc w:val="both"/>
        <w:rPr>
          <w:b/>
          <w:i/>
        </w:rPr>
      </w:pPr>
    </w:p>
    <w:p w:rsidR="00000AA1" w:rsidRPr="00F84A25" w:rsidRDefault="001347DD">
      <w:pPr>
        <w:pBdr>
          <w:top w:val="nil"/>
          <w:left w:val="nil"/>
          <w:bottom w:val="nil"/>
          <w:right w:val="nil"/>
          <w:between w:val="nil"/>
        </w:pBdr>
        <w:spacing w:after="0" w:line="240" w:lineRule="auto"/>
        <w:ind w:left="576"/>
        <w:jc w:val="both"/>
      </w:pPr>
      <w:r w:rsidRPr="00F84A25">
        <w:t xml:space="preserve">Al realizar el análisis, se observa que la gran mayoría de los encuestados (70.7%) considera que tiene algo de conocimiento sobre el </w:t>
      </w:r>
      <w:r w:rsidR="000F2EAC">
        <w:t>fenómeno del LA</w:t>
      </w:r>
      <w:r w:rsidRPr="00F84A25">
        <w:t xml:space="preserve">. Sin embargo, el 21.6% indica que tiene escaso conocimiento y el 2.7% que no tiene nada de conocimiento. </w:t>
      </w:r>
    </w:p>
    <w:p w:rsidR="00000AA1" w:rsidRPr="00F84A25" w:rsidRDefault="00000AA1">
      <w:pPr>
        <w:pBdr>
          <w:top w:val="nil"/>
          <w:left w:val="nil"/>
          <w:bottom w:val="nil"/>
          <w:right w:val="nil"/>
          <w:between w:val="nil"/>
        </w:pBdr>
        <w:spacing w:after="0" w:line="240" w:lineRule="auto"/>
        <w:ind w:left="576"/>
        <w:jc w:val="both"/>
      </w:pPr>
    </w:p>
    <w:p w:rsidR="00000AA1" w:rsidRPr="00F84A25" w:rsidRDefault="001347DD">
      <w:pPr>
        <w:spacing w:after="0" w:line="240" w:lineRule="auto"/>
        <w:ind w:left="576"/>
        <w:jc w:val="center"/>
      </w:pPr>
      <w:r w:rsidRPr="00F84A25">
        <w:rPr>
          <w:b/>
        </w:rPr>
        <w:t>Gráfico 1:</w:t>
      </w:r>
      <w:r w:rsidRPr="00F84A25">
        <w:t xml:space="preserve"> ¿Qué situaciones cree usted que podrían constituir delito de LA? </w:t>
      </w:r>
      <w:r w:rsidR="00160269">
        <w:t>(Pregunta N° 5)</w:t>
      </w:r>
    </w:p>
    <w:p w:rsidR="00000AA1" w:rsidRPr="00F84A25" w:rsidRDefault="00000AA1">
      <w:pPr>
        <w:spacing w:after="0" w:line="240" w:lineRule="auto"/>
        <w:ind w:left="576"/>
        <w:jc w:val="center"/>
      </w:pPr>
    </w:p>
    <w:p w:rsidR="00000AA1" w:rsidRPr="00F84A25" w:rsidRDefault="001347DD">
      <w:pPr>
        <w:spacing w:after="0" w:line="240" w:lineRule="auto"/>
        <w:ind w:left="576"/>
        <w:jc w:val="center"/>
      </w:pPr>
      <w:r w:rsidRPr="00F84A25">
        <w:rPr>
          <w:noProof/>
        </w:rPr>
        <w:drawing>
          <wp:inline distT="114300" distB="114300" distL="114300" distR="114300" wp14:anchorId="0F497D32" wp14:editId="11549EC4">
            <wp:extent cx="5400675" cy="231489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00675" cy="2314893"/>
                    </a:xfrm>
                    <a:prstGeom prst="rect">
                      <a:avLst/>
                    </a:prstGeom>
                    <a:ln/>
                  </pic:spPr>
                </pic:pic>
              </a:graphicData>
            </a:graphic>
          </wp:inline>
        </w:drawing>
      </w:r>
    </w:p>
    <w:p w:rsidR="00000AA1" w:rsidRPr="00F84A25" w:rsidRDefault="001347DD">
      <w:pPr>
        <w:spacing w:after="0" w:line="240" w:lineRule="auto"/>
        <w:ind w:left="576"/>
        <w:jc w:val="both"/>
        <w:rPr>
          <w:sz w:val="18"/>
          <w:szCs w:val="18"/>
        </w:rPr>
      </w:pPr>
      <w:r w:rsidRPr="00F84A25">
        <w:rPr>
          <w:sz w:val="18"/>
          <w:szCs w:val="18"/>
        </w:rPr>
        <w:t>Fuente: I Encuesta sobre percepciones del lavado de activos en el Perú</w:t>
      </w:r>
    </w:p>
    <w:p w:rsidR="00000AA1" w:rsidRPr="00F84A25" w:rsidRDefault="00000AA1">
      <w:pPr>
        <w:pBdr>
          <w:top w:val="nil"/>
          <w:left w:val="nil"/>
          <w:bottom w:val="nil"/>
          <w:right w:val="nil"/>
          <w:between w:val="nil"/>
        </w:pBdr>
        <w:spacing w:after="0" w:line="240" w:lineRule="auto"/>
        <w:ind w:left="576"/>
        <w:jc w:val="both"/>
      </w:pPr>
    </w:p>
    <w:p w:rsidR="00000AA1" w:rsidRPr="00F84A25" w:rsidRDefault="00000AA1">
      <w:pPr>
        <w:pBdr>
          <w:top w:val="nil"/>
          <w:left w:val="nil"/>
          <w:bottom w:val="nil"/>
          <w:right w:val="nil"/>
          <w:between w:val="nil"/>
        </w:pBdr>
        <w:spacing w:after="0" w:line="240" w:lineRule="auto"/>
        <w:ind w:left="576"/>
        <w:jc w:val="both"/>
      </w:pPr>
    </w:p>
    <w:p w:rsidR="00000AA1" w:rsidRPr="00F84A25" w:rsidRDefault="001347DD">
      <w:pPr>
        <w:pBdr>
          <w:top w:val="nil"/>
          <w:left w:val="nil"/>
          <w:bottom w:val="nil"/>
          <w:right w:val="nil"/>
          <w:between w:val="nil"/>
        </w:pBdr>
        <w:spacing w:after="0" w:line="240" w:lineRule="auto"/>
        <w:ind w:left="576"/>
        <w:jc w:val="both"/>
      </w:pPr>
      <w:r w:rsidRPr="00F84A25">
        <w:t>La encuesta también buscó indagar sobre el conocimiento de las ciudadanas y los ciudadanos sobre las situaciones que constituyen delito de lavado de activos. Para ello, se les presentó una lista de situaciones y se les solicitó que marquen todas aquellas que consideraban pertinentes. El 79.9% considera que trasladar dinero en efectivo sin conocer la procedencia del mismo es un posible delito de lavado de activos, el 74.9% realizar depósitos a nombre de otra persona y recibir un pago a cambio, y el 74.1% prestar el nombre para comprar bienes a nombre de un tercero.</w:t>
      </w:r>
    </w:p>
    <w:p w:rsidR="00000AA1" w:rsidRPr="00F84A25" w:rsidRDefault="00000AA1">
      <w:pPr>
        <w:pBdr>
          <w:top w:val="nil"/>
          <w:left w:val="nil"/>
          <w:bottom w:val="nil"/>
          <w:right w:val="nil"/>
          <w:between w:val="nil"/>
        </w:pBdr>
        <w:spacing w:after="0" w:line="240" w:lineRule="auto"/>
        <w:ind w:left="576"/>
        <w:jc w:val="both"/>
      </w:pPr>
    </w:p>
    <w:p w:rsidR="00000AA1" w:rsidRPr="00F84A25" w:rsidRDefault="001347DD">
      <w:pPr>
        <w:pBdr>
          <w:top w:val="nil"/>
          <w:left w:val="nil"/>
          <w:bottom w:val="nil"/>
          <w:right w:val="nil"/>
          <w:between w:val="nil"/>
        </w:pBdr>
        <w:spacing w:after="0" w:line="240" w:lineRule="auto"/>
        <w:ind w:left="576"/>
        <w:jc w:val="both"/>
      </w:pPr>
      <w:r w:rsidRPr="00F84A25">
        <w:t xml:space="preserve">Por otro lado, el hecho de prestar el Documento Nacional de Identidad (DNI) a otra persona para abrir una cuenta bancaria solo fue considerado como delito por el 44.8% de las encuestadas y los encuestados. Esta última situación es bastante común y, a pesar de haber formado parte de </w:t>
      </w:r>
      <w:r w:rsidR="000F2EAC">
        <w:t xml:space="preserve">diversas </w:t>
      </w:r>
      <w:r w:rsidRPr="00F84A25">
        <w:t xml:space="preserve">campañas de concientización contra el lavado de activos, todavía no es vista como una práctica errónea por la mayoría. </w:t>
      </w:r>
    </w:p>
    <w:p w:rsidR="00000AA1" w:rsidRPr="00F84A25" w:rsidRDefault="00000AA1">
      <w:pPr>
        <w:pBdr>
          <w:top w:val="nil"/>
          <w:left w:val="nil"/>
          <w:bottom w:val="nil"/>
          <w:right w:val="nil"/>
          <w:between w:val="nil"/>
        </w:pBdr>
        <w:spacing w:after="0" w:line="240" w:lineRule="auto"/>
        <w:ind w:left="576"/>
        <w:jc w:val="both"/>
      </w:pPr>
    </w:p>
    <w:p w:rsidR="00000AA1" w:rsidRPr="00F84A25" w:rsidRDefault="001347DD">
      <w:pPr>
        <w:spacing w:after="0" w:line="240" w:lineRule="auto"/>
        <w:ind w:left="576"/>
        <w:jc w:val="both"/>
        <w:rPr>
          <w:b/>
          <w:i/>
        </w:rPr>
      </w:pPr>
      <w:r w:rsidRPr="00F84A25">
        <w:rPr>
          <w:b/>
          <w:i/>
        </w:rPr>
        <w:t>Percepción y valoración sobre la lucha contra el LA</w:t>
      </w:r>
    </w:p>
    <w:p w:rsidR="00000AA1" w:rsidRPr="00F84A25" w:rsidRDefault="00000AA1">
      <w:pPr>
        <w:spacing w:after="0" w:line="240" w:lineRule="auto"/>
        <w:ind w:left="576"/>
        <w:jc w:val="both"/>
      </w:pPr>
    </w:p>
    <w:p w:rsidR="00000AA1" w:rsidRPr="00F84A25" w:rsidRDefault="001347DD">
      <w:pPr>
        <w:spacing w:after="0" w:line="240" w:lineRule="auto"/>
        <w:ind w:left="576"/>
        <w:jc w:val="both"/>
      </w:pPr>
      <w:r w:rsidRPr="00F84A25">
        <w:t xml:space="preserve">Dentro de los principales resultados se identificó que más del 60% percibe que el LA tiene un impacto en su vida cotidiana. La mayoría de los encuestados considera que el crecimiento y la consolidación de organizaciones criminales (37.8%) es la consecuencia más grave de este delito, seguido por la afectación del correcto funcionamiento de la economía (20.1%). Asimismo, el 13.9% de los encuestados considera que la consecuencia más grave es que el LA afecta la confianza y legitimidad de las instituciones del Estado y el funcionamiento de la democracia. </w:t>
      </w:r>
      <w:r w:rsidRPr="00F84A25">
        <w:br w:type="page"/>
      </w:r>
    </w:p>
    <w:p w:rsidR="00000AA1" w:rsidRPr="00F84A25" w:rsidRDefault="001347DD">
      <w:pPr>
        <w:spacing w:after="0" w:line="240" w:lineRule="auto"/>
        <w:ind w:left="576"/>
        <w:jc w:val="center"/>
      </w:pPr>
      <w:r w:rsidRPr="00F84A25">
        <w:rPr>
          <w:b/>
        </w:rPr>
        <w:lastRenderedPageBreak/>
        <w:t>Cuadro 1:</w:t>
      </w:r>
      <w:r w:rsidRPr="00F84A25">
        <w:t xml:space="preserve"> El LA tiene consecuencias económicas y sociales que afectan considerablemente al Perú. Por favor ordene las siguientes en orden de prioridad, donde 1 es la que considera más grave y 6 la que considera menos grave</w:t>
      </w:r>
      <w:r w:rsidR="00160269">
        <w:t xml:space="preserve"> (Pregunta N° 7)</w:t>
      </w:r>
      <w:r w:rsidRPr="00F84A25">
        <w:t>.</w:t>
      </w:r>
    </w:p>
    <w:p w:rsidR="00000AA1" w:rsidRPr="00F84A25" w:rsidRDefault="00000AA1">
      <w:pPr>
        <w:spacing w:after="0" w:line="240" w:lineRule="auto"/>
        <w:ind w:left="576"/>
        <w:jc w:val="both"/>
      </w:pPr>
    </w:p>
    <w:p w:rsidR="00000AA1" w:rsidRPr="00F84A25" w:rsidRDefault="001347DD">
      <w:pPr>
        <w:spacing w:after="0" w:line="240" w:lineRule="auto"/>
        <w:ind w:left="283"/>
        <w:jc w:val="both"/>
      </w:pPr>
      <w:r w:rsidRPr="00F84A25">
        <w:rPr>
          <w:noProof/>
        </w:rPr>
        <w:drawing>
          <wp:inline distT="114300" distB="114300" distL="114300" distR="114300" wp14:anchorId="765B7022" wp14:editId="2CE9CBA1">
            <wp:extent cx="5325428" cy="1624866"/>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325428" cy="1624866"/>
                    </a:xfrm>
                    <a:prstGeom prst="rect">
                      <a:avLst/>
                    </a:prstGeom>
                    <a:ln/>
                  </pic:spPr>
                </pic:pic>
              </a:graphicData>
            </a:graphic>
          </wp:inline>
        </w:drawing>
      </w:r>
    </w:p>
    <w:p w:rsidR="00000AA1" w:rsidRPr="00F84A25" w:rsidRDefault="001347DD">
      <w:pPr>
        <w:spacing w:after="0" w:line="240" w:lineRule="auto"/>
        <w:ind w:left="576"/>
        <w:jc w:val="both"/>
        <w:rPr>
          <w:sz w:val="18"/>
          <w:szCs w:val="18"/>
        </w:rPr>
      </w:pPr>
      <w:r w:rsidRPr="00F84A25">
        <w:rPr>
          <w:sz w:val="18"/>
          <w:szCs w:val="18"/>
        </w:rPr>
        <w:t>Fuente: I Encuesta sobre percepciones del lavado de activos en el Perú</w:t>
      </w:r>
    </w:p>
    <w:p w:rsidR="00000AA1" w:rsidRPr="00F84A25" w:rsidRDefault="00000AA1">
      <w:pPr>
        <w:spacing w:after="0" w:line="240" w:lineRule="auto"/>
        <w:ind w:left="576"/>
        <w:jc w:val="both"/>
      </w:pPr>
    </w:p>
    <w:p w:rsidR="00000AA1" w:rsidRPr="00F84A25" w:rsidRDefault="001347DD">
      <w:pPr>
        <w:pBdr>
          <w:top w:val="nil"/>
          <w:left w:val="nil"/>
          <w:bottom w:val="nil"/>
          <w:right w:val="nil"/>
          <w:between w:val="nil"/>
        </w:pBdr>
        <w:spacing w:after="0" w:line="240" w:lineRule="auto"/>
        <w:ind w:left="576"/>
        <w:jc w:val="both"/>
      </w:pPr>
      <w:r w:rsidRPr="00F84A25">
        <w:t>Asimismo, la encuesta recogió información sobre la valoración de las ciudadanas y los ciudadanos respecto a la eficacia de las medidas de lucha contra el lavado de activos implementadas por el Estado Peruano. Se les presentó un listado de medidas y se les solicitó que indicaran su nivel de eficacia según la siguiente escala: muy eficaz, eficaz, regular, poco eficaz, nada eficaz, no sé.</w:t>
      </w:r>
    </w:p>
    <w:p w:rsidR="00000AA1" w:rsidRPr="00F84A25" w:rsidRDefault="00000AA1">
      <w:pPr>
        <w:pBdr>
          <w:top w:val="nil"/>
          <w:left w:val="nil"/>
          <w:bottom w:val="nil"/>
          <w:right w:val="nil"/>
          <w:between w:val="nil"/>
        </w:pBdr>
        <w:spacing w:after="0" w:line="240" w:lineRule="auto"/>
        <w:ind w:left="576"/>
        <w:jc w:val="both"/>
      </w:pPr>
    </w:p>
    <w:p w:rsidR="00000AA1" w:rsidRPr="00F84A25" w:rsidRDefault="001347DD">
      <w:pPr>
        <w:pBdr>
          <w:top w:val="nil"/>
          <w:left w:val="nil"/>
          <w:bottom w:val="nil"/>
          <w:right w:val="nil"/>
          <w:between w:val="nil"/>
        </w:pBdr>
        <w:spacing w:after="0" w:line="240" w:lineRule="auto"/>
        <w:ind w:left="576"/>
        <w:jc w:val="both"/>
      </w:pPr>
      <w:r w:rsidRPr="00F84A25">
        <w:t xml:space="preserve">Entre las medidas propuestas, la identificación del beneficiario final o dueño real de una empresa para determinar los verdaderos responsables de casos de lavado de activos es la medida valorada con un mayor nivel de eficacia, pues el 48.2% de participantes considera que es muy eficaz o eficaz. El acceso al secreto bancario y reserva tributaria como herramienta para fortalecer las investigaciones por lavado de activos también es valorada con un alto nivel de eficacia, pues el 45.2% considera que es muy eficaz o eficaz. Una tendencia similar se observa en el caso de la responsabilidad penal de personas jurídicas para sancionar a empresas por el delito de lavado de activos, donde el 42.9% califica esta medida como muy eficaz o eficaz. Con respecto a las medidas de extinción de dominio y promoción de la inclusión financiera, estas no alcanzan niveles de valoración de eficacia tan altos como las demás medidas. El 35.5% y el 41.3% de participantes respectivamente califica estas medidas como de una eficacia regular. </w:t>
      </w:r>
    </w:p>
    <w:p w:rsidR="00000AA1" w:rsidRPr="00F84A25" w:rsidRDefault="00000AA1">
      <w:pPr>
        <w:pBdr>
          <w:top w:val="nil"/>
          <w:left w:val="nil"/>
          <w:bottom w:val="nil"/>
          <w:right w:val="nil"/>
          <w:between w:val="nil"/>
        </w:pBdr>
        <w:spacing w:after="0" w:line="240" w:lineRule="auto"/>
        <w:ind w:left="576"/>
        <w:jc w:val="both"/>
      </w:pPr>
    </w:p>
    <w:p w:rsidR="00000AA1" w:rsidRPr="00F84A25" w:rsidRDefault="001347DD">
      <w:pPr>
        <w:spacing w:after="0" w:line="240" w:lineRule="auto"/>
        <w:ind w:left="576"/>
        <w:jc w:val="center"/>
      </w:pPr>
      <w:r w:rsidRPr="00F84A25">
        <w:rPr>
          <w:b/>
        </w:rPr>
        <w:t>Cuadro 2:</w:t>
      </w:r>
      <w:r w:rsidRPr="00F84A25">
        <w:t xml:space="preserve"> ¿Qué tan eficaces considera usted que son las medidas que el Estado Peruano ha tomado frente al LA? </w:t>
      </w:r>
      <w:r w:rsidR="00160269">
        <w:t>(Pregunta N° 9)</w:t>
      </w:r>
    </w:p>
    <w:p w:rsidR="00000AA1" w:rsidRPr="00F84A25" w:rsidRDefault="00000AA1">
      <w:pPr>
        <w:pBdr>
          <w:top w:val="nil"/>
          <w:left w:val="nil"/>
          <w:bottom w:val="nil"/>
          <w:right w:val="nil"/>
          <w:between w:val="nil"/>
        </w:pBdr>
        <w:spacing w:after="0" w:line="240" w:lineRule="auto"/>
        <w:ind w:left="576"/>
        <w:jc w:val="both"/>
      </w:pPr>
    </w:p>
    <w:p w:rsidR="00000AA1" w:rsidRPr="00F84A25" w:rsidRDefault="001347DD">
      <w:pPr>
        <w:pBdr>
          <w:top w:val="nil"/>
          <w:left w:val="nil"/>
          <w:bottom w:val="nil"/>
          <w:right w:val="nil"/>
          <w:between w:val="nil"/>
        </w:pBdr>
        <w:spacing w:after="0" w:line="240" w:lineRule="auto"/>
        <w:ind w:left="576"/>
        <w:jc w:val="both"/>
      </w:pPr>
      <w:r w:rsidRPr="00F84A25">
        <w:rPr>
          <w:noProof/>
        </w:rPr>
        <w:drawing>
          <wp:inline distT="114300" distB="114300" distL="114300" distR="114300" wp14:anchorId="20359BF5" wp14:editId="43ACCFE2">
            <wp:extent cx="5039678" cy="1564344"/>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039678" cy="1564344"/>
                    </a:xfrm>
                    <a:prstGeom prst="rect">
                      <a:avLst/>
                    </a:prstGeom>
                    <a:ln/>
                  </pic:spPr>
                </pic:pic>
              </a:graphicData>
            </a:graphic>
          </wp:inline>
        </w:drawing>
      </w:r>
    </w:p>
    <w:p w:rsidR="00000AA1" w:rsidRPr="00F84A25" w:rsidRDefault="001347DD">
      <w:pPr>
        <w:spacing w:after="0" w:line="240" w:lineRule="auto"/>
        <w:ind w:left="576"/>
        <w:jc w:val="both"/>
        <w:rPr>
          <w:sz w:val="18"/>
          <w:szCs w:val="18"/>
        </w:rPr>
      </w:pPr>
      <w:r w:rsidRPr="00F84A25">
        <w:rPr>
          <w:sz w:val="18"/>
          <w:szCs w:val="18"/>
        </w:rPr>
        <w:t>Fuente: I Encuesta sobre percepciones del lavado de activos en el Perú</w:t>
      </w:r>
    </w:p>
    <w:p w:rsidR="00000AA1" w:rsidRPr="00F84A25" w:rsidRDefault="00000AA1">
      <w:pPr>
        <w:pBdr>
          <w:top w:val="nil"/>
          <w:left w:val="nil"/>
          <w:bottom w:val="nil"/>
          <w:right w:val="nil"/>
          <w:between w:val="nil"/>
        </w:pBdr>
        <w:spacing w:after="0" w:line="240" w:lineRule="auto"/>
        <w:ind w:left="576"/>
        <w:jc w:val="both"/>
      </w:pPr>
    </w:p>
    <w:p w:rsidR="00000AA1" w:rsidRDefault="001347DD">
      <w:pPr>
        <w:pBdr>
          <w:top w:val="nil"/>
          <w:left w:val="nil"/>
          <w:bottom w:val="nil"/>
          <w:right w:val="nil"/>
          <w:between w:val="nil"/>
        </w:pBdr>
        <w:spacing w:after="0" w:line="240" w:lineRule="auto"/>
        <w:ind w:left="576"/>
        <w:jc w:val="both"/>
      </w:pPr>
      <w:r w:rsidRPr="00F84A25">
        <w:t xml:space="preserve">En general, es posible observar que todas las medidas propuestas contra el lavado de activos son valoradas, como mínimo, con un nivel regular de eficacia por la mayoría de los </w:t>
      </w:r>
      <w:r w:rsidRPr="00F84A25">
        <w:lastRenderedPageBreak/>
        <w:t>participantes de la encuesta. Para todas las medidas, el porcentaje de encuestadas y encuestados que las consideran nada eficaces es inferior al 11.0%. Asimismo, se observa que el porcentaje de participantes que indica no conocer las medidas propuestas contra el lavado de activos es muy bajo, oscilando entre 1.9% y 5.4%, por lo que es posible mencionar que esta información suele ser de conocimiento público.</w:t>
      </w:r>
    </w:p>
    <w:p w:rsidR="00330D78" w:rsidRDefault="00330D78">
      <w:pPr>
        <w:pBdr>
          <w:top w:val="nil"/>
          <w:left w:val="nil"/>
          <w:bottom w:val="nil"/>
          <w:right w:val="nil"/>
          <w:between w:val="nil"/>
        </w:pBdr>
        <w:spacing w:after="0" w:line="240" w:lineRule="auto"/>
        <w:ind w:left="576"/>
        <w:jc w:val="both"/>
      </w:pPr>
    </w:p>
    <w:p w:rsidR="00330D78" w:rsidRDefault="00330D78">
      <w:pPr>
        <w:pBdr>
          <w:top w:val="nil"/>
          <w:left w:val="nil"/>
          <w:bottom w:val="nil"/>
          <w:right w:val="nil"/>
          <w:between w:val="nil"/>
        </w:pBdr>
        <w:spacing w:after="0" w:line="240" w:lineRule="auto"/>
        <w:ind w:left="576"/>
        <w:jc w:val="both"/>
      </w:pPr>
      <w:r w:rsidRPr="00F84A25">
        <w:rPr>
          <w:b/>
        </w:rPr>
        <w:t>Cuadro 2:</w:t>
      </w:r>
      <w:r w:rsidRPr="00F84A25">
        <w:t xml:space="preserve"> </w:t>
      </w:r>
      <w:r w:rsidR="00D26224">
        <w:t>¿</w:t>
      </w:r>
      <w:r w:rsidR="00D26224" w:rsidRPr="00D26224">
        <w:t xml:space="preserve">Qué tan eficientemente considera que han realizado sus funciones las siguientes entidades del Sistema Nacional contra el Lavado de Activos? </w:t>
      </w:r>
      <w:r>
        <w:t>(Pregunta N° 10)</w:t>
      </w:r>
    </w:p>
    <w:p w:rsidR="00330D78" w:rsidRDefault="00330D78">
      <w:pPr>
        <w:pBdr>
          <w:top w:val="nil"/>
          <w:left w:val="nil"/>
          <w:bottom w:val="nil"/>
          <w:right w:val="nil"/>
          <w:between w:val="nil"/>
        </w:pBdr>
        <w:spacing w:after="0" w:line="240" w:lineRule="auto"/>
        <w:ind w:left="576"/>
        <w:jc w:val="both"/>
      </w:pPr>
    </w:p>
    <w:p w:rsidR="00330D78" w:rsidRDefault="00330D78" w:rsidP="00D26224">
      <w:pPr>
        <w:pBdr>
          <w:top w:val="nil"/>
          <w:left w:val="nil"/>
          <w:bottom w:val="nil"/>
          <w:right w:val="nil"/>
          <w:between w:val="nil"/>
        </w:pBdr>
        <w:spacing w:after="0" w:line="240" w:lineRule="auto"/>
        <w:ind w:left="426"/>
        <w:jc w:val="both"/>
      </w:pPr>
      <w:r>
        <w:rPr>
          <w:noProof/>
        </w:rPr>
        <w:drawing>
          <wp:inline distT="0" distB="0" distL="0" distR="0" wp14:anchorId="2A4D1E74" wp14:editId="4581F93B">
            <wp:extent cx="5000625" cy="1385667"/>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17512" cy="1390346"/>
                    </a:xfrm>
                    <a:prstGeom prst="rect">
                      <a:avLst/>
                    </a:prstGeom>
                    <a:noFill/>
                    <a:ln>
                      <a:noFill/>
                    </a:ln>
                  </pic:spPr>
                </pic:pic>
              </a:graphicData>
            </a:graphic>
          </wp:inline>
        </w:drawing>
      </w:r>
    </w:p>
    <w:p w:rsidR="00D26224" w:rsidRPr="00F84A25" w:rsidRDefault="00D26224" w:rsidP="00D26224">
      <w:pPr>
        <w:spacing w:after="0" w:line="240" w:lineRule="auto"/>
        <w:ind w:left="576"/>
        <w:jc w:val="both"/>
        <w:rPr>
          <w:sz w:val="18"/>
          <w:szCs w:val="18"/>
        </w:rPr>
      </w:pPr>
      <w:r w:rsidRPr="00F84A25">
        <w:rPr>
          <w:sz w:val="18"/>
          <w:szCs w:val="18"/>
        </w:rPr>
        <w:t>Fuente: I Encuesta sobre percepciones del lavado de activos en el Perú</w:t>
      </w:r>
    </w:p>
    <w:p w:rsidR="00330D78" w:rsidRDefault="00330D78">
      <w:pPr>
        <w:pBdr>
          <w:top w:val="nil"/>
          <w:left w:val="nil"/>
          <w:bottom w:val="nil"/>
          <w:right w:val="nil"/>
          <w:between w:val="nil"/>
        </w:pBdr>
        <w:spacing w:after="0" w:line="240" w:lineRule="auto"/>
        <w:ind w:left="576"/>
        <w:jc w:val="both"/>
      </w:pPr>
    </w:p>
    <w:p w:rsidR="00D26224" w:rsidRDefault="00D26224">
      <w:pPr>
        <w:pBdr>
          <w:top w:val="nil"/>
          <w:left w:val="nil"/>
          <w:bottom w:val="nil"/>
          <w:right w:val="nil"/>
          <w:between w:val="nil"/>
        </w:pBdr>
        <w:spacing w:after="0" w:line="240" w:lineRule="auto"/>
        <w:ind w:left="576"/>
        <w:jc w:val="both"/>
      </w:pPr>
    </w:p>
    <w:p w:rsidR="00330D78" w:rsidRPr="00172E19" w:rsidRDefault="00D26224" w:rsidP="00D26224">
      <w:pPr>
        <w:pBdr>
          <w:top w:val="nil"/>
          <w:left w:val="nil"/>
          <w:bottom w:val="nil"/>
          <w:right w:val="nil"/>
          <w:between w:val="nil"/>
        </w:pBdr>
        <w:spacing w:after="0" w:line="240" w:lineRule="auto"/>
        <w:ind w:left="576"/>
        <w:jc w:val="both"/>
      </w:pPr>
      <w:r>
        <w:t xml:space="preserve">Asimismo, en relación a la percepción de eficiencia de las entidades que conforman el Sistema Nacional contra el LA, se puede identificar que la mayoría de encuestados considera que las entidades del Sistema Nacional contra el LA tienen un nivel de eficiencia </w:t>
      </w:r>
      <w:r w:rsidRPr="00172E19">
        <w:t>regular en el cumplimiento de sus funciones (oscilando entre el 36.3% y 42.1%).</w:t>
      </w:r>
    </w:p>
    <w:p w:rsidR="00D26224" w:rsidRPr="00172E19" w:rsidRDefault="00D26224" w:rsidP="00D26224">
      <w:pPr>
        <w:pBdr>
          <w:top w:val="nil"/>
          <w:left w:val="nil"/>
          <w:bottom w:val="nil"/>
          <w:right w:val="nil"/>
          <w:between w:val="nil"/>
        </w:pBdr>
        <w:spacing w:after="0" w:line="240" w:lineRule="auto"/>
        <w:ind w:left="576"/>
        <w:jc w:val="both"/>
      </w:pPr>
    </w:p>
    <w:p w:rsidR="00810CA9" w:rsidRDefault="00810CA9" w:rsidP="00810CA9">
      <w:pPr>
        <w:pBdr>
          <w:top w:val="nil"/>
          <w:left w:val="nil"/>
          <w:bottom w:val="nil"/>
          <w:right w:val="nil"/>
          <w:between w:val="nil"/>
        </w:pBdr>
        <w:spacing w:after="0" w:line="240" w:lineRule="auto"/>
        <w:ind w:left="576"/>
        <w:jc w:val="both"/>
      </w:pPr>
      <w:r w:rsidRPr="00172E19">
        <w:t>En la misma línea, en un taller participativo realizado el día 10 de agosto del 2022, las autoridades públicas expresaron su preocupación e invocaron una mayor participación y resultados por parte del Ministerio Público y la existencia de una regulación más estricta para combatir el LA. Estas preocupaciones están acorde a lo respondido en las preguntas N° 9 y N° 10 de la Encuesta sobre percepciones de LA en el Perú.</w:t>
      </w:r>
    </w:p>
    <w:p w:rsidR="00000AA1" w:rsidRDefault="00000AA1">
      <w:pPr>
        <w:pBdr>
          <w:top w:val="nil"/>
          <w:left w:val="nil"/>
          <w:bottom w:val="nil"/>
          <w:right w:val="nil"/>
          <w:between w:val="nil"/>
        </w:pBdr>
        <w:spacing w:after="0" w:line="240" w:lineRule="auto"/>
        <w:ind w:left="576"/>
        <w:jc w:val="both"/>
      </w:pPr>
    </w:p>
    <w:p w:rsidR="00810CA9" w:rsidRDefault="00810CA9">
      <w:pPr>
        <w:pBdr>
          <w:top w:val="nil"/>
          <w:left w:val="nil"/>
          <w:bottom w:val="nil"/>
          <w:right w:val="nil"/>
          <w:between w:val="nil"/>
        </w:pBdr>
        <w:spacing w:after="0" w:line="240" w:lineRule="auto"/>
        <w:ind w:left="576"/>
        <w:jc w:val="both"/>
      </w:pPr>
    </w:p>
    <w:p w:rsidR="00810CA9" w:rsidRPr="00F84A25" w:rsidRDefault="00810CA9">
      <w:pPr>
        <w:pBdr>
          <w:top w:val="nil"/>
          <w:left w:val="nil"/>
          <w:bottom w:val="nil"/>
          <w:right w:val="nil"/>
          <w:between w:val="nil"/>
        </w:pBdr>
        <w:spacing w:after="0" w:line="240" w:lineRule="auto"/>
        <w:ind w:left="576"/>
        <w:jc w:val="both"/>
      </w:pPr>
    </w:p>
    <w:p w:rsidR="00000AA1" w:rsidRDefault="001347DD">
      <w:pPr>
        <w:spacing w:after="0" w:line="240" w:lineRule="auto"/>
        <w:ind w:left="576"/>
        <w:jc w:val="both"/>
        <w:rPr>
          <w:b/>
          <w:i/>
        </w:rPr>
      </w:pPr>
      <w:r w:rsidRPr="00F84A25">
        <w:rPr>
          <w:b/>
          <w:i/>
        </w:rPr>
        <w:t>Situación ideal en torno a la lucha contra el LA</w:t>
      </w:r>
    </w:p>
    <w:p w:rsidR="00D26224" w:rsidRPr="00F84A25" w:rsidRDefault="00D26224">
      <w:pPr>
        <w:spacing w:after="0" w:line="240" w:lineRule="auto"/>
        <w:ind w:left="576"/>
        <w:jc w:val="both"/>
        <w:rPr>
          <w:b/>
          <w:i/>
        </w:rPr>
      </w:pPr>
    </w:p>
    <w:p w:rsidR="00000AA1" w:rsidRPr="00F84A25" w:rsidRDefault="00000AA1">
      <w:pPr>
        <w:pBdr>
          <w:top w:val="nil"/>
          <w:left w:val="nil"/>
          <w:bottom w:val="nil"/>
          <w:right w:val="nil"/>
          <w:between w:val="nil"/>
        </w:pBdr>
        <w:spacing w:after="0" w:line="240" w:lineRule="auto"/>
        <w:ind w:left="576"/>
        <w:jc w:val="both"/>
      </w:pPr>
    </w:p>
    <w:p w:rsidR="00000AA1" w:rsidRPr="00F84A25" w:rsidRDefault="001347DD">
      <w:pPr>
        <w:pBdr>
          <w:top w:val="nil"/>
          <w:left w:val="nil"/>
          <w:bottom w:val="nil"/>
          <w:right w:val="nil"/>
          <w:between w:val="nil"/>
        </w:pBdr>
        <w:spacing w:after="0" w:line="240" w:lineRule="auto"/>
        <w:ind w:left="576"/>
        <w:jc w:val="both"/>
      </w:pPr>
      <w:r w:rsidRPr="00F84A25">
        <w:t>Ahora bien, la encuesta recogió información sobre la situación futura deseada en la lucha contra el lavado de activos en el Perú, consultando a las encuestadas y los encuestados sobre las acciones que esperarían que se hayan logrado para enfrentar esta problemática hacia el año 2030. Se les presentó un listado de acciones y se les solicitó que las colocaran en orden de prioridad, desde la más prioritaria hasta la menos prioritaria.</w:t>
      </w:r>
    </w:p>
    <w:p w:rsidR="00000AA1" w:rsidRPr="00F84A25" w:rsidRDefault="00000AA1">
      <w:pPr>
        <w:pBdr>
          <w:top w:val="nil"/>
          <w:left w:val="nil"/>
          <w:bottom w:val="nil"/>
          <w:right w:val="nil"/>
          <w:between w:val="nil"/>
        </w:pBdr>
        <w:spacing w:after="0" w:line="240" w:lineRule="auto"/>
        <w:ind w:left="576"/>
        <w:jc w:val="both"/>
      </w:pPr>
    </w:p>
    <w:p w:rsidR="00000AA1" w:rsidRPr="00F84A25" w:rsidRDefault="001347DD">
      <w:pPr>
        <w:pBdr>
          <w:top w:val="nil"/>
          <w:left w:val="nil"/>
          <w:bottom w:val="nil"/>
          <w:right w:val="nil"/>
          <w:between w:val="nil"/>
        </w:pBdr>
        <w:spacing w:after="0" w:line="240" w:lineRule="auto"/>
        <w:ind w:left="576"/>
        <w:jc w:val="both"/>
      </w:pPr>
      <w:r w:rsidRPr="00F84A25">
        <w:t xml:space="preserve">El 32.8% de los encuestados y encuestados considera que la reducción del impacto del lavado de activos en la economía del país es la acción que se debería priorizar en la lucha contra este delito hacia el 2030. A diferencia de otras acciones, esta es la que claramente resalta como la más urgente. Asimismo, se observa que un porcentaje importante de participantes considera que asegurar la adecuada implementación de un sistema de prevención del lavado de activos es necesario, pues el 27.8% coloca esta acción como segunda prioridad. Luego, el fortalecimiento de los mecanismos de control y detección de activos ilícitos en el país, y el contar con instituciones no afectadas por el lavado de activos son colocadas como tercera y cuarta prioridad respectivamente. </w:t>
      </w:r>
    </w:p>
    <w:p w:rsidR="00000AA1" w:rsidRPr="00F84A25" w:rsidRDefault="00000AA1">
      <w:pPr>
        <w:pBdr>
          <w:top w:val="nil"/>
          <w:left w:val="nil"/>
          <w:bottom w:val="nil"/>
          <w:right w:val="nil"/>
          <w:between w:val="nil"/>
        </w:pBdr>
        <w:spacing w:after="0" w:line="240" w:lineRule="auto"/>
        <w:ind w:left="576"/>
        <w:jc w:val="both"/>
      </w:pPr>
    </w:p>
    <w:p w:rsidR="00000AA1" w:rsidRDefault="001347DD">
      <w:pPr>
        <w:pBdr>
          <w:top w:val="nil"/>
          <w:left w:val="nil"/>
          <w:bottom w:val="nil"/>
          <w:right w:val="nil"/>
          <w:between w:val="nil"/>
        </w:pBdr>
        <w:spacing w:after="0" w:line="240" w:lineRule="auto"/>
        <w:ind w:left="576"/>
        <w:jc w:val="both"/>
      </w:pPr>
      <w:r w:rsidRPr="00F84A25">
        <w:lastRenderedPageBreak/>
        <w:t>Por último, es posible observar consenso entre las encuestadas y los encuestados respecto a la acción menos prioritaria, ya que el 36.3% coincide en que la implementación de acciones conjuntas entre el Estado, el sector privado y la sociedad civil para la lucha contra el lavado de activos es la acción de menor urgencia hacia el 2030.</w:t>
      </w:r>
    </w:p>
    <w:p w:rsidR="00D26224" w:rsidRDefault="00D26224">
      <w:pPr>
        <w:pBdr>
          <w:top w:val="nil"/>
          <w:left w:val="nil"/>
          <w:bottom w:val="nil"/>
          <w:right w:val="nil"/>
          <w:between w:val="nil"/>
        </w:pBdr>
        <w:spacing w:after="0" w:line="240" w:lineRule="auto"/>
        <w:ind w:left="576"/>
        <w:jc w:val="both"/>
      </w:pPr>
    </w:p>
    <w:p w:rsidR="00D26224" w:rsidRPr="00F84A25" w:rsidRDefault="00D26224">
      <w:pPr>
        <w:pBdr>
          <w:top w:val="nil"/>
          <w:left w:val="nil"/>
          <w:bottom w:val="nil"/>
          <w:right w:val="nil"/>
          <w:between w:val="nil"/>
        </w:pBdr>
        <w:spacing w:after="0" w:line="240" w:lineRule="auto"/>
        <w:ind w:left="576"/>
        <w:jc w:val="both"/>
      </w:pPr>
    </w:p>
    <w:p w:rsidR="00000AA1" w:rsidRPr="00F84A25" w:rsidRDefault="00000AA1">
      <w:pPr>
        <w:spacing w:after="0" w:line="240" w:lineRule="auto"/>
        <w:ind w:left="576"/>
        <w:jc w:val="both"/>
      </w:pPr>
    </w:p>
    <w:p w:rsidR="00000AA1" w:rsidRPr="00F84A25" w:rsidRDefault="001347DD">
      <w:pPr>
        <w:spacing w:after="0" w:line="240" w:lineRule="auto"/>
        <w:ind w:left="576"/>
        <w:jc w:val="center"/>
      </w:pPr>
      <w:r w:rsidRPr="00F84A25">
        <w:rPr>
          <w:b/>
        </w:rPr>
        <w:t>Cuadro 3:</w:t>
      </w:r>
      <w:r w:rsidRPr="00F84A25">
        <w:t xml:space="preserve"> Para el año 2030, ¿qué esperaría usted que se haya logrado en la lucha contra el lavado de activos en el Perú? Por favor ordene las siguientes acciones en orden de prioridad, donde 1 es la que considera más prioritaria y 6 la que considera menos prioritaria.</w:t>
      </w:r>
      <w:r w:rsidR="00160269">
        <w:t xml:space="preserve"> (Pregunta N° 11)</w:t>
      </w:r>
    </w:p>
    <w:p w:rsidR="00000AA1" w:rsidRPr="00F84A25" w:rsidRDefault="00000AA1">
      <w:pPr>
        <w:spacing w:after="0" w:line="240" w:lineRule="auto"/>
        <w:ind w:left="576"/>
        <w:jc w:val="both"/>
      </w:pPr>
    </w:p>
    <w:p w:rsidR="00000AA1" w:rsidRPr="00F84A25" w:rsidRDefault="001347DD" w:rsidP="00D26224">
      <w:pPr>
        <w:spacing w:after="0" w:line="240" w:lineRule="auto"/>
        <w:ind w:left="284"/>
        <w:jc w:val="both"/>
      </w:pPr>
      <w:r w:rsidRPr="00F84A25">
        <w:rPr>
          <w:noProof/>
        </w:rPr>
        <w:drawing>
          <wp:inline distT="114300" distB="114300" distL="114300" distR="114300" wp14:anchorId="57AFEEB0" wp14:editId="1364AAC2">
            <wp:extent cx="5399730" cy="18542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399730" cy="1854200"/>
                    </a:xfrm>
                    <a:prstGeom prst="rect">
                      <a:avLst/>
                    </a:prstGeom>
                    <a:ln/>
                  </pic:spPr>
                </pic:pic>
              </a:graphicData>
            </a:graphic>
          </wp:inline>
        </w:drawing>
      </w:r>
    </w:p>
    <w:p w:rsidR="00000AA1" w:rsidRPr="00F84A25" w:rsidRDefault="001347DD">
      <w:pPr>
        <w:spacing w:after="0" w:line="240" w:lineRule="auto"/>
        <w:ind w:left="576"/>
        <w:jc w:val="both"/>
        <w:rPr>
          <w:sz w:val="18"/>
          <w:szCs w:val="18"/>
        </w:rPr>
      </w:pPr>
      <w:r w:rsidRPr="00F84A25">
        <w:rPr>
          <w:sz w:val="18"/>
          <w:szCs w:val="18"/>
        </w:rPr>
        <w:t>Fuente: I Encuesta sobre percepciones del lavado de activos en el Perú</w:t>
      </w:r>
    </w:p>
    <w:p w:rsidR="00000AA1" w:rsidRPr="00F84A25" w:rsidRDefault="00000AA1">
      <w:pPr>
        <w:spacing w:after="0" w:line="240" w:lineRule="auto"/>
        <w:ind w:left="576"/>
        <w:jc w:val="both"/>
      </w:pPr>
    </w:p>
    <w:p w:rsidR="00000AA1" w:rsidRDefault="001347DD">
      <w:pPr>
        <w:pBdr>
          <w:top w:val="nil"/>
          <w:left w:val="nil"/>
          <w:bottom w:val="nil"/>
          <w:right w:val="nil"/>
          <w:between w:val="nil"/>
        </w:pBdr>
        <w:spacing w:after="0" w:line="240" w:lineRule="auto"/>
        <w:ind w:left="576"/>
        <w:jc w:val="both"/>
      </w:pPr>
      <w:r w:rsidRPr="00F84A25">
        <w:t xml:space="preserve">La priorización de las acciones anteriormente señaladas realizada por las encuestadas y los encuestados es un insumo clave para la definición de la situación futura deseada de la Política Nacional contra el Lavado de Activos en el Perú. </w:t>
      </w:r>
    </w:p>
    <w:p w:rsidR="00F84A25" w:rsidRDefault="00F84A25">
      <w:pPr>
        <w:pBdr>
          <w:top w:val="nil"/>
          <w:left w:val="nil"/>
          <w:bottom w:val="nil"/>
          <w:right w:val="nil"/>
          <w:between w:val="nil"/>
        </w:pBdr>
        <w:spacing w:after="0" w:line="240" w:lineRule="auto"/>
        <w:ind w:left="576"/>
        <w:jc w:val="both"/>
      </w:pPr>
    </w:p>
    <w:p w:rsidR="00232E84" w:rsidRDefault="00232E84">
      <w:pPr>
        <w:pBdr>
          <w:top w:val="nil"/>
          <w:left w:val="nil"/>
          <w:bottom w:val="nil"/>
          <w:right w:val="nil"/>
          <w:between w:val="nil"/>
        </w:pBdr>
        <w:spacing w:after="0" w:line="240" w:lineRule="auto"/>
        <w:ind w:left="576"/>
        <w:jc w:val="both"/>
      </w:pPr>
    </w:p>
    <w:p w:rsidR="00F84A25" w:rsidRPr="00F84A25" w:rsidRDefault="00F84A25">
      <w:pPr>
        <w:pBdr>
          <w:top w:val="nil"/>
          <w:left w:val="nil"/>
          <w:bottom w:val="nil"/>
          <w:right w:val="nil"/>
          <w:between w:val="nil"/>
        </w:pBdr>
        <w:spacing w:after="0" w:line="240" w:lineRule="auto"/>
        <w:ind w:left="576"/>
        <w:jc w:val="both"/>
      </w:pPr>
    </w:p>
    <w:p w:rsidR="00000AA1" w:rsidRDefault="001347DD">
      <w:pPr>
        <w:pStyle w:val="Ttulo2"/>
        <w:numPr>
          <w:ilvl w:val="1"/>
          <w:numId w:val="3"/>
        </w:numPr>
        <w:spacing w:before="0" w:line="240" w:lineRule="auto"/>
        <w:rPr>
          <w:b/>
          <w:color w:val="000000"/>
          <w:sz w:val="22"/>
          <w:szCs w:val="22"/>
        </w:rPr>
      </w:pPr>
      <w:bookmarkStart w:id="5" w:name="_Toc113360603"/>
      <w:r>
        <w:rPr>
          <w:b/>
          <w:color w:val="000000"/>
          <w:sz w:val="22"/>
          <w:szCs w:val="22"/>
        </w:rPr>
        <w:t>Identificación y evaluación de riesgos y oportunidades</w:t>
      </w:r>
      <w:bookmarkEnd w:id="5"/>
    </w:p>
    <w:p w:rsidR="00000AA1" w:rsidRDefault="00000AA1">
      <w:pPr>
        <w:spacing w:after="0" w:line="240" w:lineRule="auto"/>
      </w:pPr>
    </w:p>
    <w:p w:rsidR="00000AA1" w:rsidRDefault="001347DD">
      <w:pPr>
        <w:spacing w:after="0" w:line="240" w:lineRule="auto"/>
        <w:ind w:left="576"/>
        <w:jc w:val="both"/>
      </w:pPr>
      <w:r>
        <w:t>Este apartado está compuesto por tres partes: las tendencias, los escenarios contextuales y la matriz de riesgos y oportunidades</w:t>
      </w:r>
      <w:r w:rsidR="001B36B2">
        <w:t>. E</w:t>
      </w:r>
      <w:r>
        <w:t>st</w:t>
      </w:r>
      <w:r w:rsidR="001B36B2">
        <w:t>a</w:t>
      </w:r>
      <w:r>
        <w:t xml:space="preserve"> últim</w:t>
      </w:r>
      <w:r w:rsidR="001B36B2">
        <w:t>a</w:t>
      </w:r>
      <w:r>
        <w:t xml:space="preserve"> es plantead</w:t>
      </w:r>
      <w:r w:rsidR="001B36B2">
        <w:t>a</w:t>
      </w:r>
      <w:r>
        <w:t xml:space="preserve"> a partir del análisis de l</w:t>
      </w:r>
      <w:r w:rsidR="001B36B2">
        <w:t>os dos primeros</w:t>
      </w:r>
      <w:r>
        <w:t xml:space="preserve">. </w:t>
      </w:r>
    </w:p>
    <w:p w:rsidR="00000AA1" w:rsidRDefault="00000AA1">
      <w:pPr>
        <w:spacing w:after="0" w:line="240" w:lineRule="auto"/>
        <w:ind w:left="567"/>
        <w:jc w:val="both"/>
      </w:pPr>
    </w:p>
    <w:p w:rsidR="00000AA1" w:rsidRDefault="001347DD">
      <w:pPr>
        <w:pStyle w:val="Ttulo3"/>
        <w:numPr>
          <w:ilvl w:val="2"/>
          <w:numId w:val="3"/>
        </w:numPr>
        <w:spacing w:before="0" w:line="240" w:lineRule="auto"/>
        <w:ind w:left="567"/>
        <w:rPr>
          <w:b/>
          <w:color w:val="000000"/>
          <w:sz w:val="22"/>
          <w:szCs w:val="22"/>
        </w:rPr>
      </w:pPr>
      <w:bookmarkStart w:id="6" w:name="_Toc113360604"/>
      <w:r>
        <w:rPr>
          <w:b/>
          <w:color w:val="000000"/>
          <w:sz w:val="22"/>
          <w:szCs w:val="22"/>
        </w:rPr>
        <w:t>Tendencias</w:t>
      </w:r>
      <w:bookmarkEnd w:id="6"/>
    </w:p>
    <w:p w:rsidR="00000AA1" w:rsidRDefault="00000AA1">
      <w:pPr>
        <w:spacing w:after="0" w:line="240" w:lineRule="auto"/>
        <w:ind w:left="1416"/>
        <w:rPr>
          <w:i/>
        </w:rPr>
      </w:pPr>
    </w:p>
    <w:p w:rsidR="00000AA1" w:rsidRDefault="001347DD">
      <w:pPr>
        <w:spacing w:after="0" w:line="240" w:lineRule="auto"/>
        <w:ind w:left="576"/>
        <w:jc w:val="both"/>
      </w:pPr>
      <w:r>
        <w:t>Según la Guía</w:t>
      </w:r>
      <w:r w:rsidR="001B36B2">
        <w:t>,</w:t>
      </w:r>
      <w:r>
        <w:t xml:space="preserve"> una tendencia es un fenómeno que muestra un comportamiento creciente o decreciente con permanencia en el largo plazo. En otras palabras, una tendencia se define como el posible comportamiento a futuro de una variable asumiendo la continuidad de su patrón. </w:t>
      </w:r>
    </w:p>
    <w:p w:rsidR="00000AA1" w:rsidRDefault="00000AA1">
      <w:pPr>
        <w:spacing w:after="0" w:line="240" w:lineRule="auto"/>
        <w:ind w:left="576"/>
        <w:jc w:val="both"/>
      </w:pPr>
    </w:p>
    <w:p w:rsidR="00000AA1" w:rsidRDefault="001347DD">
      <w:pPr>
        <w:spacing w:after="0" w:line="240" w:lineRule="auto"/>
        <w:ind w:left="576"/>
        <w:jc w:val="both"/>
      </w:pPr>
      <w:r>
        <w:t>Para el presente entregable se seleccionaron 15 tendencias de los ámbitos social, ambiental, económico, tecnológico, político y ético del Observatorio Nacional de Prospectiva (CEPLAN, 2021a). Se realizó un análisis individual de cada una</w:t>
      </w:r>
      <w:r w:rsidR="00CC4F90">
        <w:t>,</w:t>
      </w:r>
      <w:r>
        <w:t xml:space="preserve"> valorando en qué medida podría impactar en el problema público. </w:t>
      </w:r>
    </w:p>
    <w:p w:rsidR="00000AA1" w:rsidRDefault="00000AA1">
      <w:pPr>
        <w:spacing w:after="0" w:line="240" w:lineRule="auto"/>
        <w:ind w:left="576"/>
        <w:jc w:val="both"/>
      </w:pPr>
    </w:p>
    <w:p w:rsidR="00F66965" w:rsidRDefault="00F66965">
      <w:pPr>
        <w:spacing w:after="0" w:line="240" w:lineRule="auto"/>
        <w:ind w:left="576"/>
        <w:jc w:val="both"/>
      </w:pPr>
    </w:p>
    <w:p w:rsidR="00F66965" w:rsidRDefault="00F66965">
      <w:pPr>
        <w:spacing w:after="0" w:line="240" w:lineRule="auto"/>
        <w:ind w:left="576"/>
        <w:jc w:val="both"/>
      </w:pPr>
    </w:p>
    <w:p w:rsidR="00F66965" w:rsidRDefault="00F66965">
      <w:pPr>
        <w:spacing w:after="0" w:line="240" w:lineRule="auto"/>
        <w:ind w:left="576"/>
        <w:jc w:val="both"/>
      </w:pPr>
    </w:p>
    <w:p w:rsidR="00F66965" w:rsidRDefault="00F66965">
      <w:pPr>
        <w:spacing w:after="0" w:line="240" w:lineRule="auto"/>
        <w:ind w:left="576"/>
        <w:jc w:val="both"/>
      </w:pPr>
    </w:p>
    <w:p w:rsidR="00000AA1" w:rsidRDefault="00000AA1">
      <w:pPr>
        <w:spacing w:after="0" w:line="240" w:lineRule="auto"/>
        <w:ind w:left="576"/>
        <w:jc w:val="both"/>
      </w:pPr>
    </w:p>
    <w:tbl>
      <w:tblPr>
        <w:tblStyle w:val="a"/>
        <w:tblW w:w="8494" w:type="dxa"/>
        <w:tblInd w:w="0" w:type="dxa"/>
        <w:tblLayout w:type="fixed"/>
        <w:tblLook w:val="0400" w:firstRow="0" w:lastRow="0" w:firstColumn="0" w:lastColumn="0" w:noHBand="0" w:noVBand="1"/>
      </w:tblPr>
      <w:tblGrid>
        <w:gridCol w:w="503"/>
        <w:gridCol w:w="1477"/>
        <w:gridCol w:w="3223"/>
        <w:gridCol w:w="3291"/>
      </w:tblGrid>
      <w:tr w:rsidR="00000AA1" w:rsidTr="00F85F3B">
        <w:trPr>
          <w:trHeight w:val="310"/>
        </w:trPr>
        <w:tc>
          <w:tcPr>
            <w:tcW w:w="503" w:type="dxa"/>
            <w:tcBorders>
              <w:top w:val="single" w:sz="4" w:space="0" w:color="000000"/>
              <w:left w:val="single" w:sz="4" w:space="0" w:color="000000"/>
              <w:bottom w:val="single" w:sz="4" w:space="0" w:color="000000"/>
              <w:right w:val="single" w:sz="4" w:space="0" w:color="000000"/>
            </w:tcBorders>
            <w:shd w:val="clear" w:color="auto" w:fill="8DB4E2"/>
            <w:tcMar>
              <w:top w:w="0" w:type="dxa"/>
              <w:left w:w="70" w:type="dxa"/>
              <w:bottom w:w="0" w:type="dxa"/>
              <w:right w:w="70" w:type="dxa"/>
            </w:tcMar>
          </w:tcPr>
          <w:p w:rsidR="00000AA1" w:rsidRDefault="001347DD">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b/>
                <w:sz w:val="20"/>
                <w:szCs w:val="20"/>
              </w:rPr>
              <w:t>Tipo</w:t>
            </w:r>
          </w:p>
        </w:tc>
        <w:tc>
          <w:tcPr>
            <w:tcW w:w="1477" w:type="dxa"/>
            <w:tcBorders>
              <w:top w:val="single" w:sz="4" w:space="0" w:color="000000"/>
              <w:left w:val="single" w:sz="4" w:space="0" w:color="000000"/>
              <w:bottom w:val="single" w:sz="4" w:space="0" w:color="000000"/>
              <w:right w:val="single" w:sz="4" w:space="0" w:color="000000"/>
            </w:tcBorders>
            <w:shd w:val="clear" w:color="auto" w:fill="8DB4E2"/>
            <w:tcMar>
              <w:top w:w="0" w:type="dxa"/>
              <w:left w:w="70" w:type="dxa"/>
              <w:bottom w:w="0" w:type="dxa"/>
              <w:right w:w="70" w:type="dxa"/>
            </w:tcMar>
            <w:vAlign w:val="center"/>
          </w:tcPr>
          <w:p w:rsidR="00000AA1" w:rsidRDefault="001347DD">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b/>
                <w:sz w:val="20"/>
                <w:szCs w:val="20"/>
              </w:rPr>
              <w:t>Tendencias</w:t>
            </w:r>
          </w:p>
        </w:tc>
        <w:tc>
          <w:tcPr>
            <w:tcW w:w="3223" w:type="dxa"/>
            <w:tcBorders>
              <w:top w:val="single" w:sz="4" w:space="0" w:color="000000"/>
              <w:left w:val="single" w:sz="4" w:space="0" w:color="000000"/>
              <w:bottom w:val="single" w:sz="4" w:space="0" w:color="000000"/>
              <w:right w:val="single" w:sz="4" w:space="0" w:color="000000"/>
            </w:tcBorders>
            <w:shd w:val="clear" w:color="auto" w:fill="8DB4E2"/>
            <w:tcMar>
              <w:top w:w="0" w:type="dxa"/>
              <w:left w:w="70" w:type="dxa"/>
              <w:bottom w:w="0" w:type="dxa"/>
              <w:right w:w="70" w:type="dxa"/>
            </w:tcMar>
            <w:vAlign w:val="center"/>
          </w:tcPr>
          <w:p w:rsidR="00000AA1" w:rsidRDefault="001347DD">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b/>
                <w:sz w:val="20"/>
                <w:szCs w:val="20"/>
              </w:rPr>
              <w:t>Descripción de la tendencia</w:t>
            </w:r>
          </w:p>
        </w:tc>
        <w:tc>
          <w:tcPr>
            <w:tcW w:w="3291" w:type="dxa"/>
            <w:tcBorders>
              <w:top w:val="single" w:sz="4" w:space="0" w:color="000000"/>
              <w:left w:val="single" w:sz="4" w:space="0" w:color="000000"/>
              <w:bottom w:val="single" w:sz="4" w:space="0" w:color="000000"/>
              <w:right w:val="single" w:sz="4" w:space="0" w:color="000000"/>
            </w:tcBorders>
            <w:shd w:val="clear" w:color="auto" w:fill="8DB4E2"/>
            <w:tcMar>
              <w:top w:w="0" w:type="dxa"/>
              <w:left w:w="70" w:type="dxa"/>
              <w:bottom w:w="0" w:type="dxa"/>
              <w:right w:w="70" w:type="dxa"/>
            </w:tcMar>
            <w:vAlign w:val="center"/>
          </w:tcPr>
          <w:p w:rsidR="00000AA1" w:rsidRDefault="001347DD">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b/>
                <w:sz w:val="20"/>
                <w:szCs w:val="20"/>
              </w:rPr>
              <w:t>Relación con la Política</w:t>
            </w:r>
          </w:p>
        </w:tc>
      </w:tr>
      <w:tr w:rsidR="00000AA1" w:rsidTr="00F85F3B">
        <w:trPr>
          <w:trHeight w:val="2327"/>
        </w:trPr>
        <w:tc>
          <w:tcPr>
            <w:tcW w:w="503" w:type="dxa"/>
            <w:vMerge w:val="restart"/>
            <w:tcBorders>
              <w:top w:val="single" w:sz="4" w:space="0" w:color="000000"/>
              <w:left w:val="single" w:sz="4" w:space="0" w:color="000000"/>
              <w:right w:val="single" w:sz="4" w:space="0" w:color="000000"/>
            </w:tcBorders>
            <w:shd w:val="clear" w:color="auto" w:fill="DEEBF6"/>
            <w:tcMar>
              <w:top w:w="0" w:type="dxa"/>
              <w:left w:w="70" w:type="dxa"/>
              <w:bottom w:w="0" w:type="dxa"/>
              <w:right w:w="70" w:type="dxa"/>
            </w:tcMar>
            <w:textDirection w:val="btLr"/>
            <w:vAlign w:val="center"/>
          </w:tcPr>
          <w:p w:rsidR="00000AA1" w:rsidRDefault="001347DD" w:rsidP="007B0798">
            <w:pPr>
              <w:pBdr>
                <w:top w:val="nil"/>
                <w:left w:val="nil"/>
                <w:bottom w:val="nil"/>
                <w:right w:val="nil"/>
                <w:between w:val="nil"/>
              </w:pBdr>
              <w:spacing w:after="0" w:line="240" w:lineRule="auto"/>
              <w:ind w:left="113" w:right="113"/>
              <w:rPr>
                <w:rFonts w:ascii="Times New Roman" w:eastAsia="Times New Roman" w:hAnsi="Times New Roman" w:cs="Times New Roman"/>
                <w:sz w:val="24"/>
                <w:szCs w:val="24"/>
              </w:rPr>
            </w:pPr>
            <w:r>
              <w:rPr>
                <w:b/>
                <w:sz w:val="20"/>
                <w:szCs w:val="20"/>
              </w:rPr>
              <w:t>SOCIALES</w:t>
            </w:r>
          </w:p>
        </w:tc>
        <w:tc>
          <w:tcPr>
            <w:tcW w:w="1477" w:type="dxa"/>
            <w:tcBorders>
              <w:top w:val="single" w:sz="4" w:space="0" w:color="000000"/>
              <w:left w:val="single" w:sz="4" w:space="0" w:color="000000"/>
              <w:bottom w:val="single" w:sz="4" w:space="0" w:color="000000"/>
              <w:right w:val="single" w:sz="4" w:space="0" w:color="000000"/>
            </w:tcBorders>
            <w:shd w:val="clear" w:color="auto" w:fill="DEEBF6"/>
            <w:tcMar>
              <w:top w:w="0" w:type="dxa"/>
              <w:left w:w="70" w:type="dxa"/>
              <w:bottom w:w="0" w:type="dxa"/>
              <w:right w:w="70" w:type="dxa"/>
            </w:tcMar>
            <w:vAlign w:val="center"/>
          </w:tcPr>
          <w:p w:rsidR="00000AA1" w:rsidRDefault="001347DD">
            <w:pPr>
              <w:pBdr>
                <w:top w:val="nil"/>
                <w:left w:val="nil"/>
                <w:bottom w:val="nil"/>
                <w:right w:val="nil"/>
                <w:between w:val="nil"/>
              </w:pBdr>
              <w:spacing w:after="0" w:line="240" w:lineRule="auto"/>
              <w:ind w:left="113" w:right="113"/>
              <w:jc w:val="center"/>
              <w:rPr>
                <w:rFonts w:ascii="Times New Roman" w:eastAsia="Times New Roman" w:hAnsi="Times New Roman" w:cs="Times New Roman"/>
                <w:sz w:val="24"/>
                <w:szCs w:val="24"/>
              </w:rPr>
            </w:pPr>
            <w:r>
              <w:rPr>
                <w:b/>
                <w:sz w:val="20"/>
                <w:szCs w:val="20"/>
              </w:rPr>
              <w:t>Hechos delictivos</w:t>
            </w:r>
          </w:p>
        </w:tc>
        <w:tc>
          <w:tcPr>
            <w:tcW w:w="322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000AA1" w:rsidRDefault="001347DD">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sz w:val="20"/>
                <w:szCs w:val="20"/>
              </w:rPr>
              <w:t>Con el impacto de la COVID-19, los expertos nacionales estiman que, en el periodo 2022-2030, los hechos delictivos crecerán, pero ligeramente. Asimismo, los expertos estiman que, debido al crecimiento en la cantidad de víctimas de hechos delictivos, se evidenciará un incremento significativo en el número de denuncias por comisión de delitos.</w:t>
            </w:r>
          </w:p>
        </w:tc>
        <w:tc>
          <w:tcPr>
            <w:tcW w:w="329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000AA1" w:rsidRDefault="001347DD">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sz w:val="20"/>
                <w:szCs w:val="20"/>
              </w:rPr>
              <w:t>Esta tendencia afecta directamente el problema público pues al aumentar el nivel de incidencia de los delitos precedentes</w:t>
            </w:r>
            <w:r>
              <w:rPr>
                <w:sz w:val="20"/>
                <w:szCs w:val="20"/>
                <w:vertAlign w:val="superscript"/>
              </w:rPr>
              <w:footnoteReference w:id="2"/>
            </w:r>
            <w:r>
              <w:rPr>
                <w:sz w:val="20"/>
                <w:szCs w:val="20"/>
              </w:rPr>
              <w:t xml:space="preserve"> es altamente probable que aumenten los casos de lavado de activos. </w:t>
            </w:r>
          </w:p>
        </w:tc>
      </w:tr>
      <w:tr w:rsidR="00000AA1" w:rsidTr="00F85F3B">
        <w:trPr>
          <w:trHeight w:val="1711"/>
        </w:trPr>
        <w:tc>
          <w:tcPr>
            <w:tcW w:w="503" w:type="dxa"/>
            <w:vMerge/>
            <w:tcBorders>
              <w:top w:val="single" w:sz="4" w:space="0" w:color="000000"/>
              <w:left w:val="single" w:sz="4" w:space="0" w:color="000000"/>
              <w:right w:val="single" w:sz="4" w:space="0" w:color="000000"/>
            </w:tcBorders>
            <w:shd w:val="clear" w:color="auto" w:fill="DEEBF6"/>
            <w:tcMar>
              <w:top w:w="0" w:type="dxa"/>
              <w:left w:w="70" w:type="dxa"/>
              <w:bottom w:w="0" w:type="dxa"/>
              <w:right w:w="70" w:type="dxa"/>
            </w:tcMar>
            <w:vAlign w:val="center"/>
          </w:tcPr>
          <w:p w:rsidR="00000AA1" w:rsidRDefault="00000AA1">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477" w:type="dxa"/>
            <w:tcBorders>
              <w:top w:val="single" w:sz="4" w:space="0" w:color="000000"/>
              <w:left w:val="single" w:sz="4" w:space="0" w:color="000000"/>
              <w:bottom w:val="single" w:sz="4" w:space="0" w:color="000000"/>
              <w:right w:val="single" w:sz="4" w:space="0" w:color="000000"/>
            </w:tcBorders>
            <w:shd w:val="clear" w:color="auto" w:fill="DEEBF6"/>
            <w:tcMar>
              <w:top w:w="0" w:type="dxa"/>
              <w:left w:w="70" w:type="dxa"/>
              <w:bottom w:w="0" w:type="dxa"/>
              <w:right w:w="70" w:type="dxa"/>
            </w:tcMar>
            <w:vAlign w:val="center"/>
          </w:tcPr>
          <w:p w:rsidR="00000AA1" w:rsidRDefault="001347DD">
            <w:pPr>
              <w:pBdr>
                <w:top w:val="nil"/>
                <w:left w:val="nil"/>
                <w:bottom w:val="nil"/>
                <w:right w:val="nil"/>
                <w:between w:val="nil"/>
              </w:pBdr>
              <w:spacing w:after="0" w:line="240" w:lineRule="auto"/>
              <w:ind w:left="113" w:right="113"/>
              <w:jc w:val="center"/>
              <w:rPr>
                <w:rFonts w:ascii="Times New Roman" w:eastAsia="Times New Roman" w:hAnsi="Times New Roman" w:cs="Times New Roman"/>
                <w:sz w:val="24"/>
                <w:szCs w:val="24"/>
              </w:rPr>
            </w:pPr>
            <w:r>
              <w:rPr>
                <w:b/>
                <w:sz w:val="20"/>
                <w:szCs w:val="20"/>
              </w:rPr>
              <w:t>Pobreza</w:t>
            </w:r>
          </w:p>
        </w:tc>
        <w:tc>
          <w:tcPr>
            <w:tcW w:w="322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000AA1" w:rsidRDefault="001347DD">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sz w:val="20"/>
                <w:szCs w:val="20"/>
              </w:rPr>
              <w:t>La pandemia incrementó significativamente el porcentaje de población en situación de pobreza monetaria (de 20.2% a 31%) y pobreza extrema (de 2.9% a 5.2%) en el periodo 2019-2021. En los próximos años se espera que los niveles de pobreza aumenten.  </w:t>
            </w:r>
          </w:p>
        </w:tc>
        <w:tc>
          <w:tcPr>
            <w:tcW w:w="329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000AA1" w:rsidRDefault="001347DD" w:rsidP="00164EA6">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sz w:val="20"/>
                <w:szCs w:val="20"/>
              </w:rPr>
              <w:t xml:space="preserve">El aumento en los indicadores de pobreza y pobreza extrema, pone en situación de vulnerabilidad a gran parte de la población. Esta situación de precariedad y la falta de oportunidades producto de la pandemia </w:t>
            </w:r>
            <w:r w:rsidR="00164EA6">
              <w:rPr>
                <w:sz w:val="20"/>
                <w:szCs w:val="20"/>
              </w:rPr>
              <w:t>pueden</w:t>
            </w:r>
            <w:r>
              <w:rPr>
                <w:sz w:val="20"/>
                <w:szCs w:val="20"/>
              </w:rPr>
              <w:t xml:space="preserve"> generar que este universo de la población </w:t>
            </w:r>
            <w:r w:rsidR="00164EA6">
              <w:rPr>
                <w:sz w:val="20"/>
                <w:szCs w:val="20"/>
              </w:rPr>
              <w:t>considere</w:t>
            </w:r>
            <w:r>
              <w:rPr>
                <w:sz w:val="20"/>
                <w:szCs w:val="20"/>
              </w:rPr>
              <w:t xml:space="preserve"> realizar alguna actividad ilegal como fuente de ingreso, facilitando posteriormente la realización de actos de </w:t>
            </w:r>
            <w:r w:rsidR="00164EA6">
              <w:rPr>
                <w:sz w:val="20"/>
                <w:szCs w:val="20"/>
              </w:rPr>
              <w:t>LA</w:t>
            </w:r>
            <w:r>
              <w:rPr>
                <w:sz w:val="20"/>
                <w:szCs w:val="20"/>
              </w:rPr>
              <w:t>.</w:t>
            </w:r>
          </w:p>
        </w:tc>
      </w:tr>
      <w:tr w:rsidR="00000AA1" w:rsidTr="00F85F3B">
        <w:trPr>
          <w:trHeight w:val="3394"/>
        </w:trPr>
        <w:tc>
          <w:tcPr>
            <w:tcW w:w="503" w:type="dxa"/>
            <w:vMerge/>
            <w:tcBorders>
              <w:top w:val="single" w:sz="4" w:space="0" w:color="000000"/>
              <w:left w:val="single" w:sz="4" w:space="0" w:color="000000"/>
              <w:right w:val="single" w:sz="4" w:space="0" w:color="000000"/>
            </w:tcBorders>
            <w:shd w:val="clear" w:color="auto" w:fill="DEEBF6"/>
            <w:tcMar>
              <w:top w:w="0" w:type="dxa"/>
              <w:left w:w="70" w:type="dxa"/>
              <w:bottom w:w="0" w:type="dxa"/>
              <w:right w:w="70" w:type="dxa"/>
            </w:tcMar>
            <w:vAlign w:val="center"/>
          </w:tcPr>
          <w:p w:rsidR="00000AA1" w:rsidRDefault="00000AA1">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477" w:type="dxa"/>
            <w:tcBorders>
              <w:top w:val="single" w:sz="4" w:space="0" w:color="000000"/>
              <w:left w:val="single" w:sz="4" w:space="0" w:color="000000"/>
              <w:bottom w:val="single" w:sz="4" w:space="0" w:color="000000"/>
              <w:right w:val="single" w:sz="4" w:space="0" w:color="000000"/>
            </w:tcBorders>
            <w:shd w:val="clear" w:color="auto" w:fill="DEEBF6"/>
            <w:tcMar>
              <w:top w:w="0" w:type="dxa"/>
              <w:left w:w="70" w:type="dxa"/>
              <w:bottom w:w="0" w:type="dxa"/>
              <w:right w:w="70" w:type="dxa"/>
            </w:tcMar>
            <w:vAlign w:val="center"/>
          </w:tcPr>
          <w:p w:rsidR="00000AA1" w:rsidRDefault="001347DD">
            <w:pPr>
              <w:pBdr>
                <w:top w:val="nil"/>
                <w:left w:val="nil"/>
                <w:bottom w:val="nil"/>
                <w:right w:val="nil"/>
                <w:between w:val="nil"/>
              </w:pBdr>
              <w:spacing w:after="0" w:line="240" w:lineRule="auto"/>
              <w:ind w:left="113" w:right="113"/>
              <w:jc w:val="center"/>
              <w:rPr>
                <w:rFonts w:ascii="Times New Roman" w:eastAsia="Times New Roman" w:hAnsi="Times New Roman" w:cs="Times New Roman"/>
                <w:sz w:val="24"/>
                <w:szCs w:val="24"/>
              </w:rPr>
            </w:pPr>
            <w:r>
              <w:rPr>
                <w:b/>
                <w:sz w:val="20"/>
                <w:szCs w:val="20"/>
              </w:rPr>
              <w:t>Propagación COVID-19</w:t>
            </w:r>
          </w:p>
        </w:tc>
        <w:tc>
          <w:tcPr>
            <w:tcW w:w="322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000AA1" w:rsidRDefault="001347DD">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sz w:val="20"/>
                <w:szCs w:val="20"/>
              </w:rPr>
              <w:t>Al momento de la redacción de este documento se había iniciado la tercera ola de contagio del COVID-19 (variante Ómicron). Si bien existe incertidumbre acerca de cuándo se culminará la pandemia, es altamente probable que en el futuro cercano las medidas tomadas por el gobierno continúen, tales como el aforo de espacios cerrados, estados de emergencia en espacios donde los indicadores epidemiológicos se agraven, entre otros. </w:t>
            </w:r>
          </w:p>
        </w:tc>
        <w:tc>
          <w:tcPr>
            <w:tcW w:w="329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000AA1" w:rsidRDefault="001347DD">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sz w:val="20"/>
                <w:szCs w:val="20"/>
              </w:rPr>
              <w:t>Esta tendencia influye negativamente en los fines de la política nacional contra el lavado de activos. Si el escenario pandémico continúa, esto posiblemente afecte las capacidades para cumplir sus obligaciones de los agentes públicos y privados que integran el sistema nacional contra el lavado de activos. Asimismo, considerando que frente a esta situación el Estado debe destinar grandes sumas de dinero para la adquisición de insumos (sobre todo médicos) será necesario la flexibilización de procedimientos para la adquisición de bienes, lo que supone un mayor riesgo de corrupción, lo que abre la posibilidad que el problema público (LA) se agrave. </w:t>
            </w:r>
          </w:p>
          <w:p w:rsidR="00000AA1" w:rsidRDefault="001347DD">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sz w:val="20"/>
                <w:szCs w:val="20"/>
              </w:rPr>
              <w:t>Asimismo, la propagación del COVID-19 generará que se incremente el comercio electrónico y con estos los delitos cibernéticos.</w:t>
            </w:r>
          </w:p>
        </w:tc>
      </w:tr>
      <w:tr w:rsidR="00000AA1" w:rsidTr="00F85F3B">
        <w:trPr>
          <w:trHeight w:val="310"/>
        </w:trPr>
        <w:tc>
          <w:tcPr>
            <w:tcW w:w="503" w:type="dxa"/>
            <w:vMerge/>
            <w:tcBorders>
              <w:top w:val="single" w:sz="4" w:space="0" w:color="000000"/>
              <w:left w:val="single" w:sz="4" w:space="0" w:color="000000"/>
              <w:right w:val="single" w:sz="4" w:space="0" w:color="000000"/>
            </w:tcBorders>
            <w:shd w:val="clear" w:color="auto" w:fill="DEEBF6"/>
            <w:tcMar>
              <w:top w:w="0" w:type="dxa"/>
              <w:left w:w="70" w:type="dxa"/>
              <w:bottom w:w="0" w:type="dxa"/>
              <w:right w:w="70" w:type="dxa"/>
            </w:tcMar>
            <w:vAlign w:val="center"/>
          </w:tcPr>
          <w:p w:rsidR="00000AA1" w:rsidRDefault="00000AA1">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477" w:type="dxa"/>
            <w:tcBorders>
              <w:top w:val="single" w:sz="4" w:space="0" w:color="000000"/>
              <w:left w:val="single" w:sz="4" w:space="0" w:color="000000"/>
              <w:bottom w:val="single" w:sz="4" w:space="0" w:color="000000"/>
              <w:right w:val="single" w:sz="4" w:space="0" w:color="000000"/>
            </w:tcBorders>
            <w:shd w:val="clear" w:color="auto" w:fill="DEEBF6"/>
            <w:tcMar>
              <w:top w:w="0" w:type="dxa"/>
              <w:left w:w="70" w:type="dxa"/>
              <w:bottom w:w="0" w:type="dxa"/>
              <w:right w:w="70" w:type="dxa"/>
            </w:tcMar>
            <w:vAlign w:val="center"/>
          </w:tcPr>
          <w:p w:rsidR="00000AA1" w:rsidRDefault="001347DD">
            <w:pPr>
              <w:pBdr>
                <w:top w:val="nil"/>
                <w:left w:val="nil"/>
                <w:bottom w:val="nil"/>
                <w:right w:val="nil"/>
                <w:between w:val="nil"/>
              </w:pBdr>
              <w:spacing w:after="0" w:line="240" w:lineRule="auto"/>
              <w:ind w:left="113" w:right="113"/>
              <w:jc w:val="center"/>
              <w:rPr>
                <w:rFonts w:ascii="Times New Roman" w:eastAsia="Times New Roman" w:hAnsi="Times New Roman" w:cs="Times New Roman"/>
                <w:sz w:val="24"/>
                <w:szCs w:val="24"/>
              </w:rPr>
            </w:pPr>
            <w:r>
              <w:rPr>
                <w:b/>
                <w:sz w:val="20"/>
                <w:szCs w:val="20"/>
              </w:rPr>
              <w:t>Trata de personas</w:t>
            </w:r>
          </w:p>
        </w:tc>
        <w:tc>
          <w:tcPr>
            <w:tcW w:w="322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000AA1" w:rsidRDefault="001347DD">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sz w:val="20"/>
                <w:szCs w:val="20"/>
              </w:rPr>
              <w:t xml:space="preserve"> Al igual que las tendencias relacionadas a hechos delictivos, el </w:t>
            </w:r>
            <w:r>
              <w:rPr>
                <w:sz w:val="20"/>
                <w:szCs w:val="20"/>
              </w:rPr>
              <w:lastRenderedPageBreak/>
              <w:t>CEPLAN estima que el delito de trata y explotación de personas se agrave para el periodo 2022-2030. Las redes de trata de personas tienen la capacidad de adaptar sus operaciones para aprovechar el impacto socioeconómico negativo que ha tenido la pandemia sobre ciertos grupos vulnerables de la población.</w:t>
            </w:r>
          </w:p>
        </w:tc>
        <w:tc>
          <w:tcPr>
            <w:tcW w:w="329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000AA1" w:rsidRDefault="001347DD">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sz w:val="20"/>
                <w:szCs w:val="20"/>
              </w:rPr>
              <w:lastRenderedPageBreak/>
              <w:t xml:space="preserve">El aumento de la trata de personas afecta directamente al fenómeno de </w:t>
            </w:r>
            <w:r>
              <w:rPr>
                <w:sz w:val="20"/>
                <w:szCs w:val="20"/>
              </w:rPr>
              <w:lastRenderedPageBreak/>
              <w:t>lavado de activos pues, al generar ganancias ilícitas, es uno de los delitos precedentes. Según información de la UIF, en el periodo 2012-2020 se han producido 3 informes de inteligencia ligados a trata de personas que involucran 2 millones de dólares. </w:t>
            </w:r>
          </w:p>
        </w:tc>
      </w:tr>
      <w:tr w:rsidR="00000AA1" w:rsidTr="00F85F3B">
        <w:trPr>
          <w:cantSplit/>
          <w:trHeight w:val="1446"/>
        </w:trPr>
        <w:tc>
          <w:tcPr>
            <w:tcW w:w="503" w:type="dxa"/>
            <w:tcBorders>
              <w:left w:val="single" w:sz="4" w:space="0" w:color="000000"/>
              <w:bottom w:val="single" w:sz="4" w:space="0" w:color="000000"/>
              <w:right w:val="single" w:sz="4" w:space="0" w:color="000000"/>
            </w:tcBorders>
            <w:shd w:val="clear" w:color="auto" w:fill="DEEBF6"/>
            <w:tcMar>
              <w:top w:w="0" w:type="dxa"/>
              <w:left w:w="70" w:type="dxa"/>
              <w:bottom w:w="0" w:type="dxa"/>
              <w:right w:w="70" w:type="dxa"/>
            </w:tcMar>
            <w:textDirection w:val="btLr"/>
            <w:vAlign w:val="center"/>
          </w:tcPr>
          <w:p w:rsidR="00000AA1" w:rsidRDefault="001347DD">
            <w:pPr>
              <w:pBdr>
                <w:top w:val="nil"/>
                <w:left w:val="nil"/>
                <w:bottom w:val="nil"/>
                <w:right w:val="nil"/>
                <w:between w:val="nil"/>
              </w:pBdr>
              <w:spacing w:after="0" w:line="240" w:lineRule="auto"/>
              <w:ind w:left="113" w:right="113"/>
              <w:jc w:val="center"/>
              <w:rPr>
                <w:rFonts w:ascii="Times New Roman" w:eastAsia="Times New Roman" w:hAnsi="Times New Roman" w:cs="Times New Roman"/>
                <w:sz w:val="24"/>
                <w:szCs w:val="24"/>
              </w:rPr>
            </w:pPr>
            <w:r>
              <w:rPr>
                <w:b/>
                <w:sz w:val="20"/>
                <w:szCs w:val="20"/>
              </w:rPr>
              <w:lastRenderedPageBreak/>
              <w:t>AMBIENTALES</w:t>
            </w:r>
          </w:p>
        </w:tc>
        <w:tc>
          <w:tcPr>
            <w:tcW w:w="1477" w:type="dxa"/>
            <w:tcBorders>
              <w:top w:val="single" w:sz="4" w:space="0" w:color="000000"/>
              <w:left w:val="single" w:sz="4" w:space="0" w:color="000000"/>
              <w:bottom w:val="single" w:sz="4" w:space="0" w:color="000000"/>
              <w:right w:val="single" w:sz="4" w:space="0" w:color="000000"/>
            </w:tcBorders>
            <w:shd w:val="clear" w:color="auto" w:fill="DEEBF6"/>
            <w:tcMar>
              <w:top w:w="0" w:type="dxa"/>
              <w:left w:w="70" w:type="dxa"/>
              <w:bottom w:w="0" w:type="dxa"/>
              <w:right w:w="70" w:type="dxa"/>
            </w:tcMar>
            <w:vAlign w:val="center"/>
          </w:tcPr>
          <w:p w:rsidR="00000AA1" w:rsidRDefault="001347DD">
            <w:pPr>
              <w:pBdr>
                <w:top w:val="nil"/>
                <w:left w:val="nil"/>
                <w:bottom w:val="nil"/>
                <w:right w:val="nil"/>
                <w:between w:val="nil"/>
              </w:pBdr>
              <w:spacing w:after="0" w:line="240" w:lineRule="auto"/>
              <w:ind w:left="113" w:right="113"/>
              <w:jc w:val="center"/>
              <w:rPr>
                <w:rFonts w:ascii="Times New Roman" w:eastAsia="Times New Roman" w:hAnsi="Times New Roman" w:cs="Times New Roman"/>
                <w:sz w:val="24"/>
                <w:szCs w:val="24"/>
              </w:rPr>
            </w:pPr>
            <w:r>
              <w:rPr>
                <w:b/>
                <w:sz w:val="20"/>
                <w:szCs w:val="20"/>
              </w:rPr>
              <w:t>Mayor degradación de los ecosistemas</w:t>
            </w:r>
          </w:p>
        </w:tc>
        <w:tc>
          <w:tcPr>
            <w:tcW w:w="322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000AA1" w:rsidRDefault="001347DD">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sz w:val="20"/>
                <w:szCs w:val="20"/>
              </w:rPr>
              <w:t>Según el CEPLAN, entre los años 2015 y 2018 la cantidad de hectáreas de ecosistemas degradados se incrementó en un 4%. Para los próximos años, se estima que la degradación de los ecosistemas continuará creciendo. Esto como consecuencia de actividades como la minería ilegal, la tala ilegal, la siembra de cultivos ilícitos, la extracción y comercio ilegal de especies de flora, fauna y recursos hidrobiológicos. </w:t>
            </w:r>
          </w:p>
        </w:tc>
        <w:tc>
          <w:tcPr>
            <w:tcW w:w="329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000AA1" w:rsidRDefault="001347DD">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sz w:val="20"/>
                <w:szCs w:val="20"/>
              </w:rPr>
              <w:t>Siguiendo la tendencia anterior, el aumento de actividades ilícitas como minería ilegal y tala ilegal genera ganancias ilícitas que posibilita la ocurrencia de casos de lavado de activos. En el caso de la minería ilegal, según estadísticas de la UIF (62 informes de inteligencia), es la actividad que más dinero de origen ilícito concentra (8210 millones de dólares en el periodo 2011-2020). En el caso de la tala ilegal concentra 103 millones de dólares en el mismo periodo (2 informes de inteligencia). </w:t>
            </w:r>
          </w:p>
        </w:tc>
      </w:tr>
      <w:tr w:rsidR="00000AA1" w:rsidTr="00F85F3B">
        <w:trPr>
          <w:trHeight w:val="310"/>
        </w:trPr>
        <w:tc>
          <w:tcPr>
            <w:tcW w:w="503" w:type="dxa"/>
            <w:vMerge w:val="restart"/>
            <w:tcBorders>
              <w:top w:val="single" w:sz="4" w:space="0" w:color="000000"/>
              <w:left w:val="single" w:sz="4" w:space="0" w:color="000000"/>
              <w:right w:val="single" w:sz="4" w:space="0" w:color="000000"/>
            </w:tcBorders>
            <w:shd w:val="clear" w:color="auto" w:fill="DEEBF6"/>
            <w:tcMar>
              <w:top w:w="0" w:type="dxa"/>
              <w:left w:w="70" w:type="dxa"/>
              <w:bottom w:w="0" w:type="dxa"/>
              <w:right w:w="70" w:type="dxa"/>
            </w:tcMar>
            <w:textDirection w:val="btLr"/>
            <w:vAlign w:val="center"/>
          </w:tcPr>
          <w:p w:rsidR="00000AA1" w:rsidRDefault="001347DD">
            <w:pPr>
              <w:pBdr>
                <w:top w:val="nil"/>
                <w:left w:val="nil"/>
                <w:bottom w:val="nil"/>
                <w:right w:val="nil"/>
                <w:between w:val="nil"/>
              </w:pBdr>
              <w:spacing w:after="0" w:line="240" w:lineRule="auto"/>
              <w:ind w:left="113" w:right="113"/>
              <w:jc w:val="center"/>
              <w:rPr>
                <w:rFonts w:ascii="Times New Roman" w:eastAsia="Times New Roman" w:hAnsi="Times New Roman" w:cs="Times New Roman"/>
                <w:sz w:val="24"/>
                <w:szCs w:val="24"/>
              </w:rPr>
            </w:pPr>
            <w:r>
              <w:rPr>
                <w:b/>
                <w:sz w:val="20"/>
                <w:szCs w:val="20"/>
              </w:rPr>
              <w:t>ECONÓMICAS</w:t>
            </w:r>
          </w:p>
        </w:tc>
        <w:tc>
          <w:tcPr>
            <w:tcW w:w="1477" w:type="dxa"/>
            <w:tcBorders>
              <w:top w:val="single" w:sz="4" w:space="0" w:color="000000"/>
              <w:left w:val="single" w:sz="4" w:space="0" w:color="000000"/>
              <w:bottom w:val="single" w:sz="4" w:space="0" w:color="000000"/>
              <w:right w:val="single" w:sz="4" w:space="0" w:color="000000"/>
            </w:tcBorders>
            <w:shd w:val="clear" w:color="auto" w:fill="DEEBF6"/>
            <w:tcMar>
              <w:top w:w="0" w:type="dxa"/>
              <w:left w:w="70" w:type="dxa"/>
              <w:bottom w:w="0" w:type="dxa"/>
              <w:right w:w="70" w:type="dxa"/>
            </w:tcMar>
            <w:vAlign w:val="center"/>
          </w:tcPr>
          <w:p w:rsidR="00000AA1" w:rsidRDefault="001347DD">
            <w:pPr>
              <w:pBdr>
                <w:top w:val="nil"/>
                <w:left w:val="nil"/>
                <w:bottom w:val="nil"/>
                <w:right w:val="nil"/>
                <w:between w:val="nil"/>
              </w:pBdr>
              <w:spacing w:after="0" w:line="240" w:lineRule="auto"/>
              <w:ind w:left="113" w:right="113"/>
              <w:jc w:val="center"/>
              <w:rPr>
                <w:rFonts w:ascii="Times New Roman" w:eastAsia="Times New Roman" w:hAnsi="Times New Roman" w:cs="Times New Roman"/>
                <w:sz w:val="24"/>
                <w:szCs w:val="24"/>
              </w:rPr>
            </w:pPr>
            <w:r>
              <w:rPr>
                <w:b/>
                <w:sz w:val="20"/>
                <w:szCs w:val="20"/>
              </w:rPr>
              <w:t>Dependencia en minerales</w:t>
            </w:r>
          </w:p>
        </w:tc>
        <w:tc>
          <w:tcPr>
            <w:tcW w:w="322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000AA1" w:rsidRDefault="001347DD">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sz w:val="20"/>
                <w:szCs w:val="20"/>
              </w:rPr>
              <w:t>La participación de las exportaciones de minerales respecto a las exportaciones totales representó una tendencia creciente con respecto a los datos reportados en el 2000. Con el impacto de la COVID-19, los expertos estiman que, para el periodo 2022-2030, la dependencia de los recursos minerales en la exportación continuará creciendo. </w:t>
            </w:r>
          </w:p>
        </w:tc>
        <w:tc>
          <w:tcPr>
            <w:tcW w:w="329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000AA1" w:rsidRDefault="001347DD">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sz w:val="20"/>
                <w:szCs w:val="20"/>
              </w:rPr>
              <w:t>El incremento de la dependencia de los minerales y la probable alza de los precios de los mismos, generará que la actividad minera se intensifique, tanto la de tipo legal como ilegal. Al aumentar la actividad ilegal también la probabilidad de que los casos de lavado de activos provenientes de la minería ilegal (tanto dinero como oro ilegal) aumenta. </w:t>
            </w:r>
          </w:p>
          <w:p w:rsidR="00000AA1" w:rsidRDefault="001347DD">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sz w:val="20"/>
                <w:szCs w:val="20"/>
              </w:rPr>
              <w:t>Sin embargo, la dependencia a la exportación de materias primas también generaría una mejora en la economía e ingresos para el país, lo que derivaría en contar con mayores recursos para combatir el LA. </w:t>
            </w:r>
          </w:p>
        </w:tc>
      </w:tr>
      <w:tr w:rsidR="00000AA1" w:rsidTr="00F85F3B">
        <w:trPr>
          <w:trHeight w:val="310"/>
        </w:trPr>
        <w:tc>
          <w:tcPr>
            <w:tcW w:w="503" w:type="dxa"/>
            <w:vMerge/>
            <w:tcBorders>
              <w:top w:val="single" w:sz="4" w:space="0" w:color="000000"/>
              <w:left w:val="single" w:sz="4" w:space="0" w:color="000000"/>
              <w:right w:val="single" w:sz="4" w:space="0" w:color="000000"/>
            </w:tcBorders>
            <w:shd w:val="clear" w:color="auto" w:fill="DEEBF6"/>
            <w:tcMar>
              <w:top w:w="0" w:type="dxa"/>
              <w:left w:w="70" w:type="dxa"/>
              <w:bottom w:w="0" w:type="dxa"/>
              <w:right w:w="70" w:type="dxa"/>
            </w:tcMar>
            <w:textDirection w:val="btLr"/>
            <w:vAlign w:val="center"/>
          </w:tcPr>
          <w:p w:rsidR="00000AA1" w:rsidRDefault="00000AA1" w:rsidP="007B0798">
            <w:pPr>
              <w:widowControl w:val="0"/>
              <w:pBdr>
                <w:top w:val="nil"/>
                <w:left w:val="nil"/>
                <w:bottom w:val="nil"/>
                <w:right w:val="nil"/>
                <w:between w:val="nil"/>
              </w:pBdr>
              <w:spacing w:after="0" w:line="276" w:lineRule="auto"/>
              <w:ind w:left="113" w:right="113"/>
              <w:rPr>
                <w:rFonts w:ascii="Times New Roman" w:eastAsia="Times New Roman" w:hAnsi="Times New Roman" w:cs="Times New Roman"/>
                <w:sz w:val="24"/>
                <w:szCs w:val="24"/>
              </w:rPr>
            </w:pPr>
          </w:p>
        </w:tc>
        <w:tc>
          <w:tcPr>
            <w:tcW w:w="1477" w:type="dxa"/>
            <w:tcBorders>
              <w:top w:val="single" w:sz="4" w:space="0" w:color="000000"/>
              <w:left w:val="single" w:sz="4" w:space="0" w:color="000000"/>
              <w:bottom w:val="single" w:sz="4" w:space="0" w:color="000000"/>
              <w:right w:val="single" w:sz="4" w:space="0" w:color="000000"/>
            </w:tcBorders>
            <w:shd w:val="clear" w:color="auto" w:fill="DEEBF6"/>
            <w:tcMar>
              <w:top w:w="0" w:type="dxa"/>
              <w:left w:w="70" w:type="dxa"/>
              <w:bottom w:w="0" w:type="dxa"/>
              <w:right w:w="70" w:type="dxa"/>
            </w:tcMar>
            <w:vAlign w:val="center"/>
          </w:tcPr>
          <w:p w:rsidR="00000AA1" w:rsidRDefault="001347DD">
            <w:pPr>
              <w:pBdr>
                <w:top w:val="nil"/>
                <w:left w:val="nil"/>
                <w:bottom w:val="nil"/>
                <w:right w:val="nil"/>
                <w:between w:val="nil"/>
              </w:pBdr>
              <w:spacing w:after="0" w:line="240" w:lineRule="auto"/>
              <w:ind w:left="113" w:right="113"/>
              <w:jc w:val="center"/>
              <w:rPr>
                <w:rFonts w:ascii="Times New Roman" w:eastAsia="Times New Roman" w:hAnsi="Times New Roman" w:cs="Times New Roman"/>
                <w:sz w:val="24"/>
                <w:szCs w:val="24"/>
              </w:rPr>
            </w:pPr>
            <w:r>
              <w:rPr>
                <w:b/>
                <w:sz w:val="20"/>
                <w:szCs w:val="20"/>
              </w:rPr>
              <w:t>Flujos de capitales</w:t>
            </w:r>
          </w:p>
        </w:tc>
        <w:tc>
          <w:tcPr>
            <w:tcW w:w="322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000AA1" w:rsidRDefault="001347DD">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sz w:val="20"/>
                <w:szCs w:val="20"/>
              </w:rPr>
              <w:t> Se entiende flujos de capital como las inversiones extranjeras directas, las inversiones de cartera, así como flujos de capital con financiamiento no comercial (préstamos, depósitos, entre otros). Según el CEPLAN, se estima que para el periodo 2022-2030 los flujos de capitales externos continuarán creciendo, pero lentamente. </w:t>
            </w:r>
          </w:p>
        </w:tc>
        <w:tc>
          <w:tcPr>
            <w:tcW w:w="329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000AA1" w:rsidRDefault="00000AA1">
            <w:pPr>
              <w:pBdr>
                <w:top w:val="nil"/>
                <w:left w:val="nil"/>
                <w:bottom w:val="nil"/>
                <w:right w:val="nil"/>
                <w:between w:val="nil"/>
              </w:pBdr>
              <w:spacing w:after="0" w:line="240" w:lineRule="auto"/>
              <w:jc w:val="center"/>
            </w:pPr>
          </w:p>
          <w:p w:rsidR="00000AA1" w:rsidRDefault="001347DD">
            <w:pPr>
              <w:pBdr>
                <w:top w:val="nil"/>
                <w:left w:val="nil"/>
                <w:bottom w:val="nil"/>
                <w:right w:val="nil"/>
                <w:between w:val="nil"/>
              </w:pBdr>
              <w:spacing w:after="0" w:line="240" w:lineRule="auto"/>
              <w:jc w:val="center"/>
              <w:rPr>
                <w:sz w:val="20"/>
                <w:szCs w:val="20"/>
              </w:rPr>
            </w:pPr>
            <w:r>
              <w:rPr>
                <w:sz w:val="20"/>
                <w:szCs w:val="20"/>
              </w:rPr>
              <w:t>El mayor ingreso de capitales al país podría conllevar una mejora en la economía nacional pues habría una mayor inversión, lo que generaría mayores puestos de trabajos para la población, reduciendo su vulnerabilidad frente a las actividades ilícitas. </w:t>
            </w:r>
          </w:p>
          <w:p w:rsidR="00000AA1" w:rsidRDefault="00000AA1">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
          <w:p w:rsidR="00000AA1" w:rsidRDefault="001347DD">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sz w:val="20"/>
                <w:szCs w:val="20"/>
              </w:rPr>
              <w:t xml:space="preserve">Por otro lado, la tendencia también podría implicar un incremento de los flujos financieros ilícitos. Según un estudio de la </w:t>
            </w:r>
            <w:hyperlink r:id="rId13">
              <w:r>
                <w:rPr>
                  <w:sz w:val="20"/>
                  <w:szCs w:val="20"/>
                  <w:u w:val="single"/>
                </w:rPr>
                <w:t xml:space="preserve">UNODC </w:t>
              </w:r>
            </w:hyperlink>
            <w:r>
              <w:rPr>
                <w:sz w:val="20"/>
                <w:szCs w:val="20"/>
              </w:rPr>
              <w:t xml:space="preserve">que abarca el periodo 2012-2021, se afirma que en los años 2020 y 2021 se registraron los </w:t>
            </w:r>
            <w:r>
              <w:rPr>
                <w:sz w:val="20"/>
                <w:szCs w:val="20"/>
              </w:rPr>
              <w:lastRenderedPageBreak/>
              <w:t>mayores niveles de flujos financieros ilícitos (2.45 y 2.27 miles de millones de dólares respectivamente). Estos estuvieron relacionados principalmente a las organizaciones narcotraficantes que envían la droga a mercados en América del Norte, Europa y Asia. </w:t>
            </w:r>
          </w:p>
        </w:tc>
      </w:tr>
      <w:tr w:rsidR="00000AA1" w:rsidTr="00F85F3B">
        <w:trPr>
          <w:trHeight w:val="620"/>
        </w:trPr>
        <w:tc>
          <w:tcPr>
            <w:tcW w:w="503" w:type="dxa"/>
            <w:vMerge/>
            <w:tcBorders>
              <w:top w:val="single" w:sz="4" w:space="0" w:color="000000"/>
              <w:left w:val="single" w:sz="4" w:space="0" w:color="000000"/>
              <w:right w:val="single" w:sz="4" w:space="0" w:color="000000"/>
            </w:tcBorders>
            <w:shd w:val="clear" w:color="auto" w:fill="DEEBF6"/>
            <w:tcMar>
              <w:top w:w="0" w:type="dxa"/>
              <w:left w:w="70" w:type="dxa"/>
              <w:bottom w:w="0" w:type="dxa"/>
              <w:right w:w="70" w:type="dxa"/>
            </w:tcMar>
            <w:textDirection w:val="btLr"/>
            <w:vAlign w:val="center"/>
          </w:tcPr>
          <w:p w:rsidR="00000AA1" w:rsidRDefault="00000AA1" w:rsidP="007B0798">
            <w:pPr>
              <w:widowControl w:val="0"/>
              <w:pBdr>
                <w:top w:val="nil"/>
                <w:left w:val="nil"/>
                <w:bottom w:val="nil"/>
                <w:right w:val="nil"/>
                <w:between w:val="nil"/>
              </w:pBdr>
              <w:spacing w:after="0" w:line="276" w:lineRule="auto"/>
              <w:ind w:left="113" w:right="113"/>
              <w:rPr>
                <w:rFonts w:ascii="Times New Roman" w:eastAsia="Times New Roman" w:hAnsi="Times New Roman" w:cs="Times New Roman"/>
                <w:sz w:val="24"/>
                <w:szCs w:val="24"/>
              </w:rPr>
            </w:pPr>
          </w:p>
        </w:tc>
        <w:tc>
          <w:tcPr>
            <w:tcW w:w="1477" w:type="dxa"/>
            <w:tcBorders>
              <w:top w:val="single" w:sz="4" w:space="0" w:color="000000"/>
              <w:left w:val="single" w:sz="4" w:space="0" w:color="000000"/>
              <w:bottom w:val="single" w:sz="4" w:space="0" w:color="000000"/>
              <w:right w:val="single" w:sz="4" w:space="0" w:color="000000"/>
            </w:tcBorders>
            <w:shd w:val="clear" w:color="auto" w:fill="DEEBF6"/>
            <w:tcMar>
              <w:top w:w="0" w:type="dxa"/>
              <w:left w:w="70" w:type="dxa"/>
              <w:bottom w:w="0" w:type="dxa"/>
              <w:right w:w="70" w:type="dxa"/>
            </w:tcMar>
            <w:vAlign w:val="center"/>
          </w:tcPr>
          <w:p w:rsidR="00000AA1" w:rsidRDefault="001347DD">
            <w:pPr>
              <w:pBdr>
                <w:top w:val="nil"/>
                <w:left w:val="nil"/>
                <w:bottom w:val="nil"/>
                <w:right w:val="nil"/>
                <w:between w:val="nil"/>
              </w:pBdr>
              <w:spacing w:after="0" w:line="240" w:lineRule="auto"/>
              <w:ind w:left="113" w:right="113"/>
              <w:jc w:val="center"/>
              <w:rPr>
                <w:rFonts w:ascii="Times New Roman" w:eastAsia="Times New Roman" w:hAnsi="Times New Roman" w:cs="Times New Roman"/>
                <w:sz w:val="24"/>
                <w:szCs w:val="24"/>
              </w:rPr>
            </w:pPr>
            <w:r>
              <w:rPr>
                <w:b/>
                <w:sz w:val="20"/>
                <w:szCs w:val="20"/>
              </w:rPr>
              <w:t>Informalidad del empleo</w:t>
            </w:r>
          </w:p>
        </w:tc>
        <w:tc>
          <w:tcPr>
            <w:tcW w:w="322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000AA1" w:rsidRDefault="001347DD">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sz w:val="20"/>
                <w:szCs w:val="20"/>
              </w:rPr>
              <w:t>Según el INEI, la informalidad del empleo se había reducido en el periodo 2007-2019, de 80% a 72.7%. Sin embargo, los efectos económicos de la pandemia han generado que la informalidad del empleo aumente hasta el 75.3% durante el 2020. Se estima que este indicador seguirá creciendo durante el periodo 2022-2030 </w:t>
            </w:r>
          </w:p>
        </w:tc>
        <w:tc>
          <w:tcPr>
            <w:tcW w:w="329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000AA1" w:rsidRDefault="001347DD">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sz w:val="20"/>
                <w:szCs w:val="20"/>
              </w:rPr>
              <w:t>Los altos niveles de informalidad del empleo ponen en situación de vulnerabilidad a gran parte de la población. En este escenario de necesidad muchas organizaciones criminales diseñan y ejecutan acciones para captar a este universo de personas e incorporarlas como operadores de sus actividades ilícitas. Así por ejemplo, hay personas que son utilizadas como testaferros con la promesa de recibir un beneficio económico. </w:t>
            </w:r>
          </w:p>
        </w:tc>
      </w:tr>
      <w:tr w:rsidR="00000AA1" w:rsidTr="00F85F3B">
        <w:trPr>
          <w:trHeight w:val="1818"/>
        </w:trPr>
        <w:tc>
          <w:tcPr>
            <w:tcW w:w="503" w:type="dxa"/>
            <w:vMerge/>
            <w:tcBorders>
              <w:top w:val="single" w:sz="4" w:space="0" w:color="000000"/>
              <w:left w:val="single" w:sz="4" w:space="0" w:color="000000"/>
              <w:right w:val="single" w:sz="4" w:space="0" w:color="000000"/>
            </w:tcBorders>
            <w:shd w:val="clear" w:color="auto" w:fill="DEEBF6"/>
            <w:tcMar>
              <w:top w:w="0" w:type="dxa"/>
              <w:left w:w="70" w:type="dxa"/>
              <w:bottom w:w="0" w:type="dxa"/>
              <w:right w:w="70" w:type="dxa"/>
            </w:tcMar>
            <w:textDirection w:val="btLr"/>
            <w:vAlign w:val="center"/>
          </w:tcPr>
          <w:p w:rsidR="00000AA1" w:rsidRDefault="00000AA1" w:rsidP="007B0798">
            <w:pPr>
              <w:widowControl w:val="0"/>
              <w:pBdr>
                <w:top w:val="nil"/>
                <w:left w:val="nil"/>
                <w:bottom w:val="nil"/>
                <w:right w:val="nil"/>
                <w:between w:val="nil"/>
              </w:pBdr>
              <w:spacing w:after="0" w:line="276" w:lineRule="auto"/>
              <w:ind w:left="113" w:right="113"/>
              <w:rPr>
                <w:rFonts w:ascii="Times New Roman" w:eastAsia="Times New Roman" w:hAnsi="Times New Roman" w:cs="Times New Roman"/>
                <w:sz w:val="24"/>
                <w:szCs w:val="24"/>
              </w:rPr>
            </w:pPr>
          </w:p>
        </w:tc>
        <w:tc>
          <w:tcPr>
            <w:tcW w:w="1477" w:type="dxa"/>
            <w:tcBorders>
              <w:top w:val="single" w:sz="4" w:space="0" w:color="000000"/>
              <w:left w:val="single" w:sz="4" w:space="0" w:color="000000"/>
              <w:bottom w:val="single" w:sz="4" w:space="0" w:color="000000"/>
              <w:right w:val="single" w:sz="4" w:space="0" w:color="000000"/>
            </w:tcBorders>
            <w:shd w:val="clear" w:color="auto" w:fill="DEEBF6"/>
            <w:tcMar>
              <w:top w:w="0" w:type="dxa"/>
              <w:left w:w="70" w:type="dxa"/>
              <w:bottom w:w="0" w:type="dxa"/>
              <w:right w:w="70" w:type="dxa"/>
            </w:tcMar>
            <w:vAlign w:val="center"/>
          </w:tcPr>
          <w:p w:rsidR="00000AA1" w:rsidRDefault="001347DD">
            <w:pPr>
              <w:pBdr>
                <w:top w:val="nil"/>
                <w:left w:val="nil"/>
                <w:bottom w:val="nil"/>
                <w:right w:val="nil"/>
                <w:between w:val="nil"/>
              </w:pBdr>
              <w:spacing w:after="0" w:line="240" w:lineRule="auto"/>
              <w:ind w:left="113" w:right="113"/>
              <w:jc w:val="center"/>
              <w:rPr>
                <w:rFonts w:ascii="Times New Roman" w:eastAsia="Times New Roman" w:hAnsi="Times New Roman" w:cs="Times New Roman"/>
                <w:sz w:val="24"/>
                <w:szCs w:val="24"/>
              </w:rPr>
            </w:pPr>
            <w:r>
              <w:rPr>
                <w:b/>
                <w:sz w:val="20"/>
                <w:szCs w:val="20"/>
              </w:rPr>
              <w:t>Integración comercial</w:t>
            </w:r>
          </w:p>
        </w:tc>
        <w:tc>
          <w:tcPr>
            <w:tcW w:w="322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000AA1" w:rsidRDefault="001347DD">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sz w:val="20"/>
                <w:szCs w:val="20"/>
              </w:rPr>
              <w:t>Según el CEPLAN, el grado de apertura comercial (exportaciones más importaciones como porcentaje del PBI) en 2020 fue 37,9%, una tendencia decreciente desde 2011; sin embargo, con respecto a lo reportado a inicios de los años noventa, la tendencia de apertura comercial fue creciente.</w:t>
            </w:r>
          </w:p>
        </w:tc>
        <w:tc>
          <w:tcPr>
            <w:tcW w:w="329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000AA1" w:rsidRDefault="001347DD">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sz w:val="20"/>
                <w:szCs w:val="20"/>
              </w:rPr>
              <w:t>Una mayor integración comercial derivará en un mayor ingreso para el país y dinamización de la economía. </w:t>
            </w:r>
          </w:p>
          <w:p w:rsidR="00000AA1" w:rsidRDefault="001347DD">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sz w:val="20"/>
                <w:szCs w:val="20"/>
              </w:rPr>
              <w:t xml:space="preserve">Sin embargo, la tendencia citada podría generar un mayor riesgo de que se importe/exporte bienes evadiendo el pago de impuestos lo que generará ganancias ilícitas susceptibles de ser lavadas.  En efecto, un fenómeno relacionado con el aumento de la integración comercial es la ocurrencia del denominado </w:t>
            </w:r>
            <w:r>
              <w:rPr>
                <w:i/>
                <w:sz w:val="20"/>
                <w:szCs w:val="20"/>
              </w:rPr>
              <w:t>trade based money laundering</w:t>
            </w:r>
            <w:r>
              <w:rPr>
                <w:sz w:val="20"/>
                <w:szCs w:val="20"/>
              </w:rPr>
              <w:t>, el cual es el proceso de encubrir el producto del delito y el activo (es decir, el movimiento de dinero) utilizando transacciones comerciales para legitimar sus orígenes ilícitos.</w:t>
            </w:r>
          </w:p>
        </w:tc>
      </w:tr>
      <w:tr w:rsidR="00000AA1" w:rsidTr="00F85F3B">
        <w:trPr>
          <w:trHeight w:val="2296"/>
        </w:trPr>
        <w:tc>
          <w:tcPr>
            <w:tcW w:w="503" w:type="dxa"/>
            <w:vMerge/>
            <w:tcBorders>
              <w:top w:val="single" w:sz="4" w:space="0" w:color="000000"/>
              <w:left w:val="single" w:sz="4" w:space="0" w:color="000000"/>
              <w:right w:val="single" w:sz="4" w:space="0" w:color="000000"/>
            </w:tcBorders>
            <w:shd w:val="clear" w:color="auto" w:fill="DEEBF6"/>
            <w:tcMar>
              <w:top w:w="0" w:type="dxa"/>
              <w:left w:w="70" w:type="dxa"/>
              <w:bottom w:w="0" w:type="dxa"/>
              <w:right w:w="70" w:type="dxa"/>
            </w:tcMar>
            <w:textDirection w:val="btLr"/>
            <w:vAlign w:val="center"/>
          </w:tcPr>
          <w:p w:rsidR="00000AA1" w:rsidRDefault="00000AA1" w:rsidP="007B0798">
            <w:pPr>
              <w:widowControl w:val="0"/>
              <w:pBdr>
                <w:top w:val="nil"/>
                <w:left w:val="nil"/>
                <w:bottom w:val="nil"/>
                <w:right w:val="nil"/>
                <w:between w:val="nil"/>
              </w:pBdr>
              <w:spacing w:after="0" w:line="276" w:lineRule="auto"/>
              <w:ind w:left="113" w:right="113"/>
              <w:rPr>
                <w:rFonts w:ascii="Times New Roman" w:eastAsia="Times New Roman" w:hAnsi="Times New Roman" w:cs="Times New Roman"/>
                <w:sz w:val="24"/>
                <w:szCs w:val="24"/>
              </w:rPr>
            </w:pPr>
          </w:p>
        </w:tc>
        <w:tc>
          <w:tcPr>
            <w:tcW w:w="1477" w:type="dxa"/>
            <w:tcBorders>
              <w:top w:val="single" w:sz="4" w:space="0" w:color="000000"/>
              <w:left w:val="single" w:sz="4" w:space="0" w:color="000000"/>
              <w:bottom w:val="single" w:sz="4" w:space="0" w:color="000000"/>
              <w:right w:val="single" w:sz="4" w:space="0" w:color="000000"/>
            </w:tcBorders>
            <w:shd w:val="clear" w:color="auto" w:fill="DEEBF6"/>
            <w:tcMar>
              <w:top w:w="0" w:type="dxa"/>
              <w:left w:w="70" w:type="dxa"/>
              <w:bottom w:w="0" w:type="dxa"/>
              <w:right w:w="70" w:type="dxa"/>
            </w:tcMar>
            <w:vAlign w:val="center"/>
          </w:tcPr>
          <w:p w:rsidR="00000AA1" w:rsidRDefault="001347DD">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b/>
                <w:sz w:val="20"/>
                <w:szCs w:val="20"/>
              </w:rPr>
              <w:t>PBI per cápita</w:t>
            </w:r>
          </w:p>
        </w:tc>
        <w:tc>
          <w:tcPr>
            <w:tcW w:w="322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000AA1" w:rsidRDefault="001347DD">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sz w:val="20"/>
                <w:szCs w:val="20"/>
              </w:rPr>
              <w:t> La pandemia, especialmente durante el año 2020, tuvo un efecto negativo sobre la economía del país (el 2020 se registró una variación negativa de -12.5% en comparación con el año anterior). A pesar de ello, se espera que, para el periodo 2022-2030, el PBI per cápita crezca, pero no tan rápido. </w:t>
            </w:r>
          </w:p>
        </w:tc>
        <w:tc>
          <w:tcPr>
            <w:tcW w:w="329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000AA1" w:rsidRDefault="001347DD">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sz w:val="20"/>
                <w:szCs w:val="20"/>
              </w:rPr>
              <w:t>El crecimiento de la economía nacional, siguiendo la tendencia del PBI per cápita, genera un escenario positivo para la población en general; sin embargo, también plantea retos en materia de control y fiscalización por parte del Estado. Se deben considerar aspectos claves como el ingreso de flujos financieros ilícitos, la proliferación de actividades económicas ilegales que se vean fortalecidas por la estabilidad de la economía y el mercado, entre otros. </w:t>
            </w:r>
          </w:p>
        </w:tc>
      </w:tr>
      <w:tr w:rsidR="00000AA1" w:rsidTr="00F85F3B">
        <w:trPr>
          <w:trHeight w:val="643"/>
        </w:trPr>
        <w:tc>
          <w:tcPr>
            <w:tcW w:w="503" w:type="dxa"/>
            <w:vMerge w:val="restart"/>
            <w:tcBorders>
              <w:left w:val="single" w:sz="4" w:space="0" w:color="000000"/>
              <w:right w:val="single" w:sz="4" w:space="0" w:color="000000"/>
            </w:tcBorders>
            <w:shd w:val="clear" w:color="auto" w:fill="DEEBF6"/>
            <w:tcMar>
              <w:top w:w="0" w:type="dxa"/>
              <w:left w:w="70" w:type="dxa"/>
              <w:bottom w:w="0" w:type="dxa"/>
              <w:right w:w="70" w:type="dxa"/>
            </w:tcMar>
            <w:textDirection w:val="btLr"/>
            <w:vAlign w:val="center"/>
          </w:tcPr>
          <w:p w:rsidR="00000AA1" w:rsidRDefault="001347DD">
            <w:pPr>
              <w:pBdr>
                <w:top w:val="nil"/>
                <w:left w:val="nil"/>
                <w:bottom w:val="nil"/>
                <w:right w:val="nil"/>
                <w:between w:val="nil"/>
              </w:pBdr>
              <w:spacing w:after="0" w:line="240" w:lineRule="auto"/>
              <w:ind w:left="113" w:right="113"/>
              <w:jc w:val="center"/>
              <w:rPr>
                <w:rFonts w:ascii="Times New Roman" w:eastAsia="Times New Roman" w:hAnsi="Times New Roman" w:cs="Times New Roman"/>
                <w:sz w:val="24"/>
                <w:szCs w:val="24"/>
              </w:rPr>
            </w:pPr>
            <w:r>
              <w:rPr>
                <w:b/>
                <w:sz w:val="20"/>
                <w:szCs w:val="20"/>
              </w:rPr>
              <w:t>TECNOLÓGICAS</w:t>
            </w:r>
          </w:p>
        </w:tc>
        <w:tc>
          <w:tcPr>
            <w:tcW w:w="1477" w:type="dxa"/>
            <w:tcBorders>
              <w:top w:val="single" w:sz="4" w:space="0" w:color="000000"/>
              <w:left w:val="single" w:sz="4" w:space="0" w:color="000000"/>
              <w:bottom w:val="single" w:sz="4" w:space="0" w:color="000000"/>
              <w:right w:val="single" w:sz="4" w:space="0" w:color="000000"/>
            </w:tcBorders>
            <w:shd w:val="clear" w:color="auto" w:fill="DEEBF6"/>
            <w:tcMar>
              <w:top w:w="0" w:type="dxa"/>
              <w:left w:w="70" w:type="dxa"/>
              <w:bottom w:w="0" w:type="dxa"/>
              <w:right w:w="70" w:type="dxa"/>
            </w:tcMar>
            <w:vAlign w:val="center"/>
          </w:tcPr>
          <w:p w:rsidR="00000AA1" w:rsidRDefault="001347DD">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b/>
                <w:sz w:val="20"/>
                <w:szCs w:val="20"/>
              </w:rPr>
              <w:t>Comercio electrónico</w:t>
            </w:r>
          </w:p>
        </w:tc>
        <w:tc>
          <w:tcPr>
            <w:tcW w:w="322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000AA1" w:rsidRDefault="001347DD">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sz w:val="20"/>
                <w:szCs w:val="20"/>
              </w:rPr>
              <w:t xml:space="preserve">Según CEPLAN, hasta el 2017, las ventas y compras por Internet (7 % y 20,2 %) habían presentado una tendencia creciente respecto a los datos reportados en 2012 (5,3 % y 9 </w:t>
            </w:r>
            <w:r>
              <w:rPr>
                <w:sz w:val="20"/>
                <w:szCs w:val="20"/>
              </w:rPr>
              <w:lastRenderedPageBreak/>
              <w:t>%). En el período 2013-2019, se presentó una tendencia creciente moderada en el valor total de las ventas online, pasando de 800 a 4000 millones de dólares, siendo que para el 2020 las ventas aumentaran a 6000 millones de dólares, presentando una tasa de crecimiento anual del 50 %. Como impacto de la COVID-19, los expertos estiman que, para el periodo 2022-2030, las compras en línea continuarán creciendo. </w:t>
            </w:r>
          </w:p>
        </w:tc>
        <w:tc>
          <w:tcPr>
            <w:tcW w:w="329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000AA1" w:rsidRDefault="00000AA1"/>
          <w:p w:rsidR="00000AA1" w:rsidRDefault="001347DD">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sz w:val="20"/>
                <w:szCs w:val="20"/>
              </w:rPr>
              <w:t xml:space="preserve">El incremento del comercio electrónico genera mayor fluidez en la cadena de suministros de bienes y </w:t>
            </w:r>
            <w:r>
              <w:rPr>
                <w:sz w:val="20"/>
                <w:szCs w:val="20"/>
              </w:rPr>
              <w:lastRenderedPageBreak/>
              <w:t>servicios al no contar con las limitaciones físicas de las tiendas tradicionales. Ello genera un mayor dinamismo a la economía del país y beneficios para la población. </w:t>
            </w:r>
          </w:p>
          <w:p w:rsidR="00000AA1" w:rsidRDefault="00000AA1"/>
          <w:p w:rsidR="00000AA1" w:rsidRDefault="001347DD">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sz w:val="20"/>
                <w:szCs w:val="20"/>
              </w:rPr>
              <w:t>Sin embargo, gran cantidad de operaciones comerciales electrónicas se realizan utilizando aplicaciones con intermediarios. El problema es que al verse implicados tantos agentes dentro de la operación y sumado al hecho de que los intermediarios no recolectan información sobre el origen del dinero, se dificulta detectar o rastrear la identidad del comprador, lo cual ha sido aprovechado por los grupos criminales para el lavado de activos.</w:t>
            </w:r>
          </w:p>
          <w:p w:rsidR="00000AA1" w:rsidRDefault="001347DD">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sz w:val="20"/>
                <w:szCs w:val="20"/>
              </w:rPr>
              <w:t>Asimismo, al incrementarse el comercio electrónico, aumentan los casos de fraudes o phishing, el cual también podría ser un delito precedente del LA. </w:t>
            </w:r>
          </w:p>
        </w:tc>
      </w:tr>
      <w:tr w:rsidR="00000AA1" w:rsidTr="00F85F3B">
        <w:trPr>
          <w:trHeight w:val="1121"/>
        </w:trPr>
        <w:tc>
          <w:tcPr>
            <w:tcW w:w="503" w:type="dxa"/>
            <w:vMerge/>
            <w:tcBorders>
              <w:left w:val="single" w:sz="4" w:space="0" w:color="000000"/>
              <w:right w:val="single" w:sz="4" w:space="0" w:color="000000"/>
            </w:tcBorders>
            <w:shd w:val="clear" w:color="auto" w:fill="DEEBF6"/>
            <w:tcMar>
              <w:top w:w="0" w:type="dxa"/>
              <w:left w:w="70" w:type="dxa"/>
              <w:bottom w:w="0" w:type="dxa"/>
              <w:right w:w="70" w:type="dxa"/>
            </w:tcMar>
            <w:textDirection w:val="btLr"/>
            <w:vAlign w:val="center"/>
          </w:tcPr>
          <w:p w:rsidR="00000AA1" w:rsidRDefault="00000AA1" w:rsidP="007B0798">
            <w:pPr>
              <w:widowControl w:val="0"/>
              <w:pBdr>
                <w:top w:val="nil"/>
                <w:left w:val="nil"/>
                <w:bottom w:val="nil"/>
                <w:right w:val="nil"/>
                <w:between w:val="nil"/>
              </w:pBdr>
              <w:spacing w:after="0" w:line="276" w:lineRule="auto"/>
              <w:ind w:left="113" w:right="113"/>
              <w:rPr>
                <w:rFonts w:ascii="Times New Roman" w:eastAsia="Times New Roman" w:hAnsi="Times New Roman" w:cs="Times New Roman"/>
                <w:sz w:val="24"/>
                <w:szCs w:val="24"/>
              </w:rPr>
            </w:pPr>
          </w:p>
        </w:tc>
        <w:tc>
          <w:tcPr>
            <w:tcW w:w="1477" w:type="dxa"/>
            <w:tcBorders>
              <w:top w:val="single" w:sz="4" w:space="0" w:color="000000"/>
              <w:left w:val="single" w:sz="4" w:space="0" w:color="000000"/>
              <w:bottom w:val="single" w:sz="4" w:space="0" w:color="000000"/>
              <w:right w:val="single" w:sz="4" w:space="0" w:color="000000"/>
            </w:tcBorders>
            <w:shd w:val="clear" w:color="auto" w:fill="DEEBF6"/>
            <w:tcMar>
              <w:top w:w="0" w:type="dxa"/>
              <w:left w:w="70" w:type="dxa"/>
              <w:bottom w:w="0" w:type="dxa"/>
              <w:right w:w="70" w:type="dxa"/>
            </w:tcMar>
            <w:vAlign w:val="center"/>
          </w:tcPr>
          <w:p w:rsidR="00000AA1" w:rsidRDefault="001347DD">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b/>
                <w:sz w:val="20"/>
                <w:szCs w:val="20"/>
              </w:rPr>
              <w:t>Innovación</w:t>
            </w:r>
          </w:p>
        </w:tc>
        <w:tc>
          <w:tcPr>
            <w:tcW w:w="322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000AA1" w:rsidRDefault="001347DD">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sz w:val="20"/>
                <w:szCs w:val="20"/>
              </w:rPr>
              <w:t>El Índice Global de Innovación (GII) proporciona información sobre aspectos importantes en la innovación como las instituciones, el capital humano e investigación, infraestructura, sofisticación del mercado y de negocios. El Perú ha experimentado una tendencia ascendente en los resultados de este índice durante el periodo 2018-2020.  Se estima que en el periodo 2022-2030, la innovación crecerá puesto que la crisis derivada de la pandemia la ha impulsado en numerosos sectores, nuevos y tradicionales. </w:t>
            </w:r>
          </w:p>
        </w:tc>
        <w:tc>
          <w:tcPr>
            <w:tcW w:w="329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000AA1" w:rsidRDefault="001347DD">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sz w:val="20"/>
                <w:szCs w:val="20"/>
              </w:rPr>
              <w:t>La evolución de la tecnología brindará mayores herramientas y recursos a las organizaciones criminales para facilitar sus actividades delictivas, lo que genera desafíos en materia de LA. Un caso emblemático es la aparición de las Fintech, los activos virtuales y la tecnología de cadena de bloques, los cuales facilitan las transferencias electrónicas.</w:t>
            </w:r>
          </w:p>
          <w:p w:rsidR="00000AA1" w:rsidRDefault="001347DD">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sz w:val="20"/>
                <w:szCs w:val="20"/>
              </w:rPr>
              <w:t> Finalmente, la tecnología brinda al Estado mejores herramientas para combatir las actividades criminales.</w:t>
            </w:r>
          </w:p>
        </w:tc>
      </w:tr>
      <w:tr w:rsidR="00000AA1" w:rsidTr="00F85F3B">
        <w:trPr>
          <w:trHeight w:val="620"/>
        </w:trPr>
        <w:tc>
          <w:tcPr>
            <w:tcW w:w="503" w:type="dxa"/>
            <w:vMerge w:val="restart"/>
            <w:tcBorders>
              <w:left w:val="single" w:sz="4" w:space="0" w:color="000000"/>
              <w:right w:val="single" w:sz="4" w:space="0" w:color="000000"/>
            </w:tcBorders>
            <w:shd w:val="clear" w:color="auto" w:fill="DEEBF6"/>
            <w:tcMar>
              <w:top w:w="0" w:type="dxa"/>
              <w:left w:w="70" w:type="dxa"/>
              <w:bottom w:w="0" w:type="dxa"/>
              <w:right w:w="70" w:type="dxa"/>
            </w:tcMar>
            <w:textDirection w:val="btLr"/>
            <w:vAlign w:val="center"/>
          </w:tcPr>
          <w:p w:rsidR="00000AA1" w:rsidRDefault="001347DD">
            <w:pPr>
              <w:pBdr>
                <w:top w:val="nil"/>
                <w:left w:val="nil"/>
                <w:bottom w:val="nil"/>
                <w:right w:val="nil"/>
                <w:between w:val="nil"/>
              </w:pBdr>
              <w:spacing w:after="0" w:line="240" w:lineRule="auto"/>
              <w:ind w:left="113" w:right="113"/>
              <w:jc w:val="center"/>
              <w:rPr>
                <w:rFonts w:ascii="Times New Roman" w:eastAsia="Times New Roman" w:hAnsi="Times New Roman" w:cs="Times New Roman"/>
                <w:sz w:val="24"/>
                <w:szCs w:val="24"/>
              </w:rPr>
            </w:pPr>
            <w:r>
              <w:rPr>
                <w:b/>
                <w:sz w:val="20"/>
                <w:szCs w:val="20"/>
              </w:rPr>
              <w:t>POLÍTICAS</w:t>
            </w:r>
          </w:p>
        </w:tc>
        <w:tc>
          <w:tcPr>
            <w:tcW w:w="1477" w:type="dxa"/>
            <w:tcBorders>
              <w:top w:val="single" w:sz="4" w:space="0" w:color="000000"/>
              <w:left w:val="single" w:sz="4" w:space="0" w:color="000000"/>
              <w:bottom w:val="single" w:sz="4" w:space="0" w:color="000000"/>
              <w:right w:val="single" w:sz="4" w:space="0" w:color="000000"/>
            </w:tcBorders>
            <w:shd w:val="clear" w:color="auto" w:fill="DEEBF6"/>
            <w:tcMar>
              <w:top w:w="0" w:type="dxa"/>
              <w:left w:w="70" w:type="dxa"/>
              <w:bottom w:w="0" w:type="dxa"/>
              <w:right w:w="70" w:type="dxa"/>
            </w:tcMar>
            <w:vAlign w:val="center"/>
          </w:tcPr>
          <w:p w:rsidR="00000AA1" w:rsidRDefault="001347DD">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b/>
                <w:sz w:val="20"/>
                <w:szCs w:val="20"/>
              </w:rPr>
              <w:t>Economía ilegal política</w:t>
            </w:r>
          </w:p>
        </w:tc>
        <w:tc>
          <w:tcPr>
            <w:tcW w:w="322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000AA1" w:rsidRDefault="001347DD">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sz w:val="20"/>
                <w:szCs w:val="20"/>
              </w:rPr>
              <w:t>La influencia que tienen las economías ilegales en el sistema político, se define como la capacidad de dominio de los capitales obtenidos de la producción y distribución de bienes y servicios prohibidos en la toma de decisiones del sistema político. Con el impacto de la COVID-19, los expertos nacionales estiman que, para el periodo 2022-2030, la economía ilegal continuará teniendo mayor influencia en el crecimiento económico y en el sistema político del país. </w:t>
            </w:r>
          </w:p>
        </w:tc>
        <w:tc>
          <w:tcPr>
            <w:tcW w:w="329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000AA1" w:rsidRDefault="001347DD">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sz w:val="20"/>
                <w:szCs w:val="20"/>
              </w:rPr>
              <w:t>Se deberá monitorear las medidas de control y fiscalización adoptadas con relación a las organizaciones políticas para evitar que aportes de origen ilícito financien sus campañas y en consecuencia que se beneficien en un eventual gobierno. Esta tendencia refleja un especial riesgo para la construcción de la política nacional contra el lavado de activos. </w:t>
            </w:r>
          </w:p>
        </w:tc>
      </w:tr>
      <w:tr w:rsidR="00000AA1" w:rsidTr="00F85F3B">
        <w:trPr>
          <w:trHeight w:val="620"/>
        </w:trPr>
        <w:tc>
          <w:tcPr>
            <w:tcW w:w="503" w:type="dxa"/>
            <w:vMerge/>
            <w:tcBorders>
              <w:left w:val="single" w:sz="4" w:space="0" w:color="000000"/>
              <w:right w:val="single" w:sz="4" w:space="0" w:color="000000"/>
            </w:tcBorders>
            <w:shd w:val="clear" w:color="auto" w:fill="DEEBF6"/>
            <w:tcMar>
              <w:top w:w="0" w:type="dxa"/>
              <w:left w:w="70" w:type="dxa"/>
              <w:bottom w:w="0" w:type="dxa"/>
              <w:right w:w="70" w:type="dxa"/>
            </w:tcMar>
            <w:textDirection w:val="btLr"/>
            <w:vAlign w:val="center"/>
          </w:tcPr>
          <w:p w:rsidR="00000AA1" w:rsidRDefault="00000AA1" w:rsidP="007B0798">
            <w:pPr>
              <w:widowControl w:val="0"/>
              <w:pBdr>
                <w:top w:val="nil"/>
                <w:left w:val="nil"/>
                <w:bottom w:val="nil"/>
                <w:right w:val="nil"/>
                <w:between w:val="nil"/>
              </w:pBdr>
              <w:spacing w:after="0" w:line="276" w:lineRule="auto"/>
              <w:ind w:left="113" w:right="113"/>
              <w:rPr>
                <w:rFonts w:ascii="Times New Roman" w:eastAsia="Times New Roman" w:hAnsi="Times New Roman" w:cs="Times New Roman"/>
                <w:sz w:val="24"/>
                <w:szCs w:val="24"/>
              </w:rPr>
            </w:pPr>
          </w:p>
        </w:tc>
        <w:tc>
          <w:tcPr>
            <w:tcW w:w="1477" w:type="dxa"/>
            <w:tcBorders>
              <w:top w:val="single" w:sz="4" w:space="0" w:color="000000"/>
              <w:left w:val="single" w:sz="4" w:space="0" w:color="000000"/>
              <w:bottom w:val="single" w:sz="4" w:space="0" w:color="000000"/>
              <w:right w:val="single" w:sz="4" w:space="0" w:color="000000"/>
            </w:tcBorders>
            <w:shd w:val="clear" w:color="auto" w:fill="DEEBF6"/>
            <w:tcMar>
              <w:top w:w="0" w:type="dxa"/>
              <w:left w:w="70" w:type="dxa"/>
              <w:bottom w:w="0" w:type="dxa"/>
              <w:right w:w="70" w:type="dxa"/>
            </w:tcMar>
            <w:vAlign w:val="center"/>
          </w:tcPr>
          <w:p w:rsidR="00000AA1" w:rsidRDefault="001347DD">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b/>
                <w:sz w:val="20"/>
                <w:szCs w:val="20"/>
              </w:rPr>
              <w:t>Desconfianza en los poderes del Estado</w:t>
            </w:r>
          </w:p>
        </w:tc>
        <w:tc>
          <w:tcPr>
            <w:tcW w:w="322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000AA1" w:rsidRDefault="001347DD">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sz w:val="20"/>
                <w:szCs w:val="20"/>
              </w:rPr>
              <w:t>Hasta 2020, la desconfianza en los poderes del Estado persistió en niveles elevados, superando el 70 % de la población durante la última década. Así, la desconfianza en el Congreso y en el Poder Judicial (87,9 % y 78,4 %), había presentado una tendencia creciente hasta el 2018, mostrando una leve reducción en los últimos 2 años. De igual forma, la desconfianza en el gobierno regional (76,8 %), la municipalidad provincial (78,8 %) y municipalidad distrital (80,2 %), venía mostrando una tendencia creciente hasta el 2018, aunque presentó una leve reducción en el 2019 y 2020. Sin embargo, la desaprobación de la gestión del gobierno central presenta una tendencia decreciente, pasando de 59,6% en 2015 a 40,6% en 2020. Con el impacto de la COVID-19, los expertos estiman que la desconfianza en los poderes del Estado crecerá en el periodo 2022 – 2030, pero ligeramente. </w:t>
            </w:r>
          </w:p>
        </w:tc>
        <w:tc>
          <w:tcPr>
            <w:tcW w:w="329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000AA1" w:rsidRDefault="001347DD">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sz w:val="20"/>
                <w:szCs w:val="20"/>
              </w:rPr>
              <w:t>La desconfianza en los poderes del Estado afecta directamente la implementación de la política contra el lavado de activos. Parte importante de los objetivos comprende que el ciudadano (sea sujeto obligado o no) participe activamente en la lucha contra este delito en aspectos como la prevención o mediante la denuncia. Si la población no confía en los poderes del Estado, esto podría reducir la eficiencia de las medidas tomadas que consideren la participación activa de la ciudadanía.</w:t>
            </w:r>
          </w:p>
        </w:tc>
      </w:tr>
      <w:tr w:rsidR="00000AA1" w:rsidTr="00D571FC">
        <w:trPr>
          <w:cantSplit/>
          <w:trHeight w:val="7914"/>
        </w:trPr>
        <w:tc>
          <w:tcPr>
            <w:tcW w:w="503" w:type="dxa"/>
            <w:tcBorders>
              <w:top w:val="single" w:sz="4" w:space="0" w:color="000000"/>
              <w:left w:val="single" w:sz="4" w:space="0" w:color="000000"/>
              <w:bottom w:val="single" w:sz="4" w:space="0" w:color="000000"/>
              <w:right w:val="single" w:sz="4" w:space="0" w:color="000000"/>
            </w:tcBorders>
            <w:shd w:val="clear" w:color="auto" w:fill="DEEBF6"/>
            <w:textDirection w:val="btLr"/>
            <w:vAlign w:val="center"/>
          </w:tcPr>
          <w:p w:rsidR="00000AA1" w:rsidRDefault="001347DD">
            <w:pPr>
              <w:pBdr>
                <w:top w:val="nil"/>
                <w:left w:val="nil"/>
                <w:bottom w:val="nil"/>
                <w:right w:val="nil"/>
                <w:between w:val="nil"/>
              </w:pBdr>
              <w:spacing w:after="0" w:line="240" w:lineRule="auto"/>
              <w:ind w:left="113" w:right="113"/>
              <w:jc w:val="center"/>
              <w:rPr>
                <w:rFonts w:ascii="Times New Roman" w:eastAsia="Times New Roman" w:hAnsi="Times New Roman" w:cs="Times New Roman"/>
                <w:sz w:val="24"/>
                <w:szCs w:val="24"/>
              </w:rPr>
            </w:pPr>
            <w:r>
              <w:rPr>
                <w:b/>
                <w:sz w:val="20"/>
                <w:szCs w:val="20"/>
              </w:rPr>
              <w:lastRenderedPageBreak/>
              <w:t>ÉTICA</w:t>
            </w:r>
          </w:p>
        </w:tc>
        <w:tc>
          <w:tcPr>
            <w:tcW w:w="1477" w:type="dxa"/>
            <w:tcBorders>
              <w:top w:val="single" w:sz="4" w:space="0" w:color="000000"/>
              <w:left w:val="single" w:sz="4" w:space="0" w:color="000000"/>
              <w:bottom w:val="single" w:sz="4" w:space="0" w:color="000000"/>
              <w:right w:val="single" w:sz="4" w:space="0" w:color="000000"/>
            </w:tcBorders>
            <w:shd w:val="clear" w:color="auto" w:fill="DEEBF6"/>
            <w:tcMar>
              <w:top w:w="0" w:type="dxa"/>
              <w:left w:w="70" w:type="dxa"/>
              <w:bottom w:w="0" w:type="dxa"/>
              <w:right w:w="70" w:type="dxa"/>
            </w:tcMar>
            <w:vAlign w:val="center"/>
          </w:tcPr>
          <w:p w:rsidR="00000AA1" w:rsidRDefault="001347DD">
            <w:pPr>
              <w:pBdr>
                <w:top w:val="nil"/>
                <w:left w:val="nil"/>
                <w:bottom w:val="nil"/>
                <w:right w:val="nil"/>
                <w:between w:val="nil"/>
              </w:pBdr>
              <w:spacing w:after="0" w:line="240" w:lineRule="auto"/>
              <w:jc w:val="center"/>
              <w:rPr>
                <w:b/>
                <w:sz w:val="20"/>
                <w:szCs w:val="20"/>
              </w:rPr>
            </w:pPr>
            <w:r>
              <w:rPr>
                <w:b/>
                <w:sz w:val="20"/>
                <w:szCs w:val="20"/>
              </w:rPr>
              <w:t>Corrupción</w:t>
            </w:r>
          </w:p>
        </w:tc>
        <w:tc>
          <w:tcPr>
            <w:tcW w:w="322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000AA1" w:rsidRDefault="001347DD">
            <w:pPr>
              <w:pBdr>
                <w:top w:val="nil"/>
                <w:left w:val="nil"/>
                <w:bottom w:val="nil"/>
                <w:right w:val="nil"/>
                <w:between w:val="nil"/>
              </w:pBdr>
              <w:spacing w:after="280" w:line="240" w:lineRule="auto"/>
              <w:jc w:val="center"/>
              <w:rPr>
                <w:sz w:val="20"/>
                <w:szCs w:val="20"/>
              </w:rPr>
            </w:pPr>
            <w:r>
              <w:rPr>
                <w:sz w:val="20"/>
                <w:szCs w:val="20"/>
              </w:rPr>
              <w:t>Según CEPLAN, hasta 2019, las personas que consideraron a la corrupción como el principal problema del país (61,6 %) habían presentado una tendencia creciente comparado con datos registrados en 2008 (23,8 %), aunque el porcentaje se redujo para el 2020 (48,8%).</w:t>
            </w:r>
          </w:p>
          <w:p w:rsidR="00000AA1" w:rsidRDefault="001347DD">
            <w:pPr>
              <w:pBdr>
                <w:top w:val="nil"/>
                <w:left w:val="nil"/>
                <w:bottom w:val="nil"/>
                <w:right w:val="nil"/>
                <w:between w:val="nil"/>
              </w:pBdr>
              <w:spacing w:before="280" w:line="240" w:lineRule="auto"/>
              <w:jc w:val="center"/>
              <w:rPr>
                <w:sz w:val="20"/>
                <w:szCs w:val="20"/>
              </w:rPr>
            </w:pPr>
            <w:r>
              <w:rPr>
                <w:sz w:val="20"/>
                <w:szCs w:val="20"/>
              </w:rPr>
              <w:t xml:space="preserve">Según la Encuesta Nacional de percepción de la Corrupción (Proética) el porcentaje de personas que considera la corrupción como uno de los principales problemas del país ha aumentado de 44% en el 2013 a 62% en el 2019.  </w:t>
            </w:r>
          </w:p>
        </w:tc>
        <w:tc>
          <w:tcPr>
            <w:tcW w:w="329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000AA1" w:rsidRDefault="001347DD">
            <w:pPr>
              <w:spacing w:after="0" w:line="240" w:lineRule="auto"/>
              <w:jc w:val="center"/>
              <w:rPr>
                <w:rFonts w:ascii="Times New Roman" w:eastAsia="Times New Roman" w:hAnsi="Times New Roman" w:cs="Times New Roman"/>
                <w:sz w:val="24"/>
                <w:szCs w:val="24"/>
              </w:rPr>
            </w:pPr>
            <w:r>
              <w:rPr>
                <w:sz w:val="20"/>
                <w:szCs w:val="20"/>
              </w:rPr>
              <w:t>Si bien, desde la percepción de la ciudadanía, la corrupción ha dejado de ser el principal problema del país, es necesario contemplar el riesgo de incremento de este delito en relación al LA.</w:t>
            </w:r>
          </w:p>
          <w:p w:rsidR="00000AA1" w:rsidRDefault="00000AA1">
            <w:pPr>
              <w:spacing w:after="0" w:line="240" w:lineRule="auto"/>
              <w:rPr>
                <w:rFonts w:ascii="Times New Roman" w:eastAsia="Times New Roman" w:hAnsi="Times New Roman" w:cs="Times New Roman"/>
                <w:sz w:val="24"/>
                <w:szCs w:val="24"/>
              </w:rPr>
            </w:pPr>
          </w:p>
          <w:p w:rsidR="00000AA1" w:rsidRDefault="001347DD">
            <w:pPr>
              <w:spacing w:after="0" w:line="240" w:lineRule="auto"/>
              <w:jc w:val="center"/>
              <w:rPr>
                <w:rFonts w:ascii="Times New Roman" w:eastAsia="Times New Roman" w:hAnsi="Times New Roman" w:cs="Times New Roman"/>
                <w:sz w:val="24"/>
                <w:szCs w:val="24"/>
              </w:rPr>
            </w:pPr>
            <w:r>
              <w:rPr>
                <w:sz w:val="20"/>
                <w:szCs w:val="20"/>
              </w:rPr>
              <w:t>Según estadísticas de la UIF, la cantidad de dinero lavado (informes de inteligencia financiera) que proviene de delitos contra la administración pública (entendida como corrupción de funcionarios y enriquecimiento ilícito) durante el periodo 2012-2020 asciende a 1420 millones de dólares. El aumento de los niveles de corrupción representaría una variable importante pues repercutirá en el aumento de casos de lavado de activos. Asimismo, hay que considerar que en los últimos años se han detectado casos emblemáticos de LA relacionados a corrupción que han motivado la creación/modificación de parte del aparato estatal para poder atender dicha problemática (Caso Odebrecht). Según el II Informe de sentencias condenatorias de Lavado de Activos en el Perú, los delitos contra la administración pública ocupan el tercer lugar en el ranking según número de sentencias.</w:t>
            </w:r>
          </w:p>
          <w:p w:rsidR="00000AA1" w:rsidRDefault="00000AA1">
            <w:pPr>
              <w:pBdr>
                <w:top w:val="nil"/>
                <w:left w:val="nil"/>
                <w:bottom w:val="nil"/>
                <w:right w:val="nil"/>
                <w:between w:val="nil"/>
              </w:pBdr>
              <w:spacing w:after="0" w:line="240" w:lineRule="auto"/>
              <w:jc w:val="center"/>
              <w:rPr>
                <w:sz w:val="20"/>
                <w:szCs w:val="20"/>
              </w:rPr>
            </w:pPr>
          </w:p>
        </w:tc>
      </w:tr>
    </w:tbl>
    <w:p w:rsidR="00000AA1" w:rsidRDefault="00000AA1">
      <w:pPr>
        <w:spacing w:after="0" w:line="240" w:lineRule="auto"/>
        <w:ind w:left="576"/>
        <w:jc w:val="both"/>
      </w:pPr>
    </w:p>
    <w:p w:rsidR="00000AA1" w:rsidRDefault="001347DD">
      <w:pPr>
        <w:pStyle w:val="Ttulo3"/>
        <w:numPr>
          <w:ilvl w:val="2"/>
          <w:numId w:val="3"/>
        </w:numPr>
        <w:spacing w:before="0" w:line="240" w:lineRule="auto"/>
        <w:ind w:left="567"/>
        <w:rPr>
          <w:b/>
          <w:color w:val="000000"/>
          <w:sz w:val="22"/>
          <w:szCs w:val="22"/>
        </w:rPr>
      </w:pPr>
      <w:bookmarkStart w:id="7" w:name="_Toc113360605"/>
      <w:r>
        <w:rPr>
          <w:b/>
          <w:color w:val="000000"/>
          <w:sz w:val="22"/>
          <w:szCs w:val="22"/>
        </w:rPr>
        <w:t>Escenarios contextuales</w:t>
      </w:r>
      <w:bookmarkEnd w:id="7"/>
    </w:p>
    <w:p w:rsidR="00000AA1" w:rsidRDefault="00000AA1">
      <w:pPr>
        <w:spacing w:after="0" w:line="240" w:lineRule="auto"/>
      </w:pPr>
    </w:p>
    <w:p w:rsidR="00000AA1" w:rsidRDefault="001347DD">
      <w:pPr>
        <w:spacing w:after="0" w:line="240" w:lineRule="auto"/>
        <w:ind w:left="567"/>
        <w:jc w:val="both"/>
      </w:pPr>
      <w:r>
        <w:t xml:space="preserve">Un escenario es una narración plausible que describe la configuración, a partir de la situación presente, de diversos contextos futuros de escala global que podrán afectar el desarrollo nacional. Para el presente entregable, al igual que en el caso de las tendencias, se tomó en consideración los escenarios que plantea el Observatorio Nacional de Prospectiva del CEPLAN. </w:t>
      </w:r>
    </w:p>
    <w:p w:rsidR="00000AA1" w:rsidRDefault="00000AA1">
      <w:pPr>
        <w:spacing w:after="0" w:line="240" w:lineRule="auto"/>
        <w:ind w:left="567"/>
        <w:jc w:val="both"/>
      </w:pPr>
    </w:p>
    <w:p w:rsidR="00000AA1" w:rsidRDefault="00000AA1">
      <w:pPr>
        <w:spacing w:after="0" w:line="240" w:lineRule="auto"/>
        <w:ind w:left="567"/>
      </w:pPr>
    </w:p>
    <w:tbl>
      <w:tblPr>
        <w:tblStyle w:val="a0"/>
        <w:tblW w:w="8073" w:type="dxa"/>
        <w:tblInd w:w="421" w:type="dxa"/>
        <w:tblLayout w:type="fixed"/>
        <w:tblLook w:val="0400" w:firstRow="0" w:lastRow="0" w:firstColumn="0" w:lastColumn="0" w:noHBand="0" w:noVBand="1"/>
      </w:tblPr>
      <w:tblGrid>
        <w:gridCol w:w="1417"/>
        <w:gridCol w:w="3402"/>
        <w:gridCol w:w="3254"/>
      </w:tblGrid>
      <w:tr w:rsidR="00000AA1">
        <w:trPr>
          <w:trHeight w:val="310"/>
        </w:trPr>
        <w:tc>
          <w:tcPr>
            <w:tcW w:w="1417" w:type="dxa"/>
            <w:tcBorders>
              <w:top w:val="single" w:sz="4" w:space="0" w:color="000000"/>
              <w:left w:val="single" w:sz="4" w:space="0" w:color="000000"/>
              <w:bottom w:val="single" w:sz="4" w:space="0" w:color="000000"/>
              <w:right w:val="single" w:sz="4" w:space="0" w:color="000000"/>
            </w:tcBorders>
            <w:shd w:val="clear" w:color="auto" w:fill="8DB4E2"/>
            <w:tcMar>
              <w:top w:w="0" w:type="dxa"/>
              <w:left w:w="70" w:type="dxa"/>
              <w:bottom w:w="0" w:type="dxa"/>
              <w:right w:w="70" w:type="dxa"/>
            </w:tcMar>
            <w:vAlign w:val="center"/>
          </w:tcPr>
          <w:p w:rsidR="00000AA1" w:rsidRDefault="001347DD">
            <w:pPr>
              <w:spacing w:after="0" w:line="240" w:lineRule="auto"/>
              <w:jc w:val="center"/>
              <w:rPr>
                <w:rFonts w:ascii="Times New Roman" w:eastAsia="Times New Roman" w:hAnsi="Times New Roman" w:cs="Times New Roman"/>
                <w:sz w:val="24"/>
                <w:szCs w:val="24"/>
              </w:rPr>
            </w:pPr>
            <w:r>
              <w:rPr>
                <w:b/>
                <w:sz w:val="20"/>
                <w:szCs w:val="20"/>
              </w:rPr>
              <w:t>Escenario</w:t>
            </w:r>
          </w:p>
        </w:tc>
        <w:tc>
          <w:tcPr>
            <w:tcW w:w="3402" w:type="dxa"/>
            <w:tcBorders>
              <w:top w:val="single" w:sz="4" w:space="0" w:color="000000"/>
              <w:left w:val="single" w:sz="4" w:space="0" w:color="000000"/>
              <w:bottom w:val="single" w:sz="4" w:space="0" w:color="000000"/>
              <w:right w:val="single" w:sz="4" w:space="0" w:color="000000"/>
            </w:tcBorders>
            <w:shd w:val="clear" w:color="auto" w:fill="8DB4E2"/>
            <w:tcMar>
              <w:top w:w="0" w:type="dxa"/>
              <w:left w:w="70" w:type="dxa"/>
              <w:bottom w:w="0" w:type="dxa"/>
              <w:right w:w="70" w:type="dxa"/>
            </w:tcMar>
            <w:vAlign w:val="center"/>
          </w:tcPr>
          <w:p w:rsidR="00000AA1" w:rsidRDefault="001347DD">
            <w:pPr>
              <w:spacing w:after="0" w:line="240" w:lineRule="auto"/>
              <w:jc w:val="center"/>
              <w:rPr>
                <w:rFonts w:ascii="Times New Roman" w:eastAsia="Times New Roman" w:hAnsi="Times New Roman" w:cs="Times New Roman"/>
                <w:sz w:val="24"/>
                <w:szCs w:val="24"/>
              </w:rPr>
            </w:pPr>
            <w:r>
              <w:rPr>
                <w:b/>
                <w:sz w:val="20"/>
                <w:szCs w:val="20"/>
              </w:rPr>
              <w:t>Descripción</w:t>
            </w:r>
          </w:p>
        </w:tc>
        <w:tc>
          <w:tcPr>
            <w:tcW w:w="3254" w:type="dxa"/>
            <w:tcBorders>
              <w:top w:val="single" w:sz="4" w:space="0" w:color="000000"/>
              <w:left w:val="single" w:sz="4" w:space="0" w:color="000000"/>
              <w:bottom w:val="single" w:sz="4" w:space="0" w:color="000000"/>
              <w:right w:val="single" w:sz="4" w:space="0" w:color="000000"/>
            </w:tcBorders>
            <w:shd w:val="clear" w:color="auto" w:fill="8DB4E2"/>
            <w:tcMar>
              <w:top w:w="0" w:type="dxa"/>
              <w:left w:w="70" w:type="dxa"/>
              <w:bottom w:w="0" w:type="dxa"/>
              <w:right w:w="70" w:type="dxa"/>
            </w:tcMar>
            <w:vAlign w:val="center"/>
          </w:tcPr>
          <w:p w:rsidR="00000AA1" w:rsidRDefault="001347DD">
            <w:pPr>
              <w:spacing w:after="0" w:line="240" w:lineRule="auto"/>
              <w:jc w:val="center"/>
              <w:rPr>
                <w:rFonts w:ascii="Times New Roman" w:eastAsia="Times New Roman" w:hAnsi="Times New Roman" w:cs="Times New Roman"/>
                <w:sz w:val="24"/>
                <w:szCs w:val="24"/>
              </w:rPr>
            </w:pPr>
            <w:r>
              <w:rPr>
                <w:b/>
                <w:sz w:val="20"/>
                <w:szCs w:val="20"/>
              </w:rPr>
              <w:t>Relación con la Política</w:t>
            </w:r>
          </w:p>
        </w:tc>
      </w:tr>
      <w:tr w:rsidR="00000AA1">
        <w:trPr>
          <w:trHeight w:val="2007"/>
        </w:trPr>
        <w:tc>
          <w:tcPr>
            <w:tcW w:w="141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000AA1" w:rsidRDefault="001347DD">
            <w:pPr>
              <w:spacing w:after="0" w:line="240" w:lineRule="auto"/>
              <w:jc w:val="center"/>
              <w:rPr>
                <w:rFonts w:ascii="Times New Roman" w:eastAsia="Times New Roman" w:hAnsi="Times New Roman" w:cs="Times New Roman"/>
                <w:sz w:val="24"/>
                <w:szCs w:val="24"/>
              </w:rPr>
            </w:pPr>
            <w:r>
              <w:rPr>
                <w:b/>
                <w:sz w:val="20"/>
                <w:szCs w:val="20"/>
              </w:rPr>
              <w:t>Escenario de crisis económica</w:t>
            </w:r>
          </w:p>
        </w:tc>
        <w:tc>
          <w:tcPr>
            <w:tcW w:w="340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000AA1" w:rsidRDefault="001347DD">
            <w:pPr>
              <w:spacing w:after="0" w:line="240" w:lineRule="auto"/>
              <w:jc w:val="center"/>
              <w:rPr>
                <w:rFonts w:ascii="Times New Roman" w:eastAsia="Times New Roman" w:hAnsi="Times New Roman" w:cs="Times New Roman"/>
                <w:sz w:val="24"/>
                <w:szCs w:val="24"/>
              </w:rPr>
            </w:pPr>
            <w:r>
              <w:rPr>
                <w:sz w:val="20"/>
                <w:szCs w:val="20"/>
              </w:rPr>
              <w:t>Describe el escenario de una gran recesión económica mundial posterior a la expansión de la COVID-19, generado por cambios en la geopolítica, la prolongación de la inestabilidad política de los países, los disturbios sociales, el debilitamiento de la cohesión de la Unión Europea y la intensificación de las tensiones comerciales entre las potencias económicas globales.</w:t>
            </w:r>
          </w:p>
        </w:tc>
        <w:tc>
          <w:tcPr>
            <w:tcW w:w="325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000AA1" w:rsidRDefault="001347DD">
            <w:pPr>
              <w:spacing w:after="0" w:line="240" w:lineRule="auto"/>
              <w:jc w:val="center"/>
              <w:rPr>
                <w:rFonts w:ascii="Times New Roman" w:eastAsia="Times New Roman" w:hAnsi="Times New Roman" w:cs="Times New Roman"/>
                <w:sz w:val="24"/>
                <w:szCs w:val="24"/>
              </w:rPr>
            </w:pPr>
            <w:r>
              <w:rPr>
                <w:sz w:val="20"/>
                <w:szCs w:val="20"/>
              </w:rPr>
              <w:t>El fenómeno del lavado de activos tiene un alcance transnacional, pues en su ejecución pueden interactuar organizaciones o personas de distintos países y regiones. Un escenario de crisis económica mundial constituye un agravante para que este delito (así como los precedentes) prolifere con mayor intensidad. </w:t>
            </w:r>
          </w:p>
        </w:tc>
      </w:tr>
      <w:tr w:rsidR="00000AA1">
        <w:trPr>
          <w:trHeight w:val="1783"/>
        </w:trPr>
        <w:tc>
          <w:tcPr>
            <w:tcW w:w="141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000AA1" w:rsidRDefault="001347DD">
            <w:pPr>
              <w:spacing w:after="0" w:line="240" w:lineRule="auto"/>
              <w:jc w:val="center"/>
              <w:rPr>
                <w:rFonts w:ascii="Times New Roman" w:eastAsia="Times New Roman" w:hAnsi="Times New Roman" w:cs="Times New Roman"/>
                <w:sz w:val="24"/>
                <w:szCs w:val="24"/>
              </w:rPr>
            </w:pPr>
            <w:r>
              <w:rPr>
                <w:b/>
                <w:sz w:val="20"/>
                <w:szCs w:val="20"/>
              </w:rPr>
              <w:lastRenderedPageBreak/>
              <w:t>Escenario de crisis social</w:t>
            </w:r>
          </w:p>
        </w:tc>
        <w:tc>
          <w:tcPr>
            <w:tcW w:w="340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000AA1" w:rsidRDefault="001347DD">
            <w:pPr>
              <w:spacing w:after="0" w:line="240" w:lineRule="auto"/>
              <w:jc w:val="center"/>
              <w:rPr>
                <w:rFonts w:ascii="Times New Roman" w:eastAsia="Times New Roman" w:hAnsi="Times New Roman" w:cs="Times New Roman"/>
                <w:sz w:val="24"/>
                <w:szCs w:val="24"/>
              </w:rPr>
            </w:pPr>
            <w:r>
              <w:rPr>
                <w:sz w:val="20"/>
                <w:szCs w:val="20"/>
              </w:rPr>
              <w:t>Corresponde a un escenario de permanente inestabilidad social en el país, en el cual los ciudadanos han perdido confianza en el sistema político por los escándalos y delitos de corrupción, la desprotección de las autoridades, la desigualdad y la falta de transparencia y efectividad de la gestión de Estado. Ello se refleja en una mayor desaprobación de la gestión del gobierno central y regional, así como en un menor apoyo a la democracia y los partidos políticos.</w:t>
            </w:r>
          </w:p>
        </w:tc>
        <w:tc>
          <w:tcPr>
            <w:tcW w:w="325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000AA1" w:rsidRDefault="001347DD">
            <w:pPr>
              <w:spacing w:after="0" w:line="240" w:lineRule="auto"/>
              <w:jc w:val="center"/>
              <w:rPr>
                <w:rFonts w:ascii="Times New Roman" w:eastAsia="Times New Roman" w:hAnsi="Times New Roman" w:cs="Times New Roman"/>
                <w:sz w:val="24"/>
                <w:szCs w:val="24"/>
              </w:rPr>
            </w:pPr>
            <w:r>
              <w:rPr>
                <w:sz w:val="20"/>
                <w:szCs w:val="20"/>
              </w:rPr>
              <w:t>Un escenario de crisis social, donde prime la desconfianza en el Estado, generaría una mayor incidencia de hechos delictivos. Esta situación aumentaría las probabilidades de que se intensifique el delito de LA.  </w:t>
            </w:r>
          </w:p>
        </w:tc>
      </w:tr>
      <w:tr w:rsidR="00000AA1">
        <w:trPr>
          <w:trHeight w:val="1669"/>
        </w:trPr>
        <w:tc>
          <w:tcPr>
            <w:tcW w:w="141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000AA1" w:rsidRDefault="001347DD">
            <w:pPr>
              <w:spacing w:after="0" w:line="240" w:lineRule="auto"/>
              <w:jc w:val="center"/>
              <w:rPr>
                <w:rFonts w:ascii="Times New Roman" w:eastAsia="Times New Roman" w:hAnsi="Times New Roman" w:cs="Times New Roman"/>
                <w:sz w:val="24"/>
                <w:szCs w:val="24"/>
              </w:rPr>
            </w:pPr>
            <w:r>
              <w:rPr>
                <w:b/>
                <w:sz w:val="20"/>
                <w:szCs w:val="20"/>
              </w:rPr>
              <w:t>Escenario de disrupción tecnológica</w:t>
            </w:r>
          </w:p>
        </w:tc>
        <w:tc>
          <w:tcPr>
            <w:tcW w:w="340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000AA1" w:rsidRDefault="001347DD">
            <w:pPr>
              <w:spacing w:after="0" w:line="240" w:lineRule="auto"/>
              <w:jc w:val="center"/>
              <w:rPr>
                <w:rFonts w:ascii="Times New Roman" w:eastAsia="Times New Roman" w:hAnsi="Times New Roman" w:cs="Times New Roman"/>
                <w:sz w:val="24"/>
                <w:szCs w:val="24"/>
              </w:rPr>
            </w:pPr>
            <w:r>
              <w:rPr>
                <w:sz w:val="20"/>
                <w:szCs w:val="20"/>
              </w:rPr>
              <w:t>Describe un escenario de dinamismo económico y desarrollo nacional, producto del uso de tecnologías como la Inteligencia Artificial, big data, la educación virtual, entre otras. Su implementación es gatillada por la expansión de la COVID-19 que demanda medidas para frenar la tasa de contagios y fomentar el distanciamiento social.</w:t>
            </w:r>
          </w:p>
        </w:tc>
        <w:tc>
          <w:tcPr>
            <w:tcW w:w="325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000AA1" w:rsidRDefault="001347DD">
            <w:pPr>
              <w:spacing w:after="0" w:line="240" w:lineRule="auto"/>
              <w:jc w:val="center"/>
              <w:rPr>
                <w:rFonts w:ascii="Times New Roman" w:eastAsia="Times New Roman" w:hAnsi="Times New Roman" w:cs="Times New Roman"/>
                <w:sz w:val="24"/>
                <w:szCs w:val="24"/>
              </w:rPr>
            </w:pPr>
            <w:r>
              <w:rPr>
                <w:sz w:val="20"/>
                <w:szCs w:val="20"/>
              </w:rPr>
              <w:t>Este escenario tendría un impacto considerable en el problema público y la implementación de la Política Nacional contra el lavado de activos. Plantea nuevos desafíos debido a que el avance de la tecnología genera nuevos mecanismos que pueden ser aprovechados por las organizaciones criminales para lavar el dinero de origen ilícito (activos virtuales, fintech, avance del comercio electrónico, etc.). Sin embargo, también provee nuevas herramientas al Estado para poder hacerle frente a esos retos, usando la tecnología y los nuevos recursos como inteligencia artificial, análisis de big data, entre otros.  </w:t>
            </w:r>
          </w:p>
        </w:tc>
      </w:tr>
    </w:tbl>
    <w:p w:rsidR="00000AA1" w:rsidRDefault="00000AA1">
      <w:pPr>
        <w:spacing w:after="0" w:line="240" w:lineRule="auto"/>
        <w:ind w:left="567"/>
      </w:pPr>
    </w:p>
    <w:p w:rsidR="00000AA1" w:rsidRDefault="00000AA1">
      <w:pPr>
        <w:spacing w:after="0" w:line="240" w:lineRule="auto"/>
        <w:ind w:left="567"/>
      </w:pPr>
    </w:p>
    <w:p w:rsidR="00000AA1" w:rsidRDefault="00000AA1">
      <w:pPr>
        <w:spacing w:after="0" w:line="240" w:lineRule="auto"/>
        <w:ind w:left="567"/>
      </w:pPr>
    </w:p>
    <w:p w:rsidR="00000AA1" w:rsidRDefault="00000AA1">
      <w:pPr>
        <w:spacing w:after="0" w:line="240" w:lineRule="auto"/>
        <w:ind w:left="567"/>
      </w:pPr>
    </w:p>
    <w:p w:rsidR="00000AA1" w:rsidRDefault="001347DD">
      <w:pPr>
        <w:pStyle w:val="Ttulo3"/>
        <w:numPr>
          <w:ilvl w:val="2"/>
          <w:numId w:val="3"/>
        </w:numPr>
        <w:spacing w:before="0" w:line="240" w:lineRule="auto"/>
        <w:ind w:left="567"/>
        <w:rPr>
          <w:b/>
          <w:color w:val="000000"/>
          <w:sz w:val="22"/>
          <w:szCs w:val="22"/>
        </w:rPr>
      </w:pPr>
      <w:bookmarkStart w:id="8" w:name="_Toc113360606"/>
      <w:r>
        <w:rPr>
          <w:b/>
          <w:color w:val="000000"/>
          <w:sz w:val="22"/>
          <w:szCs w:val="22"/>
        </w:rPr>
        <w:t>Matriz de riesgos y oportunidades</w:t>
      </w:r>
      <w:bookmarkEnd w:id="8"/>
    </w:p>
    <w:p w:rsidR="00000AA1" w:rsidRDefault="00000AA1">
      <w:pPr>
        <w:spacing w:after="0" w:line="240" w:lineRule="auto"/>
        <w:ind w:left="1416"/>
      </w:pPr>
    </w:p>
    <w:p w:rsidR="00000AA1" w:rsidRDefault="001347DD">
      <w:pPr>
        <w:spacing w:after="0" w:line="240" w:lineRule="auto"/>
        <w:ind w:left="567"/>
        <w:jc w:val="both"/>
      </w:pPr>
      <w:r>
        <w:t xml:space="preserve">Esta sección contiene los riesgos y oportunidades que se desprenden del análisis realizado a las tendencias y escenarios. Los riesgos implican potenciales situaciones de peligro o circunstancias indeseables que agudizarían el problema público del lavado de activos en el Perú. Por otro lado, las oportunidades son eventos que podrían aportar positivamente en la consecución de la situación futura deseada si son aprovechados oportunamente por las autoridades. </w:t>
      </w:r>
    </w:p>
    <w:p w:rsidR="00000AA1" w:rsidRDefault="00000AA1">
      <w:pPr>
        <w:spacing w:after="0" w:line="240" w:lineRule="auto"/>
        <w:ind w:left="567"/>
        <w:jc w:val="both"/>
      </w:pPr>
    </w:p>
    <w:p w:rsidR="00000AA1" w:rsidRDefault="001347DD">
      <w:pPr>
        <w:spacing w:after="0" w:line="240" w:lineRule="auto"/>
        <w:ind w:left="567"/>
        <w:jc w:val="both"/>
      </w:pPr>
      <w:r>
        <w:t>Luego de la identificación de los riesgos y oportunidades se procede a evaluar la probabilidad e impacto de cada uno de ellos para establecer su nivel de prioridad. Por ello, se ha seguido la siguiente metodología:</w:t>
      </w:r>
    </w:p>
    <w:p w:rsidR="00000AA1" w:rsidRDefault="00000AA1">
      <w:pPr>
        <w:spacing w:after="0" w:line="240" w:lineRule="auto"/>
        <w:ind w:left="567"/>
        <w:jc w:val="both"/>
      </w:pPr>
    </w:p>
    <w:p w:rsidR="00000AA1" w:rsidRDefault="001347DD">
      <w:pPr>
        <w:numPr>
          <w:ilvl w:val="0"/>
          <w:numId w:val="2"/>
        </w:numPr>
        <w:pBdr>
          <w:top w:val="nil"/>
          <w:left w:val="nil"/>
          <w:bottom w:val="nil"/>
          <w:right w:val="nil"/>
          <w:between w:val="nil"/>
        </w:pBdr>
        <w:spacing w:after="0" w:line="240" w:lineRule="auto"/>
        <w:jc w:val="both"/>
      </w:pPr>
      <w:r>
        <w:t>Identificar la probabilidad y el impacto del riesgo u oportunidad de acuerdo a las siguientes escalas:</w:t>
      </w:r>
    </w:p>
    <w:p w:rsidR="00000AA1" w:rsidRDefault="001347DD">
      <w:pPr>
        <w:pBdr>
          <w:top w:val="nil"/>
          <w:left w:val="nil"/>
          <w:bottom w:val="nil"/>
          <w:right w:val="nil"/>
          <w:between w:val="nil"/>
        </w:pBdr>
        <w:spacing w:after="0" w:line="240" w:lineRule="auto"/>
        <w:ind w:left="1440"/>
        <w:jc w:val="both"/>
      </w:pPr>
      <w:r>
        <w:rPr>
          <w:noProof/>
        </w:rPr>
        <w:lastRenderedPageBreak/>
        <w:drawing>
          <wp:inline distT="0" distB="0" distL="0" distR="0" wp14:anchorId="17F79FA2" wp14:editId="11B3C473">
            <wp:extent cx="4615280" cy="122479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615280" cy="1224795"/>
                    </a:xfrm>
                    <a:prstGeom prst="rect">
                      <a:avLst/>
                    </a:prstGeom>
                    <a:ln/>
                  </pic:spPr>
                </pic:pic>
              </a:graphicData>
            </a:graphic>
          </wp:inline>
        </w:drawing>
      </w:r>
    </w:p>
    <w:p w:rsidR="00000AA1" w:rsidRDefault="00000AA1">
      <w:pPr>
        <w:pBdr>
          <w:top w:val="nil"/>
          <w:left w:val="nil"/>
          <w:bottom w:val="nil"/>
          <w:right w:val="nil"/>
          <w:between w:val="nil"/>
        </w:pBdr>
        <w:spacing w:after="0" w:line="240" w:lineRule="auto"/>
        <w:ind w:left="1440"/>
        <w:jc w:val="both"/>
      </w:pPr>
    </w:p>
    <w:p w:rsidR="00000AA1" w:rsidRDefault="001347DD">
      <w:pPr>
        <w:numPr>
          <w:ilvl w:val="0"/>
          <w:numId w:val="2"/>
        </w:numPr>
        <w:pBdr>
          <w:top w:val="nil"/>
          <w:left w:val="nil"/>
          <w:bottom w:val="nil"/>
          <w:right w:val="nil"/>
          <w:between w:val="nil"/>
        </w:pBdr>
        <w:spacing w:after="0" w:line="240" w:lineRule="auto"/>
        <w:jc w:val="both"/>
      </w:pPr>
      <w:r>
        <w:t xml:space="preserve">El siguiente paso es seleccionar aquellos con los puntajes más altos como los prioritarios para considerar en la enunciación de la situación futura deseada. Para ello, se realizará un cruce de ambas variables en un gráfico de dispersión y se asignará un puntaje a cada una de las posibles combinaciones (25).  </w:t>
      </w:r>
    </w:p>
    <w:p w:rsidR="00000AA1" w:rsidRDefault="00000AA1">
      <w:pPr>
        <w:pBdr>
          <w:top w:val="nil"/>
          <w:left w:val="nil"/>
          <w:bottom w:val="nil"/>
          <w:right w:val="nil"/>
          <w:between w:val="nil"/>
        </w:pBdr>
        <w:spacing w:after="0" w:line="240" w:lineRule="auto"/>
        <w:ind w:left="1440"/>
        <w:jc w:val="both"/>
      </w:pPr>
    </w:p>
    <w:p w:rsidR="00000AA1" w:rsidRDefault="001347DD">
      <w:pPr>
        <w:pBdr>
          <w:top w:val="nil"/>
          <w:left w:val="nil"/>
          <w:bottom w:val="nil"/>
          <w:right w:val="nil"/>
          <w:between w:val="nil"/>
        </w:pBdr>
        <w:spacing w:line="240" w:lineRule="auto"/>
        <w:ind w:left="1440"/>
        <w:jc w:val="center"/>
        <w:rPr>
          <w:b/>
          <w:u w:val="single"/>
        </w:rPr>
      </w:pPr>
      <w:r>
        <w:rPr>
          <w:b/>
          <w:u w:val="single"/>
        </w:rPr>
        <w:t>Tabla para la asignación del nivel de prioridad</w:t>
      </w:r>
    </w:p>
    <w:p w:rsidR="00000AA1" w:rsidRDefault="001347DD">
      <w:pPr>
        <w:spacing w:line="240" w:lineRule="auto"/>
        <w:ind w:left="1418"/>
        <w:jc w:val="center"/>
      </w:pPr>
      <w:r>
        <w:rPr>
          <w:noProof/>
        </w:rPr>
        <w:drawing>
          <wp:inline distT="0" distB="0" distL="0" distR="0" wp14:anchorId="388424E7" wp14:editId="40888371">
            <wp:extent cx="3426922" cy="2247583"/>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426922" cy="2247583"/>
                    </a:xfrm>
                    <a:prstGeom prst="rect">
                      <a:avLst/>
                    </a:prstGeom>
                    <a:ln/>
                  </pic:spPr>
                </pic:pic>
              </a:graphicData>
            </a:graphic>
          </wp:inline>
        </w:drawing>
      </w:r>
    </w:p>
    <w:p w:rsidR="00000AA1" w:rsidRDefault="00000AA1">
      <w:pPr>
        <w:spacing w:line="240" w:lineRule="auto"/>
        <w:ind w:left="1418"/>
        <w:jc w:val="center"/>
      </w:pPr>
    </w:p>
    <w:p w:rsidR="00000AA1" w:rsidRDefault="001347DD">
      <w:pPr>
        <w:numPr>
          <w:ilvl w:val="0"/>
          <w:numId w:val="2"/>
        </w:numPr>
        <w:pBdr>
          <w:top w:val="nil"/>
          <w:left w:val="nil"/>
          <w:bottom w:val="nil"/>
          <w:right w:val="nil"/>
          <w:between w:val="nil"/>
        </w:pBdr>
        <w:spacing w:line="240" w:lineRule="auto"/>
        <w:jc w:val="both"/>
      </w:pPr>
      <w:r>
        <w:t xml:space="preserve">De esta manera se le asigna un nivel de prioridad a aquellos cruces que concentran los puntajes más altos (rojo, prioridad muy alta; naranja, prioridad alta; amarilla; prioridad media; verde, prioridad baja). </w:t>
      </w:r>
    </w:p>
    <w:p w:rsidR="00000AA1" w:rsidRDefault="001347DD">
      <w:pPr>
        <w:spacing w:line="240" w:lineRule="auto"/>
        <w:ind w:left="708"/>
        <w:jc w:val="both"/>
        <w:sectPr w:rsidR="00000AA1" w:rsidSect="00511A78">
          <w:footerReference w:type="default" r:id="rId16"/>
          <w:pgSz w:w="11906" w:h="16838"/>
          <w:pgMar w:top="1417" w:right="1701" w:bottom="1417" w:left="1701" w:header="708" w:footer="708" w:gutter="0"/>
          <w:pgNumType w:start="1"/>
          <w:cols w:space="720"/>
          <w:titlePg/>
          <w:docGrid w:linePitch="299"/>
        </w:sectPr>
      </w:pPr>
      <w:r>
        <w:t>En base a la metodología presentada se tuvo el siguiente resultado:</w:t>
      </w:r>
    </w:p>
    <w:p w:rsidR="00000AA1" w:rsidRDefault="001347DD">
      <w:pPr>
        <w:pBdr>
          <w:top w:val="nil"/>
          <w:left w:val="nil"/>
          <w:bottom w:val="nil"/>
          <w:right w:val="nil"/>
          <w:between w:val="nil"/>
        </w:pBdr>
        <w:spacing w:after="0" w:line="240" w:lineRule="auto"/>
        <w:jc w:val="center"/>
        <w:rPr>
          <w:b/>
          <w:u w:val="single"/>
        </w:rPr>
      </w:pPr>
      <w:r>
        <w:rPr>
          <w:b/>
          <w:u w:val="single"/>
        </w:rPr>
        <w:lastRenderedPageBreak/>
        <w:t>MATRIZ DE RIESGOS Y OPORTUNIDADES</w:t>
      </w:r>
    </w:p>
    <w:p w:rsidR="00000AA1" w:rsidRDefault="00000AA1">
      <w:pPr>
        <w:pBdr>
          <w:top w:val="nil"/>
          <w:left w:val="nil"/>
          <w:bottom w:val="nil"/>
          <w:right w:val="nil"/>
          <w:between w:val="nil"/>
        </w:pBdr>
        <w:spacing w:after="0" w:line="240" w:lineRule="auto"/>
        <w:jc w:val="center"/>
        <w:rPr>
          <w:b/>
          <w:u w:val="single"/>
        </w:rPr>
      </w:pPr>
    </w:p>
    <w:p w:rsidR="00000AA1" w:rsidRDefault="00000AA1">
      <w:pPr>
        <w:pBdr>
          <w:top w:val="nil"/>
          <w:left w:val="nil"/>
          <w:bottom w:val="nil"/>
          <w:right w:val="nil"/>
          <w:between w:val="nil"/>
        </w:pBdr>
        <w:spacing w:line="240" w:lineRule="auto"/>
        <w:jc w:val="center"/>
        <w:rPr>
          <w:b/>
          <w:u w:val="single"/>
        </w:rPr>
      </w:pPr>
    </w:p>
    <w:tbl>
      <w:tblPr>
        <w:tblStyle w:val="a1"/>
        <w:tblW w:w="13907" w:type="dxa"/>
        <w:tblInd w:w="0" w:type="dxa"/>
        <w:tblLayout w:type="fixed"/>
        <w:tblLook w:val="0400" w:firstRow="0" w:lastRow="0" w:firstColumn="0" w:lastColumn="0" w:noHBand="0" w:noVBand="1"/>
      </w:tblPr>
      <w:tblGrid>
        <w:gridCol w:w="469"/>
        <w:gridCol w:w="1896"/>
        <w:gridCol w:w="1301"/>
        <w:gridCol w:w="4680"/>
        <w:gridCol w:w="1081"/>
        <w:gridCol w:w="1526"/>
        <w:gridCol w:w="1477"/>
        <w:gridCol w:w="1477"/>
      </w:tblGrid>
      <w:tr w:rsidR="00000AA1">
        <w:trPr>
          <w:trHeight w:val="548"/>
        </w:trPr>
        <w:tc>
          <w:tcPr>
            <w:tcW w:w="469"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000AA1" w:rsidRDefault="001347DD">
            <w:pPr>
              <w:spacing w:after="0" w:line="240" w:lineRule="auto"/>
              <w:jc w:val="center"/>
              <w:rPr>
                <w:b/>
                <w:sz w:val="20"/>
                <w:szCs w:val="20"/>
              </w:rPr>
            </w:pPr>
            <w:r>
              <w:rPr>
                <w:b/>
                <w:sz w:val="20"/>
                <w:szCs w:val="20"/>
              </w:rPr>
              <w:t>N°</w:t>
            </w:r>
          </w:p>
        </w:tc>
        <w:tc>
          <w:tcPr>
            <w:tcW w:w="1896" w:type="dxa"/>
            <w:tcBorders>
              <w:top w:val="single" w:sz="4" w:space="0" w:color="000000"/>
              <w:left w:val="nil"/>
              <w:bottom w:val="single" w:sz="4" w:space="0" w:color="000000"/>
              <w:right w:val="single" w:sz="4" w:space="0" w:color="000000"/>
            </w:tcBorders>
            <w:shd w:val="clear" w:color="auto" w:fill="B8CCE4"/>
            <w:vAlign w:val="center"/>
          </w:tcPr>
          <w:p w:rsidR="00000AA1" w:rsidRDefault="001347DD">
            <w:pPr>
              <w:spacing w:after="0" w:line="240" w:lineRule="auto"/>
              <w:jc w:val="center"/>
              <w:rPr>
                <w:b/>
                <w:sz w:val="20"/>
                <w:szCs w:val="20"/>
              </w:rPr>
            </w:pPr>
            <w:r>
              <w:rPr>
                <w:b/>
                <w:sz w:val="20"/>
                <w:szCs w:val="20"/>
              </w:rPr>
              <w:t>Tendencia/Escenario en el que se enmarca</w:t>
            </w:r>
          </w:p>
        </w:tc>
        <w:tc>
          <w:tcPr>
            <w:tcW w:w="1301" w:type="dxa"/>
            <w:tcBorders>
              <w:top w:val="single" w:sz="4" w:space="0" w:color="000000"/>
              <w:left w:val="nil"/>
              <w:bottom w:val="single" w:sz="4" w:space="0" w:color="000000"/>
              <w:right w:val="single" w:sz="4" w:space="0" w:color="000000"/>
            </w:tcBorders>
            <w:shd w:val="clear" w:color="auto" w:fill="B8CCE4"/>
            <w:vAlign w:val="center"/>
          </w:tcPr>
          <w:p w:rsidR="00000AA1" w:rsidRDefault="001347DD">
            <w:pPr>
              <w:spacing w:after="0" w:line="240" w:lineRule="auto"/>
              <w:jc w:val="center"/>
              <w:rPr>
                <w:b/>
                <w:sz w:val="20"/>
                <w:szCs w:val="20"/>
              </w:rPr>
            </w:pPr>
            <w:r>
              <w:rPr>
                <w:b/>
                <w:sz w:val="20"/>
                <w:szCs w:val="20"/>
              </w:rPr>
              <w:t>¿Riesgo u Oportunidad?</w:t>
            </w:r>
          </w:p>
        </w:tc>
        <w:tc>
          <w:tcPr>
            <w:tcW w:w="4680" w:type="dxa"/>
            <w:tcBorders>
              <w:top w:val="single" w:sz="4" w:space="0" w:color="000000"/>
              <w:left w:val="nil"/>
              <w:bottom w:val="single" w:sz="4" w:space="0" w:color="000000"/>
              <w:right w:val="single" w:sz="4" w:space="0" w:color="000000"/>
            </w:tcBorders>
            <w:shd w:val="clear" w:color="auto" w:fill="B8CCE4"/>
            <w:vAlign w:val="center"/>
          </w:tcPr>
          <w:p w:rsidR="00000AA1" w:rsidRDefault="001347DD">
            <w:pPr>
              <w:spacing w:after="0" w:line="240" w:lineRule="auto"/>
              <w:jc w:val="center"/>
              <w:rPr>
                <w:b/>
                <w:sz w:val="20"/>
                <w:szCs w:val="20"/>
              </w:rPr>
            </w:pPr>
            <w:r>
              <w:rPr>
                <w:b/>
                <w:sz w:val="20"/>
                <w:szCs w:val="20"/>
              </w:rPr>
              <w:t>SITUACIÓN</w:t>
            </w:r>
          </w:p>
        </w:tc>
        <w:tc>
          <w:tcPr>
            <w:tcW w:w="1081" w:type="dxa"/>
            <w:tcBorders>
              <w:top w:val="single" w:sz="4" w:space="0" w:color="000000"/>
              <w:left w:val="nil"/>
              <w:bottom w:val="single" w:sz="4" w:space="0" w:color="000000"/>
              <w:right w:val="single" w:sz="4" w:space="0" w:color="000000"/>
            </w:tcBorders>
            <w:shd w:val="clear" w:color="auto" w:fill="B8CCE4"/>
            <w:vAlign w:val="center"/>
          </w:tcPr>
          <w:p w:rsidR="00000AA1" w:rsidRDefault="001347DD">
            <w:pPr>
              <w:spacing w:after="0" w:line="240" w:lineRule="auto"/>
              <w:jc w:val="center"/>
              <w:rPr>
                <w:b/>
                <w:sz w:val="20"/>
                <w:szCs w:val="20"/>
              </w:rPr>
            </w:pPr>
            <w:r>
              <w:rPr>
                <w:b/>
                <w:sz w:val="20"/>
                <w:szCs w:val="20"/>
              </w:rPr>
              <w:t>IMPACTO</w:t>
            </w:r>
          </w:p>
        </w:tc>
        <w:tc>
          <w:tcPr>
            <w:tcW w:w="1526" w:type="dxa"/>
            <w:tcBorders>
              <w:top w:val="single" w:sz="4" w:space="0" w:color="000000"/>
              <w:left w:val="nil"/>
              <w:bottom w:val="single" w:sz="4" w:space="0" w:color="000000"/>
              <w:right w:val="single" w:sz="4" w:space="0" w:color="000000"/>
            </w:tcBorders>
            <w:shd w:val="clear" w:color="auto" w:fill="B8CCE4"/>
            <w:vAlign w:val="center"/>
          </w:tcPr>
          <w:p w:rsidR="00000AA1" w:rsidRDefault="001347DD">
            <w:pPr>
              <w:spacing w:after="0" w:line="240" w:lineRule="auto"/>
              <w:jc w:val="center"/>
              <w:rPr>
                <w:b/>
                <w:sz w:val="20"/>
                <w:szCs w:val="20"/>
              </w:rPr>
            </w:pPr>
            <w:r>
              <w:rPr>
                <w:b/>
                <w:sz w:val="20"/>
                <w:szCs w:val="20"/>
              </w:rPr>
              <w:t>PROBABILIDAD</w:t>
            </w:r>
          </w:p>
        </w:tc>
        <w:tc>
          <w:tcPr>
            <w:tcW w:w="1477" w:type="dxa"/>
            <w:tcBorders>
              <w:top w:val="single" w:sz="4" w:space="0" w:color="000000"/>
              <w:left w:val="nil"/>
              <w:bottom w:val="single" w:sz="4" w:space="0" w:color="000000"/>
              <w:right w:val="single" w:sz="4" w:space="0" w:color="000000"/>
            </w:tcBorders>
            <w:shd w:val="clear" w:color="auto" w:fill="B8CCE4"/>
            <w:vAlign w:val="center"/>
          </w:tcPr>
          <w:p w:rsidR="00000AA1" w:rsidRDefault="001347DD">
            <w:pPr>
              <w:spacing w:after="0" w:line="240" w:lineRule="auto"/>
              <w:jc w:val="center"/>
              <w:rPr>
                <w:b/>
                <w:sz w:val="20"/>
                <w:szCs w:val="20"/>
              </w:rPr>
            </w:pPr>
            <w:r>
              <w:rPr>
                <w:b/>
                <w:sz w:val="20"/>
                <w:szCs w:val="20"/>
              </w:rPr>
              <w:t>Puntaje</w:t>
            </w:r>
          </w:p>
        </w:tc>
        <w:tc>
          <w:tcPr>
            <w:tcW w:w="1477" w:type="dxa"/>
            <w:tcBorders>
              <w:top w:val="single" w:sz="4" w:space="0" w:color="000000"/>
              <w:left w:val="nil"/>
              <w:bottom w:val="single" w:sz="4" w:space="0" w:color="000000"/>
              <w:right w:val="single" w:sz="4" w:space="0" w:color="000000"/>
            </w:tcBorders>
            <w:shd w:val="clear" w:color="auto" w:fill="B8CCE4"/>
            <w:vAlign w:val="center"/>
          </w:tcPr>
          <w:p w:rsidR="00000AA1" w:rsidRDefault="001347DD">
            <w:pPr>
              <w:spacing w:after="0" w:line="240" w:lineRule="auto"/>
              <w:jc w:val="center"/>
              <w:rPr>
                <w:b/>
                <w:sz w:val="20"/>
                <w:szCs w:val="20"/>
              </w:rPr>
            </w:pPr>
            <w:r>
              <w:rPr>
                <w:b/>
                <w:sz w:val="20"/>
                <w:szCs w:val="20"/>
              </w:rPr>
              <w:t>Prioridad</w:t>
            </w:r>
          </w:p>
        </w:tc>
      </w:tr>
      <w:tr w:rsidR="00000AA1">
        <w:trPr>
          <w:trHeight w:val="1393"/>
        </w:trPr>
        <w:tc>
          <w:tcPr>
            <w:tcW w:w="469" w:type="dxa"/>
            <w:tcBorders>
              <w:top w:val="nil"/>
              <w:left w:val="single" w:sz="4" w:space="0" w:color="000000"/>
              <w:bottom w:val="single" w:sz="4" w:space="0" w:color="000000"/>
              <w:right w:val="single" w:sz="4" w:space="0" w:color="000000"/>
            </w:tcBorders>
            <w:shd w:val="clear" w:color="auto" w:fill="auto"/>
            <w:vAlign w:val="center"/>
          </w:tcPr>
          <w:p w:rsidR="00000AA1" w:rsidRDefault="001347DD">
            <w:pPr>
              <w:spacing w:after="0" w:line="240" w:lineRule="auto"/>
              <w:jc w:val="center"/>
              <w:rPr>
                <w:b/>
                <w:sz w:val="20"/>
                <w:szCs w:val="20"/>
              </w:rPr>
            </w:pPr>
            <w:r>
              <w:rPr>
                <w:b/>
                <w:sz w:val="20"/>
                <w:szCs w:val="20"/>
              </w:rPr>
              <w:t>1</w:t>
            </w:r>
          </w:p>
        </w:tc>
        <w:tc>
          <w:tcPr>
            <w:tcW w:w="1896" w:type="dxa"/>
            <w:tcBorders>
              <w:top w:val="nil"/>
              <w:left w:val="nil"/>
              <w:bottom w:val="single" w:sz="4" w:space="0" w:color="000000"/>
              <w:right w:val="single" w:sz="4" w:space="0" w:color="000000"/>
            </w:tcBorders>
            <w:shd w:val="clear" w:color="auto" w:fill="auto"/>
            <w:vAlign w:val="center"/>
          </w:tcPr>
          <w:p w:rsidR="00000AA1" w:rsidRPr="00172E19" w:rsidRDefault="001347DD">
            <w:pPr>
              <w:spacing w:after="0" w:line="240" w:lineRule="auto"/>
              <w:jc w:val="center"/>
              <w:rPr>
                <w:b/>
                <w:sz w:val="20"/>
                <w:szCs w:val="20"/>
              </w:rPr>
            </w:pPr>
            <w:r w:rsidRPr="00172E19">
              <w:rPr>
                <w:b/>
                <w:sz w:val="20"/>
                <w:szCs w:val="20"/>
              </w:rPr>
              <w:t>Hechos delictivos</w:t>
            </w:r>
          </w:p>
        </w:tc>
        <w:tc>
          <w:tcPr>
            <w:tcW w:w="1301" w:type="dxa"/>
            <w:tcBorders>
              <w:top w:val="nil"/>
              <w:left w:val="nil"/>
              <w:bottom w:val="single" w:sz="4" w:space="0" w:color="000000"/>
              <w:right w:val="single" w:sz="4" w:space="0" w:color="000000"/>
            </w:tcBorders>
            <w:shd w:val="clear" w:color="auto" w:fill="auto"/>
            <w:vAlign w:val="center"/>
          </w:tcPr>
          <w:p w:rsidR="00000AA1" w:rsidRPr="00172E19" w:rsidRDefault="001347DD">
            <w:pPr>
              <w:spacing w:after="0" w:line="240" w:lineRule="auto"/>
              <w:jc w:val="center"/>
              <w:rPr>
                <w:b/>
                <w:sz w:val="20"/>
                <w:szCs w:val="20"/>
              </w:rPr>
            </w:pPr>
            <w:r w:rsidRPr="00172E19">
              <w:rPr>
                <w:b/>
                <w:sz w:val="20"/>
                <w:szCs w:val="20"/>
              </w:rPr>
              <w:t xml:space="preserve">Riesgo </w:t>
            </w:r>
          </w:p>
        </w:tc>
        <w:tc>
          <w:tcPr>
            <w:tcW w:w="4680" w:type="dxa"/>
            <w:tcBorders>
              <w:top w:val="nil"/>
              <w:left w:val="nil"/>
              <w:bottom w:val="single" w:sz="4" w:space="0" w:color="000000"/>
              <w:right w:val="single" w:sz="4" w:space="0" w:color="000000"/>
            </w:tcBorders>
            <w:shd w:val="clear" w:color="auto" w:fill="auto"/>
            <w:vAlign w:val="center"/>
          </w:tcPr>
          <w:p w:rsidR="00000AA1" w:rsidRPr="00172E19" w:rsidRDefault="001347DD" w:rsidP="00EF7ECD">
            <w:pPr>
              <w:spacing w:after="0" w:line="240" w:lineRule="auto"/>
              <w:jc w:val="center"/>
              <w:rPr>
                <w:sz w:val="20"/>
                <w:szCs w:val="20"/>
              </w:rPr>
            </w:pPr>
            <w:r w:rsidRPr="00172E19">
              <w:rPr>
                <w:sz w:val="20"/>
                <w:szCs w:val="20"/>
              </w:rPr>
              <w:t>Que ante una tendencia de incremento de los hechos delictivos</w:t>
            </w:r>
            <w:r w:rsidR="00EF7ECD" w:rsidRPr="00172E19">
              <w:rPr>
                <w:sz w:val="20"/>
                <w:szCs w:val="20"/>
              </w:rPr>
              <w:t xml:space="preserve"> </w:t>
            </w:r>
            <w:r w:rsidRPr="00172E19">
              <w:rPr>
                <w:sz w:val="20"/>
                <w:szCs w:val="20"/>
              </w:rPr>
              <w:t>en nuestro país</w:t>
            </w:r>
            <w:r w:rsidR="00EF7ECD" w:rsidRPr="00172E19">
              <w:rPr>
                <w:sz w:val="20"/>
                <w:szCs w:val="20"/>
              </w:rPr>
              <w:t xml:space="preserve"> (entre ellos</w:t>
            </w:r>
            <w:r w:rsidR="00C94A1C" w:rsidRPr="00172E19">
              <w:rPr>
                <w:sz w:val="20"/>
                <w:szCs w:val="20"/>
              </w:rPr>
              <w:t>,</w:t>
            </w:r>
            <w:r w:rsidR="00EF7ECD" w:rsidRPr="00172E19">
              <w:rPr>
                <w:sz w:val="20"/>
                <w:szCs w:val="20"/>
              </w:rPr>
              <w:t xml:space="preserve"> los principales delitos identificados en la ENR 2021: minería ilegal, delitos contra la administración pública, TID, delitos tributarios, delitos contra el patrimonio y delitos aduaneros)</w:t>
            </w:r>
            <w:r w:rsidRPr="00172E19">
              <w:rPr>
                <w:sz w:val="20"/>
                <w:szCs w:val="20"/>
              </w:rPr>
              <w:t xml:space="preserve"> </w:t>
            </w:r>
            <w:r w:rsidR="002476F2" w:rsidRPr="00172E19">
              <w:rPr>
                <w:sz w:val="20"/>
                <w:szCs w:val="20"/>
              </w:rPr>
              <w:t>ocurra</w:t>
            </w:r>
            <w:r w:rsidRPr="00172E19">
              <w:rPr>
                <w:sz w:val="20"/>
                <w:szCs w:val="20"/>
              </w:rPr>
              <w:t xml:space="preserve"> en paralelo un incremento de los casos de lavado de activos; ya que el delincuente o las organizaciones criminales buscarán insertar el dinero ilícito en la economía formal del país. </w:t>
            </w:r>
          </w:p>
        </w:tc>
        <w:tc>
          <w:tcPr>
            <w:tcW w:w="1081" w:type="dxa"/>
            <w:tcBorders>
              <w:top w:val="nil"/>
              <w:left w:val="nil"/>
              <w:bottom w:val="single" w:sz="4" w:space="0" w:color="000000"/>
              <w:right w:val="single" w:sz="4" w:space="0" w:color="000000"/>
            </w:tcBorders>
            <w:shd w:val="clear" w:color="auto" w:fill="auto"/>
            <w:vAlign w:val="center"/>
          </w:tcPr>
          <w:p w:rsidR="00000AA1" w:rsidRPr="00172E19" w:rsidRDefault="001347DD">
            <w:pPr>
              <w:spacing w:after="0" w:line="240" w:lineRule="auto"/>
              <w:jc w:val="center"/>
              <w:rPr>
                <w:rFonts w:ascii="Arial Narrow" w:eastAsia="Arial Narrow" w:hAnsi="Arial Narrow" w:cs="Arial Narrow"/>
                <w:sz w:val="20"/>
                <w:szCs w:val="20"/>
              </w:rPr>
            </w:pPr>
            <w:r w:rsidRPr="00172E19">
              <w:rPr>
                <w:rFonts w:ascii="Arial Narrow" w:eastAsia="Arial Narrow" w:hAnsi="Arial Narrow" w:cs="Arial Narrow"/>
                <w:sz w:val="20"/>
                <w:szCs w:val="20"/>
              </w:rPr>
              <w:t>Extremo</w:t>
            </w:r>
          </w:p>
        </w:tc>
        <w:tc>
          <w:tcPr>
            <w:tcW w:w="1526" w:type="dxa"/>
            <w:tcBorders>
              <w:top w:val="nil"/>
              <w:left w:val="nil"/>
              <w:bottom w:val="single" w:sz="4" w:space="0" w:color="000000"/>
              <w:right w:val="single" w:sz="4" w:space="0" w:color="000000"/>
            </w:tcBorders>
            <w:shd w:val="clear" w:color="auto" w:fill="auto"/>
            <w:vAlign w:val="center"/>
          </w:tcPr>
          <w:p w:rsidR="00000AA1" w:rsidRPr="00172E19" w:rsidRDefault="001347DD">
            <w:pPr>
              <w:spacing w:after="0" w:line="240" w:lineRule="auto"/>
              <w:jc w:val="center"/>
              <w:rPr>
                <w:rFonts w:ascii="Arial Narrow" w:eastAsia="Arial Narrow" w:hAnsi="Arial Narrow" w:cs="Arial Narrow"/>
                <w:sz w:val="20"/>
                <w:szCs w:val="20"/>
              </w:rPr>
            </w:pPr>
            <w:r w:rsidRPr="00172E19">
              <w:rPr>
                <w:rFonts w:ascii="Arial Narrow" w:eastAsia="Arial Narrow" w:hAnsi="Arial Narrow" w:cs="Arial Narrow"/>
                <w:sz w:val="20"/>
                <w:szCs w:val="20"/>
              </w:rPr>
              <w:t>Alta</w:t>
            </w:r>
          </w:p>
        </w:tc>
        <w:tc>
          <w:tcPr>
            <w:tcW w:w="1477" w:type="dxa"/>
            <w:tcBorders>
              <w:top w:val="single" w:sz="4" w:space="0" w:color="000000"/>
              <w:left w:val="single" w:sz="4" w:space="0" w:color="000000"/>
              <w:bottom w:val="single" w:sz="4" w:space="0" w:color="000000"/>
              <w:right w:val="single" w:sz="4" w:space="0" w:color="000000"/>
            </w:tcBorders>
            <w:shd w:val="clear" w:color="auto" w:fill="FF0000"/>
            <w:vAlign w:val="center"/>
          </w:tcPr>
          <w:p w:rsidR="00000AA1" w:rsidRDefault="001347DD">
            <w:pPr>
              <w:spacing w:after="0" w:line="240" w:lineRule="auto"/>
              <w:jc w:val="center"/>
              <w:rPr>
                <w:rFonts w:ascii="Arial Narrow" w:eastAsia="Arial Narrow" w:hAnsi="Arial Narrow" w:cs="Arial Narrow"/>
                <w:sz w:val="20"/>
                <w:szCs w:val="20"/>
              </w:rPr>
            </w:pPr>
            <w:r>
              <w:rPr>
                <w:rFonts w:ascii="Arial Narrow" w:eastAsia="Arial Narrow" w:hAnsi="Arial Narrow" w:cs="Arial Narrow"/>
                <w:sz w:val="20"/>
                <w:szCs w:val="20"/>
              </w:rPr>
              <w:t>24</w:t>
            </w:r>
          </w:p>
        </w:tc>
        <w:tc>
          <w:tcPr>
            <w:tcW w:w="1477" w:type="dxa"/>
            <w:tcBorders>
              <w:top w:val="nil"/>
              <w:left w:val="nil"/>
              <w:bottom w:val="single" w:sz="4" w:space="0" w:color="000000"/>
              <w:right w:val="single" w:sz="4" w:space="0" w:color="000000"/>
            </w:tcBorders>
            <w:shd w:val="clear" w:color="auto" w:fill="auto"/>
            <w:vAlign w:val="center"/>
          </w:tcPr>
          <w:p w:rsidR="00000AA1" w:rsidRDefault="001347DD">
            <w:pPr>
              <w:spacing w:after="0" w:line="240" w:lineRule="auto"/>
              <w:jc w:val="center"/>
              <w:rPr>
                <w:rFonts w:ascii="Arial Narrow" w:eastAsia="Arial Narrow" w:hAnsi="Arial Narrow" w:cs="Arial Narrow"/>
                <w:sz w:val="20"/>
                <w:szCs w:val="20"/>
              </w:rPr>
            </w:pPr>
            <w:r>
              <w:rPr>
                <w:rFonts w:ascii="Arial Narrow" w:eastAsia="Arial Narrow" w:hAnsi="Arial Narrow" w:cs="Arial Narrow"/>
                <w:sz w:val="20"/>
                <w:szCs w:val="20"/>
              </w:rPr>
              <w:t>Muy alta</w:t>
            </w:r>
          </w:p>
        </w:tc>
      </w:tr>
      <w:tr w:rsidR="00000AA1">
        <w:trPr>
          <w:trHeight w:val="1379"/>
        </w:trPr>
        <w:tc>
          <w:tcPr>
            <w:tcW w:w="469" w:type="dxa"/>
            <w:tcBorders>
              <w:top w:val="nil"/>
              <w:left w:val="single" w:sz="4" w:space="0" w:color="000000"/>
              <w:bottom w:val="single" w:sz="4" w:space="0" w:color="000000"/>
              <w:right w:val="single" w:sz="4" w:space="0" w:color="000000"/>
            </w:tcBorders>
            <w:shd w:val="clear" w:color="auto" w:fill="auto"/>
            <w:vAlign w:val="center"/>
          </w:tcPr>
          <w:p w:rsidR="00000AA1" w:rsidRDefault="001347DD">
            <w:pPr>
              <w:spacing w:after="0" w:line="240" w:lineRule="auto"/>
              <w:jc w:val="center"/>
              <w:rPr>
                <w:b/>
                <w:sz w:val="20"/>
                <w:szCs w:val="20"/>
              </w:rPr>
            </w:pPr>
            <w:r>
              <w:rPr>
                <w:b/>
                <w:sz w:val="20"/>
                <w:szCs w:val="20"/>
              </w:rPr>
              <w:t>2</w:t>
            </w:r>
          </w:p>
        </w:tc>
        <w:tc>
          <w:tcPr>
            <w:tcW w:w="1896" w:type="dxa"/>
            <w:tcBorders>
              <w:top w:val="nil"/>
              <w:left w:val="nil"/>
              <w:bottom w:val="single" w:sz="4" w:space="0" w:color="000000"/>
              <w:right w:val="single" w:sz="4" w:space="0" w:color="000000"/>
            </w:tcBorders>
            <w:shd w:val="clear" w:color="auto" w:fill="auto"/>
            <w:vAlign w:val="center"/>
          </w:tcPr>
          <w:p w:rsidR="00000AA1" w:rsidRDefault="001347DD">
            <w:pPr>
              <w:spacing w:after="0" w:line="240" w:lineRule="auto"/>
              <w:jc w:val="center"/>
              <w:rPr>
                <w:b/>
                <w:sz w:val="20"/>
                <w:szCs w:val="20"/>
              </w:rPr>
            </w:pPr>
            <w:r>
              <w:rPr>
                <w:b/>
                <w:sz w:val="20"/>
                <w:szCs w:val="20"/>
              </w:rPr>
              <w:t>Escenario de disrupción tecnológica;</w:t>
            </w:r>
            <w:r>
              <w:rPr>
                <w:b/>
                <w:sz w:val="20"/>
                <w:szCs w:val="20"/>
              </w:rPr>
              <w:br/>
              <w:t>Hechos delictivos, Innovación; Comercio electrónico</w:t>
            </w:r>
          </w:p>
        </w:tc>
        <w:tc>
          <w:tcPr>
            <w:tcW w:w="1301" w:type="dxa"/>
            <w:tcBorders>
              <w:top w:val="nil"/>
              <w:left w:val="nil"/>
              <w:bottom w:val="single" w:sz="4" w:space="0" w:color="000000"/>
              <w:right w:val="single" w:sz="4" w:space="0" w:color="000000"/>
            </w:tcBorders>
            <w:shd w:val="clear" w:color="auto" w:fill="auto"/>
            <w:vAlign w:val="center"/>
          </w:tcPr>
          <w:p w:rsidR="00000AA1" w:rsidRDefault="001347DD">
            <w:pPr>
              <w:spacing w:after="0" w:line="240" w:lineRule="auto"/>
              <w:jc w:val="center"/>
              <w:rPr>
                <w:b/>
                <w:sz w:val="20"/>
                <w:szCs w:val="20"/>
              </w:rPr>
            </w:pPr>
            <w:r>
              <w:rPr>
                <w:b/>
                <w:sz w:val="20"/>
                <w:szCs w:val="20"/>
              </w:rPr>
              <w:t>Riesgo</w:t>
            </w:r>
          </w:p>
        </w:tc>
        <w:tc>
          <w:tcPr>
            <w:tcW w:w="4680" w:type="dxa"/>
            <w:tcBorders>
              <w:top w:val="nil"/>
              <w:left w:val="nil"/>
              <w:bottom w:val="single" w:sz="4" w:space="0" w:color="000000"/>
              <w:right w:val="single" w:sz="4" w:space="0" w:color="000000"/>
            </w:tcBorders>
            <w:shd w:val="clear" w:color="auto" w:fill="auto"/>
            <w:vAlign w:val="center"/>
          </w:tcPr>
          <w:p w:rsidR="00000AA1" w:rsidRDefault="001347DD">
            <w:pPr>
              <w:spacing w:after="0" w:line="240" w:lineRule="auto"/>
              <w:jc w:val="center"/>
              <w:rPr>
                <w:sz w:val="20"/>
                <w:szCs w:val="20"/>
              </w:rPr>
            </w:pPr>
            <w:r>
              <w:rPr>
                <w:sz w:val="20"/>
                <w:szCs w:val="20"/>
              </w:rPr>
              <w:t xml:space="preserve">Que el creciente uso de tecnologías, la falta de conocimiento sobre ellas y la ausencia de su regulación facilite el accionar de las organizaciones criminales y la comisión de actos de lavado de activos. </w:t>
            </w:r>
          </w:p>
        </w:tc>
        <w:tc>
          <w:tcPr>
            <w:tcW w:w="1081" w:type="dxa"/>
            <w:tcBorders>
              <w:top w:val="nil"/>
              <w:left w:val="nil"/>
              <w:bottom w:val="single" w:sz="4" w:space="0" w:color="000000"/>
              <w:right w:val="single" w:sz="4" w:space="0" w:color="000000"/>
            </w:tcBorders>
            <w:shd w:val="clear" w:color="auto" w:fill="auto"/>
            <w:vAlign w:val="center"/>
          </w:tcPr>
          <w:p w:rsidR="00000AA1" w:rsidRDefault="001347DD">
            <w:pPr>
              <w:spacing w:after="0" w:line="240" w:lineRule="auto"/>
              <w:jc w:val="center"/>
              <w:rPr>
                <w:rFonts w:ascii="Arial Narrow" w:eastAsia="Arial Narrow" w:hAnsi="Arial Narrow" w:cs="Arial Narrow"/>
                <w:sz w:val="20"/>
                <w:szCs w:val="20"/>
              </w:rPr>
            </w:pPr>
            <w:r>
              <w:rPr>
                <w:rFonts w:ascii="Arial Narrow" w:eastAsia="Arial Narrow" w:hAnsi="Arial Narrow" w:cs="Arial Narrow"/>
                <w:sz w:val="20"/>
                <w:szCs w:val="20"/>
              </w:rPr>
              <w:t>Mayor</w:t>
            </w:r>
          </w:p>
        </w:tc>
        <w:tc>
          <w:tcPr>
            <w:tcW w:w="1526" w:type="dxa"/>
            <w:tcBorders>
              <w:top w:val="nil"/>
              <w:left w:val="nil"/>
              <w:bottom w:val="single" w:sz="4" w:space="0" w:color="000000"/>
              <w:right w:val="single" w:sz="4" w:space="0" w:color="000000"/>
            </w:tcBorders>
            <w:shd w:val="clear" w:color="auto" w:fill="auto"/>
            <w:vAlign w:val="center"/>
          </w:tcPr>
          <w:p w:rsidR="00000AA1" w:rsidRDefault="001347DD">
            <w:pPr>
              <w:spacing w:after="0" w:line="240" w:lineRule="auto"/>
              <w:jc w:val="center"/>
              <w:rPr>
                <w:rFonts w:ascii="Arial Narrow" w:eastAsia="Arial Narrow" w:hAnsi="Arial Narrow" w:cs="Arial Narrow"/>
                <w:sz w:val="20"/>
                <w:szCs w:val="20"/>
              </w:rPr>
            </w:pPr>
            <w:r>
              <w:rPr>
                <w:rFonts w:ascii="Arial Narrow" w:eastAsia="Arial Narrow" w:hAnsi="Arial Narrow" w:cs="Arial Narrow"/>
                <w:sz w:val="20"/>
                <w:szCs w:val="20"/>
              </w:rPr>
              <w:t>Muy Alta</w:t>
            </w:r>
          </w:p>
        </w:tc>
        <w:tc>
          <w:tcPr>
            <w:tcW w:w="1477" w:type="dxa"/>
            <w:tcBorders>
              <w:top w:val="single" w:sz="4" w:space="0" w:color="000000"/>
              <w:left w:val="single" w:sz="4" w:space="0" w:color="000000"/>
              <w:bottom w:val="single" w:sz="4" w:space="0" w:color="000000"/>
              <w:right w:val="single" w:sz="4" w:space="0" w:color="000000"/>
            </w:tcBorders>
            <w:shd w:val="clear" w:color="auto" w:fill="FF0000"/>
            <w:vAlign w:val="center"/>
          </w:tcPr>
          <w:p w:rsidR="00000AA1" w:rsidRDefault="001347DD">
            <w:pPr>
              <w:spacing w:after="0" w:line="240" w:lineRule="auto"/>
              <w:jc w:val="center"/>
              <w:rPr>
                <w:rFonts w:ascii="Arial Narrow" w:eastAsia="Arial Narrow" w:hAnsi="Arial Narrow" w:cs="Arial Narrow"/>
                <w:sz w:val="20"/>
                <w:szCs w:val="20"/>
              </w:rPr>
            </w:pPr>
            <w:r>
              <w:rPr>
                <w:rFonts w:ascii="Arial Narrow" w:eastAsia="Arial Narrow" w:hAnsi="Arial Narrow" w:cs="Arial Narrow"/>
                <w:sz w:val="20"/>
                <w:szCs w:val="20"/>
              </w:rPr>
              <w:t>23</w:t>
            </w:r>
          </w:p>
        </w:tc>
        <w:tc>
          <w:tcPr>
            <w:tcW w:w="1477" w:type="dxa"/>
            <w:tcBorders>
              <w:top w:val="nil"/>
              <w:left w:val="nil"/>
              <w:bottom w:val="single" w:sz="4" w:space="0" w:color="000000"/>
              <w:right w:val="single" w:sz="4" w:space="0" w:color="000000"/>
            </w:tcBorders>
            <w:shd w:val="clear" w:color="auto" w:fill="auto"/>
            <w:vAlign w:val="center"/>
          </w:tcPr>
          <w:p w:rsidR="00000AA1" w:rsidRDefault="001347DD">
            <w:pPr>
              <w:spacing w:after="0" w:line="240" w:lineRule="auto"/>
              <w:jc w:val="center"/>
              <w:rPr>
                <w:rFonts w:ascii="Arial Narrow" w:eastAsia="Arial Narrow" w:hAnsi="Arial Narrow" w:cs="Arial Narrow"/>
                <w:sz w:val="20"/>
                <w:szCs w:val="20"/>
              </w:rPr>
            </w:pPr>
            <w:r>
              <w:rPr>
                <w:rFonts w:ascii="Arial Narrow" w:eastAsia="Arial Narrow" w:hAnsi="Arial Narrow" w:cs="Arial Narrow"/>
                <w:sz w:val="20"/>
                <w:szCs w:val="20"/>
              </w:rPr>
              <w:t>Muy alta</w:t>
            </w:r>
          </w:p>
        </w:tc>
      </w:tr>
      <w:tr w:rsidR="00000AA1">
        <w:trPr>
          <w:trHeight w:val="1711"/>
        </w:trPr>
        <w:tc>
          <w:tcPr>
            <w:tcW w:w="469" w:type="dxa"/>
            <w:tcBorders>
              <w:top w:val="nil"/>
              <w:left w:val="single" w:sz="4" w:space="0" w:color="000000"/>
              <w:bottom w:val="single" w:sz="4" w:space="0" w:color="000000"/>
              <w:right w:val="single" w:sz="4" w:space="0" w:color="000000"/>
            </w:tcBorders>
            <w:shd w:val="clear" w:color="auto" w:fill="auto"/>
            <w:vAlign w:val="center"/>
          </w:tcPr>
          <w:p w:rsidR="00000AA1" w:rsidRDefault="001347DD">
            <w:pPr>
              <w:spacing w:after="0" w:line="240" w:lineRule="auto"/>
              <w:jc w:val="center"/>
              <w:rPr>
                <w:b/>
                <w:sz w:val="20"/>
                <w:szCs w:val="20"/>
              </w:rPr>
            </w:pPr>
            <w:r>
              <w:rPr>
                <w:b/>
                <w:sz w:val="20"/>
                <w:szCs w:val="20"/>
              </w:rPr>
              <w:t>3</w:t>
            </w:r>
          </w:p>
        </w:tc>
        <w:tc>
          <w:tcPr>
            <w:tcW w:w="1896" w:type="dxa"/>
            <w:tcBorders>
              <w:top w:val="nil"/>
              <w:left w:val="nil"/>
              <w:bottom w:val="single" w:sz="4" w:space="0" w:color="000000"/>
              <w:right w:val="single" w:sz="4" w:space="0" w:color="000000"/>
            </w:tcBorders>
            <w:shd w:val="clear" w:color="auto" w:fill="auto"/>
            <w:vAlign w:val="center"/>
          </w:tcPr>
          <w:p w:rsidR="00000AA1" w:rsidRDefault="001347DD">
            <w:pPr>
              <w:spacing w:after="0" w:line="240" w:lineRule="auto"/>
              <w:jc w:val="center"/>
              <w:rPr>
                <w:b/>
                <w:sz w:val="20"/>
                <w:szCs w:val="20"/>
              </w:rPr>
            </w:pPr>
            <w:r>
              <w:rPr>
                <w:b/>
                <w:sz w:val="20"/>
                <w:szCs w:val="20"/>
              </w:rPr>
              <w:t>Propagación COVID-19 y corrupción</w:t>
            </w:r>
          </w:p>
        </w:tc>
        <w:tc>
          <w:tcPr>
            <w:tcW w:w="1301" w:type="dxa"/>
            <w:tcBorders>
              <w:top w:val="nil"/>
              <w:left w:val="nil"/>
              <w:bottom w:val="single" w:sz="4" w:space="0" w:color="000000"/>
              <w:right w:val="single" w:sz="4" w:space="0" w:color="000000"/>
            </w:tcBorders>
            <w:shd w:val="clear" w:color="auto" w:fill="auto"/>
            <w:vAlign w:val="center"/>
          </w:tcPr>
          <w:p w:rsidR="00000AA1" w:rsidRDefault="001347DD">
            <w:pPr>
              <w:spacing w:after="0" w:line="240" w:lineRule="auto"/>
              <w:jc w:val="center"/>
              <w:rPr>
                <w:b/>
                <w:sz w:val="20"/>
                <w:szCs w:val="20"/>
              </w:rPr>
            </w:pPr>
            <w:r>
              <w:rPr>
                <w:b/>
                <w:sz w:val="20"/>
                <w:szCs w:val="20"/>
              </w:rPr>
              <w:t>Riesgo</w:t>
            </w:r>
          </w:p>
        </w:tc>
        <w:tc>
          <w:tcPr>
            <w:tcW w:w="4680" w:type="dxa"/>
            <w:tcBorders>
              <w:top w:val="nil"/>
              <w:left w:val="nil"/>
              <w:bottom w:val="single" w:sz="4" w:space="0" w:color="000000"/>
              <w:right w:val="single" w:sz="4" w:space="0" w:color="000000"/>
            </w:tcBorders>
            <w:shd w:val="clear" w:color="auto" w:fill="auto"/>
            <w:vAlign w:val="center"/>
          </w:tcPr>
          <w:p w:rsidR="00000AA1" w:rsidRDefault="001347DD">
            <w:pPr>
              <w:spacing w:after="0" w:line="240" w:lineRule="auto"/>
              <w:jc w:val="center"/>
              <w:rPr>
                <w:sz w:val="20"/>
                <w:szCs w:val="20"/>
              </w:rPr>
            </w:pPr>
            <w:r>
              <w:rPr>
                <w:sz w:val="20"/>
                <w:szCs w:val="20"/>
              </w:rPr>
              <w:t xml:space="preserve">Que, ante las medidas para flexibilizar las adquisiciones de bienes dentro del marco de la pandemia, aumenten los casos de corrupción y, en consecuencia, los casos de LA asociados a este delito precedente. </w:t>
            </w:r>
          </w:p>
        </w:tc>
        <w:tc>
          <w:tcPr>
            <w:tcW w:w="1081" w:type="dxa"/>
            <w:tcBorders>
              <w:top w:val="nil"/>
              <w:left w:val="nil"/>
              <w:bottom w:val="single" w:sz="4" w:space="0" w:color="000000"/>
              <w:right w:val="single" w:sz="4" w:space="0" w:color="000000"/>
            </w:tcBorders>
            <w:shd w:val="clear" w:color="auto" w:fill="auto"/>
            <w:vAlign w:val="center"/>
          </w:tcPr>
          <w:p w:rsidR="00000AA1" w:rsidRDefault="001347DD">
            <w:pPr>
              <w:spacing w:after="0" w:line="240" w:lineRule="auto"/>
              <w:jc w:val="center"/>
              <w:rPr>
                <w:rFonts w:ascii="Arial Narrow" w:eastAsia="Arial Narrow" w:hAnsi="Arial Narrow" w:cs="Arial Narrow"/>
                <w:sz w:val="20"/>
                <w:szCs w:val="20"/>
              </w:rPr>
            </w:pPr>
            <w:r>
              <w:rPr>
                <w:rFonts w:ascii="Arial Narrow" w:eastAsia="Arial Narrow" w:hAnsi="Arial Narrow" w:cs="Arial Narrow"/>
                <w:sz w:val="20"/>
                <w:szCs w:val="20"/>
              </w:rPr>
              <w:t>Mayor</w:t>
            </w:r>
          </w:p>
        </w:tc>
        <w:tc>
          <w:tcPr>
            <w:tcW w:w="1526" w:type="dxa"/>
            <w:tcBorders>
              <w:top w:val="nil"/>
              <w:left w:val="nil"/>
              <w:bottom w:val="single" w:sz="4" w:space="0" w:color="000000"/>
              <w:right w:val="single" w:sz="4" w:space="0" w:color="000000"/>
            </w:tcBorders>
            <w:shd w:val="clear" w:color="auto" w:fill="auto"/>
            <w:vAlign w:val="center"/>
          </w:tcPr>
          <w:p w:rsidR="00000AA1" w:rsidRDefault="001347DD">
            <w:pPr>
              <w:spacing w:after="0" w:line="240" w:lineRule="auto"/>
              <w:jc w:val="center"/>
              <w:rPr>
                <w:rFonts w:ascii="Arial Narrow" w:eastAsia="Arial Narrow" w:hAnsi="Arial Narrow" w:cs="Arial Narrow"/>
                <w:sz w:val="20"/>
                <w:szCs w:val="20"/>
              </w:rPr>
            </w:pPr>
            <w:r>
              <w:rPr>
                <w:rFonts w:ascii="Arial Narrow" w:eastAsia="Arial Narrow" w:hAnsi="Arial Narrow" w:cs="Arial Narrow"/>
                <w:sz w:val="20"/>
                <w:szCs w:val="20"/>
              </w:rPr>
              <w:t>Muy Alta</w:t>
            </w:r>
          </w:p>
        </w:tc>
        <w:tc>
          <w:tcPr>
            <w:tcW w:w="1477" w:type="dxa"/>
            <w:tcBorders>
              <w:top w:val="single" w:sz="4" w:space="0" w:color="000000"/>
              <w:left w:val="single" w:sz="4" w:space="0" w:color="000000"/>
              <w:bottom w:val="single" w:sz="4" w:space="0" w:color="000000"/>
              <w:right w:val="single" w:sz="4" w:space="0" w:color="000000"/>
            </w:tcBorders>
            <w:shd w:val="clear" w:color="auto" w:fill="FF0000"/>
            <w:vAlign w:val="center"/>
          </w:tcPr>
          <w:p w:rsidR="00000AA1" w:rsidRDefault="001347DD">
            <w:pPr>
              <w:spacing w:after="0" w:line="240" w:lineRule="auto"/>
              <w:jc w:val="center"/>
              <w:rPr>
                <w:rFonts w:ascii="Arial Narrow" w:eastAsia="Arial Narrow" w:hAnsi="Arial Narrow" w:cs="Arial Narrow"/>
                <w:sz w:val="20"/>
                <w:szCs w:val="20"/>
              </w:rPr>
            </w:pPr>
            <w:r>
              <w:rPr>
                <w:rFonts w:ascii="Arial Narrow" w:eastAsia="Arial Narrow" w:hAnsi="Arial Narrow" w:cs="Arial Narrow"/>
                <w:sz w:val="20"/>
                <w:szCs w:val="20"/>
              </w:rPr>
              <w:t>23</w:t>
            </w:r>
          </w:p>
        </w:tc>
        <w:tc>
          <w:tcPr>
            <w:tcW w:w="1477" w:type="dxa"/>
            <w:tcBorders>
              <w:top w:val="nil"/>
              <w:left w:val="nil"/>
              <w:bottom w:val="single" w:sz="4" w:space="0" w:color="000000"/>
              <w:right w:val="single" w:sz="4" w:space="0" w:color="000000"/>
            </w:tcBorders>
            <w:shd w:val="clear" w:color="auto" w:fill="auto"/>
            <w:vAlign w:val="center"/>
          </w:tcPr>
          <w:p w:rsidR="00000AA1" w:rsidRDefault="001347DD">
            <w:pPr>
              <w:spacing w:after="0" w:line="240" w:lineRule="auto"/>
              <w:jc w:val="center"/>
              <w:rPr>
                <w:rFonts w:ascii="Arial Narrow" w:eastAsia="Arial Narrow" w:hAnsi="Arial Narrow" w:cs="Arial Narrow"/>
                <w:sz w:val="20"/>
                <w:szCs w:val="20"/>
              </w:rPr>
            </w:pPr>
            <w:r>
              <w:rPr>
                <w:rFonts w:ascii="Arial Narrow" w:eastAsia="Arial Narrow" w:hAnsi="Arial Narrow" w:cs="Arial Narrow"/>
                <w:sz w:val="20"/>
                <w:szCs w:val="20"/>
              </w:rPr>
              <w:t>Muy alta</w:t>
            </w:r>
          </w:p>
        </w:tc>
      </w:tr>
      <w:tr w:rsidR="00000AA1">
        <w:trPr>
          <w:trHeight w:val="1379"/>
        </w:trPr>
        <w:tc>
          <w:tcPr>
            <w:tcW w:w="469" w:type="dxa"/>
            <w:tcBorders>
              <w:top w:val="nil"/>
              <w:left w:val="single" w:sz="4" w:space="0" w:color="000000"/>
              <w:bottom w:val="single" w:sz="4" w:space="0" w:color="000000"/>
              <w:right w:val="single" w:sz="4" w:space="0" w:color="000000"/>
            </w:tcBorders>
            <w:shd w:val="clear" w:color="auto" w:fill="auto"/>
            <w:vAlign w:val="center"/>
          </w:tcPr>
          <w:p w:rsidR="00000AA1" w:rsidRDefault="00172E19">
            <w:pPr>
              <w:spacing w:after="0" w:line="240" w:lineRule="auto"/>
              <w:jc w:val="center"/>
              <w:rPr>
                <w:b/>
                <w:sz w:val="20"/>
                <w:szCs w:val="20"/>
              </w:rPr>
            </w:pPr>
            <w:r>
              <w:rPr>
                <w:b/>
                <w:sz w:val="20"/>
                <w:szCs w:val="20"/>
              </w:rPr>
              <w:lastRenderedPageBreak/>
              <w:t>4</w:t>
            </w:r>
          </w:p>
        </w:tc>
        <w:tc>
          <w:tcPr>
            <w:tcW w:w="1896" w:type="dxa"/>
            <w:tcBorders>
              <w:top w:val="nil"/>
              <w:left w:val="nil"/>
              <w:bottom w:val="single" w:sz="4" w:space="0" w:color="000000"/>
              <w:right w:val="single" w:sz="4" w:space="0" w:color="000000"/>
            </w:tcBorders>
            <w:shd w:val="clear" w:color="auto" w:fill="auto"/>
            <w:vAlign w:val="center"/>
          </w:tcPr>
          <w:p w:rsidR="00000AA1" w:rsidRDefault="001347DD" w:rsidP="00172E19">
            <w:pPr>
              <w:spacing w:after="0" w:line="240" w:lineRule="auto"/>
              <w:jc w:val="center"/>
              <w:rPr>
                <w:b/>
                <w:sz w:val="20"/>
                <w:szCs w:val="20"/>
              </w:rPr>
            </w:pPr>
            <w:r>
              <w:rPr>
                <w:b/>
                <w:sz w:val="20"/>
                <w:szCs w:val="20"/>
              </w:rPr>
              <w:t>Escenario de disrupción tecnológica</w:t>
            </w:r>
          </w:p>
        </w:tc>
        <w:tc>
          <w:tcPr>
            <w:tcW w:w="1301" w:type="dxa"/>
            <w:tcBorders>
              <w:top w:val="nil"/>
              <w:left w:val="nil"/>
              <w:bottom w:val="single" w:sz="4" w:space="0" w:color="000000"/>
              <w:right w:val="single" w:sz="4" w:space="0" w:color="000000"/>
            </w:tcBorders>
            <w:shd w:val="clear" w:color="auto" w:fill="auto"/>
            <w:vAlign w:val="center"/>
          </w:tcPr>
          <w:p w:rsidR="00000AA1" w:rsidRDefault="001347DD">
            <w:pPr>
              <w:spacing w:after="0" w:line="240" w:lineRule="auto"/>
              <w:jc w:val="center"/>
              <w:rPr>
                <w:b/>
                <w:sz w:val="20"/>
                <w:szCs w:val="20"/>
              </w:rPr>
            </w:pPr>
            <w:r>
              <w:rPr>
                <w:b/>
                <w:sz w:val="20"/>
                <w:szCs w:val="20"/>
              </w:rPr>
              <w:t>Oportunidad</w:t>
            </w:r>
          </w:p>
        </w:tc>
        <w:tc>
          <w:tcPr>
            <w:tcW w:w="4680" w:type="dxa"/>
            <w:tcBorders>
              <w:top w:val="nil"/>
              <w:left w:val="nil"/>
              <w:bottom w:val="single" w:sz="4" w:space="0" w:color="000000"/>
              <w:right w:val="single" w:sz="4" w:space="0" w:color="000000"/>
            </w:tcBorders>
            <w:shd w:val="clear" w:color="auto" w:fill="auto"/>
            <w:vAlign w:val="center"/>
          </w:tcPr>
          <w:p w:rsidR="00000AA1" w:rsidRDefault="001347DD">
            <w:pPr>
              <w:spacing w:after="0" w:line="240" w:lineRule="auto"/>
              <w:jc w:val="center"/>
              <w:rPr>
                <w:sz w:val="20"/>
                <w:szCs w:val="20"/>
              </w:rPr>
            </w:pPr>
            <w:r>
              <w:rPr>
                <w:sz w:val="20"/>
                <w:szCs w:val="20"/>
              </w:rPr>
              <w:t>Que el Estado posea mayores capacidades tecnológicas y técnicas para regular y supervisar actividades que impliquen el uso de tecnología, así como para investigar los delitos relacionados.</w:t>
            </w:r>
          </w:p>
        </w:tc>
        <w:tc>
          <w:tcPr>
            <w:tcW w:w="1081" w:type="dxa"/>
            <w:tcBorders>
              <w:top w:val="nil"/>
              <w:left w:val="nil"/>
              <w:bottom w:val="single" w:sz="4" w:space="0" w:color="000000"/>
              <w:right w:val="single" w:sz="4" w:space="0" w:color="000000"/>
            </w:tcBorders>
            <w:shd w:val="clear" w:color="auto" w:fill="auto"/>
            <w:vAlign w:val="center"/>
          </w:tcPr>
          <w:p w:rsidR="00000AA1" w:rsidRDefault="001347DD">
            <w:pPr>
              <w:spacing w:after="0" w:line="240" w:lineRule="auto"/>
              <w:jc w:val="center"/>
              <w:rPr>
                <w:rFonts w:ascii="Arial Narrow" w:eastAsia="Arial Narrow" w:hAnsi="Arial Narrow" w:cs="Arial Narrow"/>
                <w:sz w:val="20"/>
                <w:szCs w:val="20"/>
              </w:rPr>
            </w:pPr>
            <w:r>
              <w:rPr>
                <w:rFonts w:ascii="Arial Narrow" w:eastAsia="Arial Narrow" w:hAnsi="Arial Narrow" w:cs="Arial Narrow"/>
                <w:sz w:val="20"/>
                <w:szCs w:val="20"/>
              </w:rPr>
              <w:t>Extremo</w:t>
            </w:r>
          </w:p>
        </w:tc>
        <w:tc>
          <w:tcPr>
            <w:tcW w:w="1526" w:type="dxa"/>
            <w:tcBorders>
              <w:top w:val="nil"/>
              <w:left w:val="nil"/>
              <w:bottom w:val="single" w:sz="4" w:space="0" w:color="000000"/>
              <w:right w:val="single" w:sz="4" w:space="0" w:color="000000"/>
            </w:tcBorders>
            <w:shd w:val="clear" w:color="auto" w:fill="auto"/>
            <w:vAlign w:val="center"/>
          </w:tcPr>
          <w:p w:rsidR="00000AA1" w:rsidRDefault="001347DD">
            <w:pPr>
              <w:spacing w:after="0" w:line="240" w:lineRule="auto"/>
              <w:jc w:val="center"/>
              <w:rPr>
                <w:rFonts w:ascii="Arial Narrow" w:eastAsia="Arial Narrow" w:hAnsi="Arial Narrow" w:cs="Arial Narrow"/>
                <w:sz w:val="20"/>
                <w:szCs w:val="20"/>
              </w:rPr>
            </w:pPr>
            <w:r>
              <w:rPr>
                <w:rFonts w:ascii="Arial Narrow" w:eastAsia="Arial Narrow" w:hAnsi="Arial Narrow" w:cs="Arial Narrow"/>
                <w:sz w:val="20"/>
                <w:szCs w:val="20"/>
              </w:rPr>
              <w:t>Moderada</w:t>
            </w:r>
          </w:p>
        </w:tc>
        <w:tc>
          <w:tcPr>
            <w:tcW w:w="1477" w:type="dxa"/>
            <w:tcBorders>
              <w:top w:val="single" w:sz="4" w:space="0" w:color="000000"/>
              <w:left w:val="single" w:sz="4" w:space="0" w:color="000000"/>
              <w:bottom w:val="single" w:sz="4" w:space="0" w:color="000000"/>
              <w:right w:val="single" w:sz="4" w:space="0" w:color="000000"/>
            </w:tcBorders>
            <w:shd w:val="clear" w:color="auto" w:fill="F79646"/>
            <w:vAlign w:val="center"/>
          </w:tcPr>
          <w:p w:rsidR="00000AA1" w:rsidRDefault="001347DD">
            <w:pPr>
              <w:spacing w:after="0" w:line="240" w:lineRule="auto"/>
              <w:jc w:val="center"/>
              <w:rPr>
                <w:rFonts w:ascii="Arial Narrow" w:eastAsia="Arial Narrow" w:hAnsi="Arial Narrow" w:cs="Arial Narrow"/>
                <w:sz w:val="20"/>
                <w:szCs w:val="20"/>
              </w:rPr>
            </w:pPr>
            <w:r>
              <w:rPr>
                <w:rFonts w:ascii="Arial Narrow" w:eastAsia="Arial Narrow" w:hAnsi="Arial Narrow" w:cs="Arial Narrow"/>
                <w:sz w:val="20"/>
                <w:szCs w:val="20"/>
              </w:rPr>
              <w:t>21</w:t>
            </w:r>
          </w:p>
        </w:tc>
        <w:tc>
          <w:tcPr>
            <w:tcW w:w="1477" w:type="dxa"/>
            <w:tcBorders>
              <w:top w:val="nil"/>
              <w:left w:val="nil"/>
              <w:bottom w:val="single" w:sz="4" w:space="0" w:color="000000"/>
              <w:right w:val="single" w:sz="4" w:space="0" w:color="000000"/>
            </w:tcBorders>
            <w:shd w:val="clear" w:color="auto" w:fill="auto"/>
            <w:vAlign w:val="center"/>
          </w:tcPr>
          <w:p w:rsidR="00000AA1" w:rsidRDefault="001347DD">
            <w:pPr>
              <w:spacing w:after="0" w:line="240" w:lineRule="auto"/>
              <w:jc w:val="center"/>
              <w:rPr>
                <w:rFonts w:ascii="Arial Narrow" w:eastAsia="Arial Narrow" w:hAnsi="Arial Narrow" w:cs="Arial Narrow"/>
                <w:sz w:val="20"/>
                <w:szCs w:val="20"/>
              </w:rPr>
            </w:pPr>
            <w:r>
              <w:rPr>
                <w:rFonts w:ascii="Arial Narrow" w:eastAsia="Arial Narrow" w:hAnsi="Arial Narrow" w:cs="Arial Narrow"/>
                <w:sz w:val="20"/>
                <w:szCs w:val="20"/>
              </w:rPr>
              <w:t>Alta</w:t>
            </w:r>
          </w:p>
        </w:tc>
      </w:tr>
      <w:tr w:rsidR="00455F70">
        <w:trPr>
          <w:trHeight w:val="1379"/>
        </w:trPr>
        <w:tc>
          <w:tcPr>
            <w:tcW w:w="469" w:type="dxa"/>
            <w:tcBorders>
              <w:top w:val="nil"/>
              <w:left w:val="single" w:sz="4" w:space="0" w:color="000000"/>
              <w:bottom w:val="single" w:sz="4" w:space="0" w:color="000000"/>
              <w:right w:val="single" w:sz="4" w:space="0" w:color="000000"/>
            </w:tcBorders>
            <w:shd w:val="clear" w:color="auto" w:fill="auto"/>
            <w:vAlign w:val="center"/>
          </w:tcPr>
          <w:p w:rsidR="00455F70" w:rsidRDefault="00172E19" w:rsidP="00455F70">
            <w:pPr>
              <w:spacing w:after="0" w:line="240" w:lineRule="auto"/>
              <w:jc w:val="center"/>
              <w:rPr>
                <w:b/>
                <w:sz w:val="20"/>
                <w:szCs w:val="20"/>
              </w:rPr>
            </w:pPr>
            <w:r>
              <w:rPr>
                <w:b/>
                <w:sz w:val="20"/>
                <w:szCs w:val="20"/>
              </w:rPr>
              <w:t>5</w:t>
            </w:r>
          </w:p>
        </w:tc>
        <w:tc>
          <w:tcPr>
            <w:tcW w:w="1896" w:type="dxa"/>
            <w:tcBorders>
              <w:top w:val="nil"/>
              <w:left w:val="nil"/>
              <w:bottom w:val="single" w:sz="4" w:space="0" w:color="000000"/>
              <w:right w:val="single" w:sz="4" w:space="0" w:color="000000"/>
            </w:tcBorders>
            <w:shd w:val="clear" w:color="auto" w:fill="auto"/>
            <w:vAlign w:val="center"/>
          </w:tcPr>
          <w:p w:rsidR="00455F70" w:rsidRPr="00172E19" w:rsidRDefault="00455F70" w:rsidP="00455F70">
            <w:pPr>
              <w:spacing w:after="0" w:line="240" w:lineRule="auto"/>
              <w:jc w:val="center"/>
              <w:rPr>
                <w:b/>
                <w:sz w:val="20"/>
                <w:szCs w:val="20"/>
              </w:rPr>
            </w:pPr>
            <w:r w:rsidRPr="00172E19">
              <w:rPr>
                <w:b/>
                <w:sz w:val="20"/>
                <w:szCs w:val="20"/>
              </w:rPr>
              <w:t>PBI per cápita</w:t>
            </w:r>
          </w:p>
        </w:tc>
        <w:tc>
          <w:tcPr>
            <w:tcW w:w="1301" w:type="dxa"/>
            <w:tcBorders>
              <w:top w:val="nil"/>
              <w:left w:val="nil"/>
              <w:bottom w:val="single" w:sz="4" w:space="0" w:color="000000"/>
              <w:right w:val="single" w:sz="4" w:space="0" w:color="000000"/>
            </w:tcBorders>
            <w:shd w:val="clear" w:color="auto" w:fill="auto"/>
            <w:vAlign w:val="center"/>
          </w:tcPr>
          <w:p w:rsidR="00455F70" w:rsidRPr="00172E19" w:rsidRDefault="00455F70" w:rsidP="00455F70">
            <w:pPr>
              <w:spacing w:after="0" w:line="240" w:lineRule="auto"/>
              <w:jc w:val="center"/>
              <w:rPr>
                <w:b/>
                <w:sz w:val="20"/>
                <w:szCs w:val="20"/>
              </w:rPr>
            </w:pPr>
            <w:r w:rsidRPr="00172E19">
              <w:rPr>
                <w:b/>
                <w:sz w:val="20"/>
                <w:szCs w:val="20"/>
              </w:rPr>
              <w:t>Oportunidad</w:t>
            </w:r>
          </w:p>
        </w:tc>
        <w:tc>
          <w:tcPr>
            <w:tcW w:w="4680" w:type="dxa"/>
            <w:tcBorders>
              <w:top w:val="nil"/>
              <w:left w:val="nil"/>
              <w:bottom w:val="single" w:sz="4" w:space="0" w:color="000000"/>
              <w:right w:val="single" w:sz="4" w:space="0" w:color="000000"/>
            </w:tcBorders>
            <w:shd w:val="clear" w:color="auto" w:fill="auto"/>
            <w:vAlign w:val="center"/>
          </w:tcPr>
          <w:p w:rsidR="00455F70" w:rsidRPr="00172E19" w:rsidRDefault="00455F70" w:rsidP="00455F70">
            <w:pPr>
              <w:spacing w:after="0" w:line="240" w:lineRule="auto"/>
              <w:jc w:val="center"/>
              <w:rPr>
                <w:sz w:val="20"/>
                <w:szCs w:val="20"/>
              </w:rPr>
            </w:pPr>
            <w:r w:rsidRPr="00172E19">
              <w:rPr>
                <w:sz w:val="20"/>
                <w:szCs w:val="20"/>
              </w:rPr>
              <w:t>Que las autoridades competentes del Estado posea mayores recursos para cumplir adecuadamente su labor de fiscalización y control a organizaciones políticas y entidades públicas.</w:t>
            </w:r>
          </w:p>
        </w:tc>
        <w:tc>
          <w:tcPr>
            <w:tcW w:w="1081" w:type="dxa"/>
            <w:tcBorders>
              <w:top w:val="nil"/>
              <w:left w:val="nil"/>
              <w:bottom w:val="single" w:sz="4" w:space="0" w:color="000000"/>
              <w:right w:val="single" w:sz="4" w:space="0" w:color="000000"/>
            </w:tcBorders>
            <w:shd w:val="clear" w:color="auto" w:fill="auto"/>
            <w:vAlign w:val="center"/>
          </w:tcPr>
          <w:p w:rsidR="00455F70" w:rsidRPr="00172E19" w:rsidRDefault="00455F70" w:rsidP="00455F70">
            <w:pPr>
              <w:spacing w:after="0" w:line="240" w:lineRule="auto"/>
              <w:jc w:val="center"/>
              <w:rPr>
                <w:rFonts w:ascii="Arial Narrow" w:eastAsia="Arial Narrow" w:hAnsi="Arial Narrow" w:cs="Arial Narrow"/>
                <w:sz w:val="20"/>
                <w:szCs w:val="20"/>
              </w:rPr>
            </w:pPr>
            <w:r w:rsidRPr="00172E19">
              <w:rPr>
                <w:rFonts w:ascii="Arial Narrow" w:eastAsia="Arial Narrow" w:hAnsi="Arial Narrow" w:cs="Arial Narrow"/>
                <w:sz w:val="20"/>
                <w:szCs w:val="20"/>
              </w:rPr>
              <w:t>Extremo</w:t>
            </w:r>
          </w:p>
        </w:tc>
        <w:tc>
          <w:tcPr>
            <w:tcW w:w="1526" w:type="dxa"/>
            <w:tcBorders>
              <w:top w:val="nil"/>
              <w:left w:val="nil"/>
              <w:bottom w:val="single" w:sz="4" w:space="0" w:color="000000"/>
              <w:right w:val="single" w:sz="4" w:space="0" w:color="000000"/>
            </w:tcBorders>
            <w:shd w:val="clear" w:color="auto" w:fill="auto"/>
            <w:vAlign w:val="center"/>
          </w:tcPr>
          <w:p w:rsidR="00455F70" w:rsidRPr="00172E19" w:rsidRDefault="00455F70" w:rsidP="00455F70">
            <w:pPr>
              <w:spacing w:after="0" w:line="240" w:lineRule="auto"/>
              <w:jc w:val="center"/>
              <w:rPr>
                <w:rFonts w:ascii="Arial Narrow" w:eastAsia="Arial Narrow" w:hAnsi="Arial Narrow" w:cs="Arial Narrow"/>
                <w:sz w:val="20"/>
                <w:szCs w:val="20"/>
              </w:rPr>
            </w:pPr>
            <w:r w:rsidRPr="00172E19">
              <w:rPr>
                <w:rFonts w:ascii="Arial Narrow" w:eastAsia="Arial Narrow" w:hAnsi="Arial Narrow" w:cs="Arial Narrow"/>
                <w:sz w:val="20"/>
                <w:szCs w:val="20"/>
              </w:rPr>
              <w:t>Moderada</w:t>
            </w:r>
          </w:p>
        </w:tc>
        <w:tc>
          <w:tcPr>
            <w:tcW w:w="1477" w:type="dxa"/>
            <w:tcBorders>
              <w:top w:val="single" w:sz="4" w:space="0" w:color="000000"/>
              <w:left w:val="single" w:sz="4" w:space="0" w:color="000000"/>
              <w:bottom w:val="single" w:sz="4" w:space="0" w:color="000000"/>
              <w:right w:val="single" w:sz="4" w:space="0" w:color="000000"/>
            </w:tcBorders>
            <w:shd w:val="clear" w:color="auto" w:fill="F79646"/>
            <w:vAlign w:val="center"/>
          </w:tcPr>
          <w:p w:rsidR="00455F70" w:rsidRDefault="00455F70" w:rsidP="00455F70">
            <w:pPr>
              <w:spacing w:after="0" w:line="240" w:lineRule="auto"/>
              <w:jc w:val="center"/>
              <w:rPr>
                <w:rFonts w:ascii="Arial Narrow" w:eastAsia="Arial Narrow" w:hAnsi="Arial Narrow" w:cs="Arial Narrow"/>
                <w:sz w:val="20"/>
                <w:szCs w:val="20"/>
              </w:rPr>
            </w:pPr>
            <w:r>
              <w:rPr>
                <w:rFonts w:ascii="Arial Narrow" w:eastAsia="Arial Narrow" w:hAnsi="Arial Narrow" w:cs="Arial Narrow"/>
                <w:sz w:val="20"/>
                <w:szCs w:val="20"/>
              </w:rPr>
              <w:t>21</w:t>
            </w:r>
          </w:p>
        </w:tc>
        <w:tc>
          <w:tcPr>
            <w:tcW w:w="1477" w:type="dxa"/>
            <w:tcBorders>
              <w:top w:val="nil"/>
              <w:left w:val="nil"/>
              <w:bottom w:val="single" w:sz="4" w:space="0" w:color="000000"/>
              <w:right w:val="single" w:sz="4" w:space="0" w:color="000000"/>
            </w:tcBorders>
            <w:shd w:val="clear" w:color="auto" w:fill="auto"/>
            <w:vAlign w:val="center"/>
          </w:tcPr>
          <w:p w:rsidR="00455F70" w:rsidRDefault="00455F70" w:rsidP="00455F70">
            <w:pPr>
              <w:spacing w:after="0" w:line="240" w:lineRule="auto"/>
              <w:jc w:val="center"/>
              <w:rPr>
                <w:rFonts w:ascii="Arial Narrow" w:eastAsia="Arial Narrow" w:hAnsi="Arial Narrow" w:cs="Arial Narrow"/>
                <w:sz w:val="20"/>
                <w:szCs w:val="20"/>
              </w:rPr>
            </w:pPr>
            <w:r>
              <w:rPr>
                <w:rFonts w:ascii="Arial Narrow" w:eastAsia="Arial Narrow" w:hAnsi="Arial Narrow" w:cs="Arial Narrow"/>
                <w:sz w:val="20"/>
                <w:szCs w:val="20"/>
              </w:rPr>
              <w:t>Alta</w:t>
            </w:r>
          </w:p>
        </w:tc>
      </w:tr>
      <w:tr w:rsidR="00455F70">
        <w:trPr>
          <w:trHeight w:val="1724"/>
        </w:trPr>
        <w:tc>
          <w:tcPr>
            <w:tcW w:w="469" w:type="dxa"/>
            <w:tcBorders>
              <w:top w:val="nil"/>
              <w:left w:val="single" w:sz="4" w:space="0" w:color="000000"/>
              <w:bottom w:val="single" w:sz="4" w:space="0" w:color="000000"/>
              <w:right w:val="single" w:sz="4" w:space="0" w:color="000000"/>
            </w:tcBorders>
            <w:shd w:val="clear" w:color="auto" w:fill="auto"/>
            <w:vAlign w:val="center"/>
          </w:tcPr>
          <w:p w:rsidR="00455F70" w:rsidRDefault="00172E19" w:rsidP="00455F70">
            <w:pPr>
              <w:spacing w:after="0" w:line="240" w:lineRule="auto"/>
              <w:jc w:val="center"/>
              <w:rPr>
                <w:b/>
                <w:sz w:val="20"/>
                <w:szCs w:val="20"/>
              </w:rPr>
            </w:pPr>
            <w:r>
              <w:rPr>
                <w:b/>
                <w:sz w:val="20"/>
                <w:szCs w:val="20"/>
              </w:rPr>
              <w:t>6</w:t>
            </w:r>
          </w:p>
        </w:tc>
        <w:tc>
          <w:tcPr>
            <w:tcW w:w="1896" w:type="dxa"/>
            <w:tcBorders>
              <w:top w:val="nil"/>
              <w:left w:val="nil"/>
              <w:bottom w:val="single" w:sz="4" w:space="0" w:color="000000"/>
              <w:right w:val="single" w:sz="4" w:space="0" w:color="000000"/>
            </w:tcBorders>
            <w:shd w:val="clear" w:color="auto" w:fill="auto"/>
            <w:vAlign w:val="center"/>
          </w:tcPr>
          <w:p w:rsidR="00455F70" w:rsidRDefault="00455F70" w:rsidP="00455F70">
            <w:pPr>
              <w:spacing w:after="0" w:line="240" w:lineRule="auto"/>
              <w:jc w:val="center"/>
              <w:rPr>
                <w:b/>
                <w:sz w:val="20"/>
                <w:szCs w:val="20"/>
              </w:rPr>
            </w:pPr>
            <w:r>
              <w:rPr>
                <w:b/>
                <w:sz w:val="20"/>
                <w:szCs w:val="20"/>
              </w:rPr>
              <w:t>Propagación COVID-19</w:t>
            </w:r>
          </w:p>
        </w:tc>
        <w:tc>
          <w:tcPr>
            <w:tcW w:w="1301" w:type="dxa"/>
            <w:tcBorders>
              <w:top w:val="nil"/>
              <w:left w:val="nil"/>
              <w:bottom w:val="single" w:sz="4" w:space="0" w:color="000000"/>
              <w:right w:val="single" w:sz="4" w:space="0" w:color="000000"/>
            </w:tcBorders>
            <w:shd w:val="clear" w:color="auto" w:fill="auto"/>
            <w:vAlign w:val="center"/>
          </w:tcPr>
          <w:p w:rsidR="00455F70" w:rsidRDefault="00455F70" w:rsidP="00455F70">
            <w:pPr>
              <w:spacing w:after="0" w:line="240" w:lineRule="auto"/>
              <w:jc w:val="center"/>
              <w:rPr>
                <w:b/>
                <w:sz w:val="20"/>
                <w:szCs w:val="20"/>
              </w:rPr>
            </w:pPr>
            <w:r>
              <w:rPr>
                <w:b/>
                <w:sz w:val="20"/>
                <w:szCs w:val="20"/>
              </w:rPr>
              <w:t>Riesgo</w:t>
            </w:r>
          </w:p>
        </w:tc>
        <w:tc>
          <w:tcPr>
            <w:tcW w:w="4680" w:type="dxa"/>
            <w:tcBorders>
              <w:top w:val="nil"/>
              <w:left w:val="nil"/>
              <w:bottom w:val="single" w:sz="4" w:space="0" w:color="000000"/>
              <w:right w:val="single" w:sz="4" w:space="0" w:color="000000"/>
            </w:tcBorders>
            <w:shd w:val="clear" w:color="auto" w:fill="auto"/>
            <w:vAlign w:val="center"/>
          </w:tcPr>
          <w:p w:rsidR="00455F70" w:rsidRDefault="00455F70" w:rsidP="00455F70">
            <w:pPr>
              <w:spacing w:after="0" w:line="240" w:lineRule="auto"/>
              <w:jc w:val="center"/>
              <w:rPr>
                <w:sz w:val="20"/>
                <w:szCs w:val="20"/>
              </w:rPr>
            </w:pPr>
            <w:r>
              <w:rPr>
                <w:sz w:val="20"/>
                <w:szCs w:val="20"/>
              </w:rPr>
              <w:t>Que ante un escenario de intensificación de la pandemia el Estado se afecten las capacidades de los agentes públicos y privados que</w:t>
            </w:r>
            <w:r>
              <w:rPr>
                <w:b/>
                <w:sz w:val="20"/>
                <w:szCs w:val="20"/>
              </w:rPr>
              <w:t xml:space="preserve"> </w:t>
            </w:r>
            <w:r>
              <w:rPr>
                <w:sz w:val="20"/>
                <w:szCs w:val="20"/>
              </w:rPr>
              <w:t xml:space="preserve">integran el sistema nacional contra el </w:t>
            </w:r>
            <w:r w:rsidRPr="00172E19">
              <w:rPr>
                <w:sz w:val="20"/>
                <w:szCs w:val="20"/>
              </w:rPr>
              <w:t>LA y se</w:t>
            </w:r>
            <w:r>
              <w:rPr>
                <w:sz w:val="20"/>
                <w:szCs w:val="20"/>
              </w:rPr>
              <w:t xml:space="preserve"> incrementen las actividades ilícitas que generen fondos activos pasibles de ser lavados  </w:t>
            </w:r>
          </w:p>
        </w:tc>
        <w:tc>
          <w:tcPr>
            <w:tcW w:w="1081" w:type="dxa"/>
            <w:tcBorders>
              <w:top w:val="nil"/>
              <w:left w:val="nil"/>
              <w:bottom w:val="single" w:sz="4" w:space="0" w:color="000000"/>
              <w:right w:val="single" w:sz="4" w:space="0" w:color="000000"/>
            </w:tcBorders>
            <w:shd w:val="clear" w:color="auto" w:fill="auto"/>
            <w:vAlign w:val="center"/>
          </w:tcPr>
          <w:p w:rsidR="00455F70" w:rsidRDefault="00455F70" w:rsidP="00455F70">
            <w:pPr>
              <w:spacing w:after="0" w:line="240" w:lineRule="auto"/>
              <w:jc w:val="center"/>
              <w:rPr>
                <w:rFonts w:ascii="Arial Narrow" w:eastAsia="Arial Narrow" w:hAnsi="Arial Narrow" w:cs="Arial Narrow"/>
                <w:sz w:val="20"/>
                <w:szCs w:val="20"/>
              </w:rPr>
            </w:pPr>
            <w:r>
              <w:rPr>
                <w:rFonts w:ascii="Arial Narrow" w:eastAsia="Arial Narrow" w:hAnsi="Arial Narrow" w:cs="Arial Narrow"/>
                <w:sz w:val="20"/>
                <w:szCs w:val="20"/>
              </w:rPr>
              <w:t>Mayor</w:t>
            </w:r>
          </w:p>
        </w:tc>
        <w:tc>
          <w:tcPr>
            <w:tcW w:w="1526" w:type="dxa"/>
            <w:tcBorders>
              <w:top w:val="nil"/>
              <w:left w:val="nil"/>
              <w:bottom w:val="single" w:sz="4" w:space="0" w:color="000000"/>
              <w:right w:val="single" w:sz="4" w:space="0" w:color="000000"/>
            </w:tcBorders>
            <w:shd w:val="clear" w:color="auto" w:fill="auto"/>
            <w:vAlign w:val="center"/>
          </w:tcPr>
          <w:p w:rsidR="00455F70" w:rsidRDefault="00455F70" w:rsidP="00455F70">
            <w:pPr>
              <w:spacing w:after="0" w:line="240" w:lineRule="auto"/>
              <w:jc w:val="center"/>
              <w:rPr>
                <w:rFonts w:ascii="Arial Narrow" w:eastAsia="Arial Narrow" w:hAnsi="Arial Narrow" w:cs="Arial Narrow"/>
                <w:sz w:val="20"/>
                <w:szCs w:val="20"/>
              </w:rPr>
            </w:pPr>
            <w:r>
              <w:rPr>
                <w:rFonts w:ascii="Arial Narrow" w:eastAsia="Arial Narrow" w:hAnsi="Arial Narrow" w:cs="Arial Narrow"/>
                <w:sz w:val="20"/>
                <w:szCs w:val="20"/>
              </w:rPr>
              <w:t>Moderada</w:t>
            </w:r>
          </w:p>
        </w:tc>
        <w:tc>
          <w:tcPr>
            <w:tcW w:w="1477" w:type="dxa"/>
            <w:tcBorders>
              <w:top w:val="single" w:sz="4" w:space="0" w:color="000000"/>
              <w:left w:val="single" w:sz="4" w:space="0" w:color="000000"/>
              <w:bottom w:val="single" w:sz="4" w:space="0" w:color="000000"/>
              <w:right w:val="single" w:sz="4" w:space="0" w:color="000000"/>
            </w:tcBorders>
            <w:shd w:val="clear" w:color="auto" w:fill="F79646"/>
            <w:vAlign w:val="center"/>
          </w:tcPr>
          <w:p w:rsidR="00455F70" w:rsidRDefault="00455F70" w:rsidP="00455F70">
            <w:pPr>
              <w:spacing w:after="0" w:line="240" w:lineRule="auto"/>
              <w:jc w:val="center"/>
              <w:rPr>
                <w:rFonts w:ascii="Arial Narrow" w:eastAsia="Arial Narrow" w:hAnsi="Arial Narrow" w:cs="Arial Narrow"/>
                <w:sz w:val="20"/>
                <w:szCs w:val="20"/>
              </w:rPr>
            </w:pPr>
            <w:r>
              <w:rPr>
                <w:rFonts w:ascii="Arial Narrow" w:eastAsia="Arial Narrow" w:hAnsi="Arial Narrow" w:cs="Arial Narrow"/>
                <w:sz w:val="20"/>
                <w:szCs w:val="20"/>
              </w:rPr>
              <w:t>18</w:t>
            </w:r>
          </w:p>
        </w:tc>
        <w:tc>
          <w:tcPr>
            <w:tcW w:w="1477" w:type="dxa"/>
            <w:tcBorders>
              <w:top w:val="nil"/>
              <w:left w:val="nil"/>
              <w:bottom w:val="single" w:sz="4" w:space="0" w:color="000000"/>
              <w:right w:val="single" w:sz="4" w:space="0" w:color="000000"/>
            </w:tcBorders>
            <w:shd w:val="clear" w:color="auto" w:fill="auto"/>
            <w:vAlign w:val="center"/>
          </w:tcPr>
          <w:p w:rsidR="00455F70" w:rsidRDefault="00455F70" w:rsidP="00455F70">
            <w:pPr>
              <w:spacing w:after="0" w:line="240" w:lineRule="auto"/>
              <w:jc w:val="center"/>
              <w:rPr>
                <w:rFonts w:ascii="Arial Narrow" w:eastAsia="Arial Narrow" w:hAnsi="Arial Narrow" w:cs="Arial Narrow"/>
                <w:sz w:val="20"/>
                <w:szCs w:val="20"/>
              </w:rPr>
            </w:pPr>
            <w:r>
              <w:rPr>
                <w:rFonts w:ascii="Arial Narrow" w:eastAsia="Arial Narrow" w:hAnsi="Arial Narrow" w:cs="Arial Narrow"/>
                <w:sz w:val="20"/>
                <w:szCs w:val="20"/>
              </w:rPr>
              <w:t>Alta</w:t>
            </w:r>
          </w:p>
        </w:tc>
      </w:tr>
      <w:tr w:rsidR="00455F70">
        <w:trPr>
          <w:trHeight w:val="1379"/>
        </w:trPr>
        <w:tc>
          <w:tcPr>
            <w:tcW w:w="469" w:type="dxa"/>
            <w:tcBorders>
              <w:top w:val="nil"/>
              <w:left w:val="single" w:sz="4" w:space="0" w:color="000000"/>
              <w:bottom w:val="single" w:sz="4" w:space="0" w:color="000000"/>
              <w:right w:val="single" w:sz="4" w:space="0" w:color="000000"/>
            </w:tcBorders>
            <w:shd w:val="clear" w:color="auto" w:fill="auto"/>
            <w:vAlign w:val="center"/>
          </w:tcPr>
          <w:p w:rsidR="00455F70" w:rsidRDefault="00172E19" w:rsidP="00455F70">
            <w:pPr>
              <w:spacing w:after="0" w:line="240" w:lineRule="auto"/>
              <w:jc w:val="center"/>
              <w:rPr>
                <w:b/>
                <w:sz w:val="20"/>
                <w:szCs w:val="20"/>
              </w:rPr>
            </w:pPr>
            <w:r>
              <w:rPr>
                <w:b/>
                <w:sz w:val="20"/>
                <w:szCs w:val="20"/>
              </w:rPr>
              <w:t>7</w:t>
            </w:r>
          </w:p>
        </w:tc>
        <w:tc>
          <w:tcPr>
            <w:tcW w:w="1896" w:type="dxa"/>
            <w:tcBorders>
              <w:top w:val="nil"/>
              <w:left w:val="nil"/>
              <w:bottom w:val="single" w:sz="4" w:space="0" w:color="000000"/>
              <w:right w:val="single" w:sz="4" w:space="0" w:color="000000"/>
            </w:tcBorders>
            <w:shd w:val="clear" w:color="auto" w:fill="auto"/>
            <w:vAlign w:val="center"/>
          </w:tcPr>
          <w:p w:rsidR="00455F70" w:rsidRDefault="00455F70" w:rsidP="00455F70">
            <w:pPr>
              <w:spacing w:after="0" w:line="240" w:lineRule="auto"/>
              <w:jc w:val="center"/>
              <w:rPr>
                <w:b/>
                <w:sz w:val="20"/>
                <w:szCs w:val="20"/>
              </w:rPr>
            </w:pPr>
            <w:r>
              <w:rPr>
                <w:b/>
                <w:sz w:val="20"/>
                <w:szCs w:val="20"/>
              </w:rPr>
              <w:t>Pobreza;</w:t>
            </w:r>
            <w:r>
              <w:rPr>
                <w:b/>
                <w:sz w:val="20"/>
                <w:szCs w:val="20"/>
              </w:rPr>
              <w:br/>
              <w:t>Escenario de crisis económica</w:t>
            </w:r>
          </w:p>
        </w:tc>
        <w:tc>
          <w:tcPr>
            <w:tcW w:w="1301" w:type="dxa"/>
            <w:tcBorders>
              <w:top w:val="nil"/>
              <w:left w:val="nil"/>
              <w:bottom w:val="single" w:sz="4" w:space="0" w:color="000000"/>
              <w:right w:val="single" w:sz="4" w:space="0" w:color="000000"/>
            </w:tcBorders>
            <w:shd w:val="clear" w:color="auto" w:fill="auto"/>
            <w:vAlign w:val="center"/>
          </w:tcPr>
          <w:p w:rsidR="00455F70" w:rsidRDefault="00455F70" w:rsidP="00455F70">
            <w:pPr>
              <w:spacing w:after="0" w:line="240" w:lineRule="auto"/>
              <w:jc w:val="center"/>
              <w:rPr>
                <w:b/>
                <w:sz w:val="20"/>
                <w:szCs w:val="20"/>
              </w:rPr>
            </w:pPr>
            <w:r>
              <w:rPr>
                <w:b/>
                <w:sz w:val="20"/>
                <w:szCs w:val="20"/>
              </w:rPr>
              <w:t xml:space="preserve">Riesgo </w:t>
            </w:r>
          </w:p>
        </w:tc>
        <w:tc>
          <w:tcPr>
            <w:tcW w:w="4680" w:type="dxa"/>
            <w:tcBorders>
              <w:top w:val="nil"/>
              <w:left w:val="nil"/>
              <w:bottom w:val="single" w:sz="4" w:space="0" w:color="000000"/>
              <w:right w:val="single" w:sz="4" w:space="0" w:color="000000"/>
            </w:tcBorders>
            <w:shd w:val="clear" w:color="auto" w:fill="auto"/>
            <w:vAlign w:val="center"/>
          </w:tcPr>
          <w:p w:rsidR="00455F70" w:rsidRDefault="00455F70" w:rsidP="00455F70">
            <w:pPr>
              <w:spacing w:after="0" w:line="240" w:lineRule="auto"/>
              <w:jc w:val="center"/>
              <w:rPr>
                <w:sz w:val="20"/>
                <w:szCs w:val="20"/>
              </w:rPr>
            </w:pPr>
            <w:r>
              <w:rPr>
                <w:sz w:val="20"/>
                <w:szCs w:val="20"/>
              </w:rPr>
              <w:t xml:space="preserve">Que ante el incremento de la pobreza en el Perú las personas sean pasibles de ser captadas por las organizaciones criminales para participar en sus actividades ilícitas. </w:t>
            </w:r>
          </w:p>
        </w:tc>
        <w:tc>
          <w:tcPr>
            <w:tcW w:w="1081" w:type="dxa"/>
            <w:tcBorders>
              <w:top w:val="nil"/>
              <w:left w:val="nil"/>
              <w:bottom w:val="single" w:sz="4" w:space="0" w:color="000000"/>
              <w:right w:val="single" w:sz="4" w:space="0" w:color="000000"/>
            </w:tcBorders>
            <w:shd w:val="clear" w:color="auto" w:fill="auto"/>
            <w:vAlign w:val="center"/>
          </w:tcPr>
          <w:p w:rsidR="00455F70" w:rsidRDefault="00455F70" w:rsidP="00455F70">
            <w:pPr>
              <w:spacing w:after="0" w:line="240" w:lineRule="auto"/>
              <w:jc w:val="center"/>
              <w:rPr>
                <w:rFonts w:ascii="Arial Narrow" w:eastAsia="Arial Narrow" w:hAnsi="Arial Narrow" w:cs="Arial Narrow"/>
                <w:sz w:val="20"/>
                <w:szCs w:val="20"/>
              </w:rPr>
            </w:pPr>
            <w:r>
              <w:rPr>
                <w:rFonts w:ascii="Arial Narrow" w:eastAsia="Arial Narrow" w:hAnsi="Arial Narrow" w:cs="Arial Narrow"/>
                <w:sz w:val="20"/>
                <w:szCs w:val="20"/>
              </w:rPr>
              <w:t>Mayor</w:t>
            </w:r>
          </w:p>
        </w:tc>
        <w:tc>
          <w:tcPr>
            <w:tcW w:w="1526" w:type="dxa"/>
            <w:tcBorders>
              <w:top w:val="nil"/>
              <w:left w:val="nil"/>
              <w:bottom w:val="single" w:sz="4" w:space="0" w:color="000000"/>
              <w:right w:val="single" w:sz="4" w:space="0" w:color="000000"/>
            </w:tcBorders>
            <w:shd w:val="clear" w:color="auto" w:fill="auto"/>
            <w:vAlign w:val="center"/>
          </w:tcPr>
          <w:p w:rsidR="00455F70" w:rsidRDefault="00455F70" w:rsidP="00455F70">
            <w:pPr>
              <w:spacing w:after="0" w:line="240" w:lineRule="auto"/>
              <w:jc w:val="center"/>
              <w:rPr>
                <w:rFonts w:ascii="Arial Narrow" w:eastAsia="Arial Narrow" w:hAnsi="Arial Narrow" w:cs="Arial Narrow"/>
                <w:sz w:val="20"/>
                <w:szCs w:val="20"/>
              </w:rPr>
            </w:pPr>
            <w:r>
              <w:rPr>
                <w:rFonts w:ascii="Arial Narrow" w:eastAsia="Arial Narrow" w:hAnsi="Arial Narrow" w:cs="Arial Narrow"/>
                <w:sz w:val="20"/>
                <w:szCs w:val="20"/>
              </w:rPr>
              <w:t>Moderada</w:t>
            </w:r>
          </w:p>
        </w:tc>
        <w:tc>
          <w:tcPr>
            <w:tcW w:w="1477" w:type="dxa"/>
            <w:tcBorders>
              <w:top w:val="single" w:sz="4" w:space="0" w:color="000000"/>
              <w:left w:val="single" w:sz="4" w:space="0" w:color="000000"/>
              <w:bottom w:val="single" w:sz="4" w:space="0" w:color="000000"/>
              <w:right w:val="single" w:sz="4" w:space="0" w:color="000000"/>
            </w:tcBorders>
            <w:shd w:val="clear" w:color="auto" w:fill="F79646"/>
            <w:vAlign w:val="center"/>
          </w:tcPr>
          <w:p w:rsidR="00455F70" w:rsidRDefault="00455F70" w:rsidP="00455F70">
            <w:pPr>
              <w:spacing w:after="0" w:line="240" w:lineRule="auto"/>
              <w:jc w:val="center"/>
              <w:rPr>
                <w:rFonts w:ascii="Arial Narrow" w:eastAsia="Arial Narrow" w:hAnsi="Arial Narrow" w:cs="Arial Narrow"/>
                <w:sz w:val="20"/>
                <w:szCs w:val="20"/>
              </w:rPr>
            </w:pPr>
            <w:r>
              <w:rPr>
                <w:rFonts w:ascii="Arial Narrow" w:eastAsia="Arial Narrow" w:hAnsi="Arial Narrow" w:cs="Arial Narrow"/>
                <w:sz w:val="20"/>
                <w:szCs w:val="20"/>
              </w:rPr>
              <w:t>18</w:t>
            </w:r>
          </w:p>
        </w:tc>
        <w:tc>
          <w:tcPr>
            <w:tcW w:w="1477" w:type="dxa"/>
            <w:tcBorders>
              <w:top w:val="nil"/>
              <w:left w:val="nil"/>
              <w:bottom w:val="single" w:sz="4" w:space="0" w:color="000000"/>
              <w:right w:val="single" w:sz="4" w:space="0" w:color="000000"/>
            </w:tcBorders>
            <w:shd w:val="clear" w:color="auto" w:fill="auto"/>
            <w:vAlign w:val="center"/>
          </w:tcPr>
          <w:p w:rsidR="00455F70" w:rsidRDefault="00455F70" w:rsidP="00455F70">
            <w:pPr>
              <w:spacing w:after="0" w:line="240" w:lineRule="auto"/>
              <w:jc w:val="center"/>
              <w:rPr>
                <w:rFonts w:ascii="Arial Narrow" w:eastAsia="Arial Narrow" w:hAnsi="Arial Narrow" w:cs="Arial Narrow"/>
                <w:sz w:val="20"/>
                <w:szCs w:val="20"/>
              </w:rPr>
            </w:pPr>
            <w:r>
              <w:rPr>
                <w:rFonts w:ascii="Arial Narrow" w:eastAsia="Arial Narrow" w:hAnsi="Arial Narrow" w:cs="Arial Narrow"/>
                <w:sz w:val="20"/>
                <w:szCs w:val="20"/>
              </w:rPr>
              <w:t>Alta</w:t>
            </w:r>
          </w:p>
        </w:tc>
      </w:tr>
      <w:tr w:rsidR="00455F70">
        <w:trPr>
          <w:trHeight w:val="1724"/>
        </w:trPr>
        <w:tc>
          <w:tcPr>
            <w:tcW w:w="469" w:type="dxa"/>
            <w:tcBorders>
              <w:top w:val="nil"/>
              <w:left w:val="single" w:sz="4" w:space="0" w:color="000000"/>
              <w:bottom w:val="single" w:sz="4" w:space="0" w:color="000000"/>
              <w:right w:val="single" w:sz="4" w:space="0" w:color="000000"/>
            </w:tcBorders>
            <w:shd w:val="clear" w:color="auto" w:fill="auto"/>
            <w:vAlign w:val="center"/>
          </w:tcPr>
          <w:p w:rsidR="00455F70" w:rsidRDefault="00172E19" w:rsidP="00455F70">
            <w:pPr>
              <w:spacing w:after="0" w:line="240" w:lineRule="auto"/>
              <w:jc w:val="center"/>
              <w:rPr>
                <w:b/>
                <w:sz w:val="20"/>
                <w:szCs w:val="20"/>
              </w:rPr>
            </w:pPr>
            <w:r>
              <w:rPr>
                <w:b/>
                <w:sz w:val="20"/>
                <w:szCs w:val="20"/>
              </w:rPr>
              <w:t>8</w:t>
            </w:r>
          </w:p>
        </w:tc>
        <w:tc>
          <w:tcPr>
            <w:tcW w:w="1896" w:type="dxa"/>
            <w:tcBorders>
              <w:top w:val="nil"/>
              <w:left w:val="nil"/>
              <w:bottom w:val="single" w:sz="4" w:space="0" w:color="000000"/>
              <w:right w:val="single" w:sz="4" w:space="0" w:color="000000"/>
            </w:tcBorders>
            <w:shd w:val="clear" w:color="auto" w:fill="auto"/>
            <w:vAlign w:val="center"/>
          </w:tcPr>
          <w:p w:rsidR="00455F70" w:rsidRDefault="00455F70" w:rsidP="00455F70">
            <w:pPr>
              <w:spacing w:after="0" w:line="240" w:lineRule="auto"/>
              <w:jc w:val="center"/>
              <w:rPr>
                <w:b/>
                <w:sz w:val="20"/>
                <w:szCs w:val="20"/>
              </w:rPr>
            </w:pPr>
            <w:r>
              <w:rPr>
                <w:b/>
                <w:sz w:val="20"/>
                <w:szCs w:val="20"/>
              </w:rPr>
              <w:t>Dependencia en los minerales; PBI per cápita; Flujo de capitales; integración comercial</w:t>
            </w:r>
          </w:p>
        </w:tc>
        <w:tc>
          <w:tcPr>
            <w:tcW w:w="1301" w:type="dxa"/>
            <w:tcBorders>
              <w:top w:val="nil"/>
              <w:left w:val="nil"/>
              <w:bottom w:val="single" w:sz="4" w:space="0" w:color="000000"/>
              <w:right w:val="single" w:sz="4" w:space="0" w:color="000000"/>
            </w:tcBorders>
            <w:shd w:val="clear" w:color="auto" w:fill="auto"/>
            <w:vAlign w:val="center"/>
          </w:tcPr>
          <w:p w:rsidR="00455F70" w:rsidRDefault="00455F70" w:rsidP="00455F70">
            <w:pPr>
              <w:spacing w:after="0" w:line="240" w:lineRule="auto"/>
              <w:jc w:val="center"/>
              <w:rPr>
                <w:b/>
                <w:sz w:val="20"/>
                <w:szCs w:val="20"/>
              </w:rPr>
            </w:pPr>
            <w:r>
              <w:rPr>
                <w:b/>
                <w:sz w:val="20"/>
                <w:szCs w:val="20"/>
              </w:rPr>
              <w:t>Oportunidad</w:t>
            </w:r>
          </w:p>
        </w:tc>
        <w:tc>
          <w:tcPr>
            <w:tcW w:w="4680" w:type="dxa"/>
            <w:tcBorders>
              <w:top w:val="nil"/>
              <w:left w:val="nil"/>
              <w:bottom w:val="single" w:sz="4" w:space="0" w:color="000000"/>
              <w:right w:val="single" w:sz="4" w:space="0" w:color="000000"/>
            </w:tcBorders>
            <w:shd w:val="clear" w:color="auto" w:fill="auto"/>
            <w:vAlign w:val="center"/>
          </w:tcPr>
          <w:p w:rsidR="00455F70" w:rsidRDefault="00455F70" w:rsidP="00455F70">
            <w:pPr>
              <w:spacing w:after="0" w:line="240" w:lineRule="auto"/>
              <w:jc w:val="center"/>
              <w:rPr>
                <w:sz w:val="20"/>
                <w:szCs w:val="20"/>
              </w:rPr>
            </w:pPr>
            <w:r>
              <w:rPr>
                <w:sz w:val="20"/>
                <w:szCs w:val="20"/>
              </w:rPr>
              <w:t xml:space="preserve">Que ante la mejora de la economía nacional se incremente el presupuesto público, a través del cual se podrá asignar mayores recursos para fortalecer el capital humano y las herramientas tecnológicas de las entidades públicas que integran el sistema nacional contra el LA. </w:t>
            </w:r>
          </w:p>
        </w:tc>
        <w:tc>
          <w:tcPr>
            <w:tcW w:w="1081" w:type="dxa"/>
            <w:tcBorders>
              <w:top w:val="nil"/>
              <w:left w:val="nil"/>
              <w:bottom w:val="single" w:sz="4" w:space="0" w:color="000000"/>
              <w:right w:val="single" w:sz="4" w:space="0" w:color="000000"/>
            </w:tcBorders>
            <w:shd w:val="clear" w:color="auto" w:fill="auto"/>
            <w:vAlign w:val="center"/>
          </w:tcPr>
          <w:p w:rsidR="00455F70" w:rsidRDefault="00455F70" w:rsidP="00455F70">
            <w:pPr>
              <w:spacing w:after="0" w:line="240" w:lineRule="auto"/>
              <w:jc w:val="center"/>
              <w:rPr>
                <w:rFonts w:ascii="Arial Narrow" w:eastAsia="Arial Narrow" w:hAnsi="Arial Narrow" w:cs="Arial Narrow"/>
                <w:sz w:val="20"/>
                <w:szCs w:val="20"/>
              </w:rPr>
            </w:pPr>
            <w:r>
              <w:rPr>
                <w:rFonts w:ascii="Arial Narrow" w:eastAsia="Arial Narrow" w:hAnsi="Arial Narrow" w:cs="Arial Narrow"/>
                <w:sz w:val="20"/>
                <w:szCs w:val="20"/>
              </w:rPr>
              <w:t>Mayor</w:t>
            </w:r>
          </w:p>
        </w:tc>
        <w:tc>
          <w:tcPr>
            <w:tcW w:w="1526" w:type="dxa"/>
            <w:tcBorders>
              <w:top w:val="nil"/>
              <w:left w:val="nil"/>
              <w:bottom w:val="single" w:sz="4" w:space="0" w:color="000000"/>
              <w:right w:val="single" w:sz="4" w:space="0" w:color="000000"/>
            </w:tcBorders>
            <w:shd w:val="clear" w:color="auto" w:fill="auto"/>
            <w:vAlign w:val="center"/>
          </w:tcPr>
          <w:p w:rsidR="00455F70" w:rsidRDefault="00455F70" w:rsidP="00455F70">
            <w:pPr>
              <w:spacing w:after="0" w:line="240" w:lineRule="auto"/>
              <w:jc w:val="center"/>
              <w:rPr>
                <w:rFonts w:ascii="Arial Narrow" w:eastAsia="Arial Narrow" w:hAnsi="Arial Narrow" w:cs="Arial Narrow"/>
                <w:sz w:val="20"/>
                <w:szCs w:val="20"/>
              </w:rPr>
            </w:pPr>
            <w:r>
              <w:rPr>
                <w:rFonts w:ascii="Arial Narrow" w:eastAsia="Arial Narrow" w:hAnsi="Arial Narrow" w:cs="Arial Narrow"/>
                <w:sz w:val="20"/>
                <w:szCs w:val="20"/>
              </w:rPr>
              <w:t>Moderada</w:t>
            </w:r>
          </w:p>
        </w:tc>
        <w:tc>
          <w:tcPr>
            <w:tcW w:w="1477" w:type="dxa"/>
            <w:tcBorders>
              <w:top w:val="single" w:sz="4" w:space="0" w:color="000000"/>
              <w:left w:val="single" w:sz="4" w:space="0" w:color="000000"/>
              <w:bottom w:val="single" w:sz="4" w:space="0" w:color="000000"/>
              <w:right w:val="single" w:sz="4" w:space="0" w:color="000000"/>
            </w:tcBorders>
            <w:shd w:val="clear" w:color="auto" w:fill="F79646"/>
            <w:vAlign w:val="center"/>
          </w:tcPr>
          <w:p w:rsidR="00455F70" w:rsidRDefault="00455F70" w:rsidP="00455F70">
            <w:pPr>
              <w:spacing w:after="0" w:line="240" w:lineRule="auto"/>
              <w:jc w:val="center"/>
              <w:rPr>
                <w:rFonts w:ascii="Arial Narrow" w:eastAsia="Arial Narrow" w:hAnsi="Arial Narrow" w:cs="Arial Narrow"/>
                <w:sz w:val="20"/>
                <w:szCs w:val="20"/>
              </w:rPr>
            </w:pPr>
            <w:r>
              <w:rPr>
                <w:rFonts w:ascii="Arial Narrow" w:eastAsia="Arial Narrow" w:hAnsi="Arial Narrow" w:cs="Arial Narrow"/>
                <w:sz w:val="20"/>
                <w:szCs w:val="20"/>
              </w:rPr>
              <w:t>18</w:t>
            </w:r>
          </w:p>
        </w:tc>
        <w:tc>
          <w:tcPr>
            <w:tcW w:w="1477" w:type="dxa"/>
            <w:tcBorders>
              <w:top w:val="nil"/>
              <w:left w:val="nil"/>
              <w:bottom w:val="single" w:sz="4" w:space="0" w:color="000000"/>
              <w:right w:val="single" w:sz="4" w:space="0" w:color="000000"/>
            </w:tcBorders>
            <w:shd w:val="clear" w:color="auto" w:fill="auto"/>
            <w:vAlign w:val="center"/>
          </w:tcPr>
          <w:p w:rsidR="00455F70" w:rsidRDefault="00455F70" w:rsidP="00455F70">
            <w:pPr>
              <w:spacing w:after="0" w:line="240" w:lineRule="auto"/>
              <w:jc w:val="center"/>
              <w:rPr>
                <w:rFonts w:ascii="Arial Narrow" w:eastAsia="Arial Narrow" w:hAnsi="Arial Narrow" w:cs="Arial Narrow"/>
                <w:sz w:val="20"/>
                <w:szCs w:val="20"/>
              </w:rPr>
            </w:pPr>
            <w:r>
              <w:rPr>
                <w:rFonts w:ascii="Arial Narrow" w:eastAsia="Arial Narrow" w:hAnsi="Arial Narrow" w:cs="Arial Narrow"/>
                <w:sz w:val="20"/>
                <w:szCs w:val="20"/>
              </w:rPr>
              <w:t>Alta</w:t>
            </w:r>
          </w:p>
        </w:tc>
      </w:tr>
      <w:tr w:rsidR="00455F70">
        <w:trPr>
          <w:trHeight w:val="1379"/>
        </w:trPr>
        <w:tc>
          <w:tcPr>
            <w:tcW w:w="469" w:type="dxa"/>
            <w:tcBorders>
              <w:top w:val="nil"/>
              <w:left w:val="single" w:sz="4" w:space="0" w:color="000000"/>
              <w:bottom w:val="single" w:sz="4" w:space="0" w:color="000000"/>
              <w:right w:val="single" w:sz="4" w:space="0" w:color="000000"/>
            </w:tcBorders>
            <w:shd w:val="clear" w:color="auto" w:fill="auto"/>
            <w:vAlign w:val="center"/>
          </w:tcPr>
          <w:p w:rsidR="00455F70" w:rsidRDefault="00172E19" w:rsidP="00455F70">
            <w:pPr>
              <w:spacing w:after="0" w:line="240" w:lineRule="auto"/>
              <w:jc w:val="center"/>
              <w:rPr>
                <w:b/>
                <w:sz w:val="20"/>
                <w:szCs w:val="20"/>
              </w:rPr>
            </w:pPr>
            <w:r>
              <w:rPr>
                <w:b/>
                <w:sz w:val="20"/>
                <w:szCs w:val="20"/>
              </w:rPr>
              <w:lastRenderedPageBreak/>
              <w:t>9</w:t>
            </w:r>
          </w:p>
        </w:tc>
        <w:tc>
          <w:tcPr>
            <w:tcW w:w="1896" w:type="dxa"/>
            <w:tcBorders>
              <w:top w:val="nil"/>
              <w:left w:val="nil"/>
              <w:bottom w:val="single" w:sz="4" w:space="0" w:color="000000"/>
              <w:right w:val="single" w:sz="4" w:space="0" w:color="000000"/>
            </w:tcBorders>
            <w:shd w:val="clear" w:color="auto" w:fill="auto"/>
            <w:vAlign w:val="center"/>
          </w:tcPr>
          <w:p w:rsidR="00455F70" w:rsidRDefault="00455F70" w:rsidP="00455F70">
            <w:pPr>
              <w:spacing w:after="0" w:line="240" w:lineRule="auto"/>
              <w:jc w:val="center"/>
              <w:rPr>
                <w:b/>
                <w:sz w:val="20"/>
                <w:szCs w:val="20"/>
              </w:rPr>
            </w:pPr>
            <w:r>
              <w:rPr>
                <w:b/>
                <w:sz w:val="20"/>
                <w:szCs w:val="20"/>
              </w:rPr>
              <w:t>Flujos de capitales;</w:t>
            </w:r>
            <w:r>
              <w:rPr>
                <w:b/>
                <w:sz w:val="20"/>
                <w:szCs w:val="20"/>
              </w:rPr>
              <w:br/>
              <w:t>Integración comercial</w:t>
            </w:r>
          </w:p>
        </w:tc>
        <w:tc>
          <w:tcPr>
            <w:tcW w:w="1301" w:type="dxa"/>
            <w:tcBorders>
              <w:top w:val="nil"/>
              <w:left w:val="nil"/>
              <w:bottom w:val="single" w:sz="4" w:space="0" w:color="000000"/>
              <w:right w:val="single" w:sz="4" w:space="0" w:color="000000"/>
            </w:tcBorders>
            <w:shd w:val="clear" w:color="auto" w:fill="auto"/>
            <w:vAlign w:val="center"/>
          </w:tcPr>
          <w:p w:rsidR="00455F70" w:rsidRDefault="00455F70" w:rsidP="00455F70">
            <w:pPr>
              <w:spacing w:after="0" w:line="240" w:lineRule="auto"/>
              <w:jc w:val="center"/>
              <w:rPr>
                <w:b/>
                <w:sz w:val="20"/>
                <w:szCs w:val="20"/>
              </w:rPr>
            </w:pPr>
            <w:r>
              <w:rPr>
                <w:b/>
                <w:sz w:val="20"/>
                <w:szCs w:val="20"/>
              </w:rPr>
              <w:t>Riesgo</w:t>
            </w:r>
          </w:p>
        </w:tc>
        <w:tc>
          <w:tcPr>
            <w:tcW w:w="4680" w:type="dxa"/>
            <w:tcBorders>
              <w:top w:val="nil"/>
              <w:left w:val="nil"/>
              <w:bottom w:val="single" w:sz="4" w:space="0" w:color="000000"/>
              <w:right w:val="single" w:sz="4" w:space="0" w:color="000000"/>
            </w:tcBorders>
            <w:shd w:val="clear" w:color="auto" w:fill="auto"/>
            <w:vAlign w:val="center"/>
          </w:tcPr>
          <w:p w:rsidR="00455F70" w:rsidRDefault="00455F70" w:rsidP="00455F70">
            <w:pPr>
              <w:spacing w:after="0" w:line="240" w:lineRule="auto"/>
              <w:jc w:val="center"/>
              <w:rPr>
                <w:sz w:val="20"/>
                <w:szCs w:val="20"/>
              </w:rPr>
            </w:pPr>
            <w:r>
              <w:rPr>
                <w:sz w:val="20"/>
                <w:szCs w:val="20"/>
              </w:rPr>
              <w:t xml:space="preserve">Que el mayor flujo de capitales y la mayor apertura comercial implique un aumento de los flujos financieros ilícitos y delitos como el contrabando y, en consecuencia, los casos de LA asociados a este delito precedente. </w:t>
            </w:r>
          </w:p>
        </w:tc>
        <w:tc>
          <w:tcPr>
            <w:tcW w:w="1081" w:type="dxa"/>
            <w:tcBorders>
              <w:top w:val="nil"/>
              <w:left w:val="nil"/>
              <w:bottom w:val="single" w:sz="4" w:space="0" w:color="000000"/>
              <w:right w:val="single" w:sz="4" w:space="0" w:color="000000"/>
            </w:tcBorders>
            <w:shd w:val="clear" w:color="auto" w:fill="auto"/>
            <w:vAlign w:val="center"/>
          </w:tcPr>
          <w:p w:rsidR="00455F70" w:rsidRDefault="00455F70" w:rsidP="00455F70">
            <w:pPr>
              <w:spacing w:after="0" w:line="240" w:lineRule="auto"/>
              <w:jc w:val="center"/>
              <w:rPr>
                <w:rFonts w:ascii="Arial Narrow" w:eastAsia="Arial Narrow" w:hAnsi="Arial Narrow" w:cs="Arial Narrow"/>
                <w:sz w:val="20"/>
                <w:szCs w:val="20"/>
              </w:rPr>
            </w:pPr>
            <w:r>
              <w:rPr>
                <w:rFonts w:ascii="Arial Narrow" w:eastAsia="Arial Narrow" w:hAnsi="Arial Narrow" w:cs="Arial Narrow"/>
                <w:sz w:val="20"/>
                <w:szCs w:val="20"/>
              </w:rPr>
              <w:t>Mayor</w:t>
            </w:r>
          </w:p>
        </w:tc>
        <w:tc>
          <w:tcPr>
            <w:tcW w:w="1526" w:type="dxa"/>
            <w:tcBorders>
              <w:top w:val="nil"/>
              <w:left w:val="nil"/>
              <w:bottom w:val="single" w:sz="4" w:space="0" w:color="000000"/>
              <w:right w:val="single" w:sz="4" w:space="0" w:color="000000"/>
            </w:tcBorders>
            <w:shd w:val="clear" w:color="auto" w:fill="auto"/>
            <w:vAlign w:val="center"/>
          </w:tcPr>
          <w:p w:rsidR="00455F70" w:rsidRDefault="00455F70" w:rsidP="00455F70">
            <w:pPr>
              <w:spacing w:after="0" w:line="240" w:lineRule="auto"/>
              <w:jc w:val="center"/>
              <w:rPr>
                <w:rFonts w:ascii="Arial Narrow" w:eastAsia="Arial Narrow" w:hAnsi="Arial Narrow" w:cs="Arial Narrow"/>
                <w:sz w:val="20"/>
                <w:szCs w:val="20"/>
              </w:rPr>
            </w:pPr>
            <w:r>
              <w:rPr>
                <w:rFonts w:ascii="Arial Narrow" w:eastAsia="Arial Narrow" w:hAnsi="Arial Narrow" w:cs="Arial Narrow"/>
                <w:sz w:val="20"/>
                <w:szCs w:val="20"/>
              </w:rPr>
              <w:t>Moderada</w:t>
            </w:r>
          </w:p>
        </w:tc>
        <w:tc>
          <w:tcPr>
            <w:tcW w:w="1477" w:type="dxa"/>
            <w:tcBorders>
              <w:top w:val="single" w:sz="4" w:space="0" w:color="000000"/>
              <w:left w:val="single" w:sz="4" w:space="0" w:color="000000"/>
              <w:bottom w:val="single" w:sz="4" w:space="0" w:color="000000"/>
              <w:right w:val="single" w:sz="4" w:space="0" w:color="000000"/>
            </w:tcBorders>
            <w:shd w:val="clear" w:color="auto" w:fill="F79646"/>
            <w:vAlign w:val="center"/>
          </w:tcPr>
          <w:p w:rsidR="00455F70" w:rsidRDefault="00455F70" w:rsidP="00455F70">
            <w:pPr>
              <w:spacing w:after="0" w:line="240" w:lineRule="auto"/>
              <w:jc w:val="center"/>
              <w:rPr>
                <w:rFonts w:ascii="Arial Narrow" w:eastAsia="Arial Narrow" w:hAnsi="Arial Narrow" w:cs="Arial Narrow"/>
                <w:sz w:val="20"/>
                <w:szCs w:val="20"/>
              </w:rPr>
            </w:pPr>
            <w:r>
              <w:rPr>
                <w:rFonts w:ascii="Arial Narrow" w:eastAsia="Arial Narrow" w:hAnsi="Arial Narrow" w:cs="Arial Narrow"/>
                <w:sz w:val="20"/>
                <w:szCs w:val="20"/>
              </w:rPr>
              <w:t>18</w:t>
            </w:r>
          </w:p>
        </w:tc>
        <w:tc>
          <w:tcPr>
            <w:tcW w:w="1477" w:type="dxa"/>
            <w:tcBorders>
              <w:top w:val="nil"/>
              <w:left w:val="nil"/>
              <w:bottom w:val="single" w:sz="4" w:space="0" w:color="000000"/>
              <w:right w:val="single" w:sz="4" w:space="0" w:color="000000"/>
            </w:tcBorders>
            <w:shd w:val="clear" w:color="auto" w:fill="auto"/>
            <w:vAlign w:val="center"/>
          </w:tcPr>
          <w:p w:rsidR="00455F70" w:rsidRDefault="00455F70" w:rsidP="00455F70">
            <w:pPr>
              <w:spacing w:after="0" w:line="240" w:lineRule="auto"/>
              <w:jc w:val="center"/>
              <w:rPr>
                <w:rFonts w:ascii="Arial Narrow" w:eastAsia="Arial Narrow" w:hAnsi="Arial Narrow" w:cs="Arial Narrow"/>
                <w:sz w:val="20"/>
                <w:szCs w:val="20"/>
              </w:rPr>
            </w:pPr>
            <w:r>
              <w:rPr>
                <w:rFonts w:ascii="Arial Narrow" w:eastAsia="Arial Narrow" w:hAnsi="Arial Narrow" w:cs="Arial Narrow"/>
                <w:sz w:val="20"/>
                <w:szCs w:val="20"/>
              </w:rPr>
              <w:t>Alta</w:t>
            </w:r>
          </w:p>
        </w:tc>
      </w:tr>
      <w:tr w:rsidR="00455F70">
        <w:trPr>
          <w:trHeight w:val="1379"/>
        </w:trPr>
        <w:tc>
          <w:tcPr>
            <w:tcW w:w="469" w:type="dxa"/>
            <w:tcBorders>
              <w:top w:val="nil"/>
              <w:left w:val="single" w:sz="4" w:space="0" w:color="000000"/>
              <w:bottom w:val="single" w:sz="4" w:space="0" w:color="000000"/>
              <w:right w:val="single" w:sz="4" w:space="0" w:color="000000"/>
            </w:tcBorders>
            <w:shd w:val="clear" w:color="auto" w:fill="auto"/>
            <w:vAlign w:val="center"/>
          </w:tcPr>
          <w:p w:rsidR="00455F70" w:rsidRDefault="00172E19" w:rsidP="00455F70">
            <w:pPr>
              <w:spacing w:after="0" w:line="240" w:lineRule="auto"/>
              <w:jc w:val="center"/>
              <w:rPr>
                <w:b/>
                <w:sz w:val="20"/>
                <w:szCs w:val="20"/>
              </w:rPr>
            </w:pPr>
            <w:r>
              <w:rPr>
                <w:b/>
                <w:sz w:val="20"/>
                <w:szCs w:val="20"/>
              </w:rPr>
              <w:t>10</w:t>
            </w:r>
          </w:p>
        </w:tc>
        <w:tc>
          <w:tcPr>
            <w:tcW w:w="1896" w:type="dxa"/>
            <w:tcBorders>
              <w:top w:val="nil"/>
              <w:left w:val="nil"/>
              <w:bottom w:val="single" w:sz="4" w:space="0" w:color="000000"/>
              <w:right w:val="single" w:sz="4" w:space="0" w:color="000000"/>
            </w:tcBorders>
            <w:shd w:val="clear" w:color="auto" w:fill="auto"/>
            <w:vAlign w:val="center"/>
          </w:tcPr>
          <w:p w:rsidR="00455F70" w:rsidRDefault="00455F70" w:rsidP="00455F70">
            <w:pPr>
              <w:spacing w:after="0" w:line="240" w:lineRule="auto"/>
              <w:jc w:val="center"/>
              <w:rPr>
                <w:b/>
                <w:sz w:val="20"/>
                <w:szCs w:val="20"/>
              </w:rPr>
            </w:pPr>
            <w:r>
              <w:rPr>
                <w:b/>
                <w:sz w:val="20"/>
                <w:szCs w:val="20"/>
              </w:rPr>
              <w:t xml:space="preserve">Innovación, </w:t>
            </w:r>
            <w:r>
              <w:rPr>
                <w:b/>
                <w:sz w:val="20"/>
                <w:szCs w:val="20"/>
              </w:rPr>
              <w:br/>
              <w:t>Escenario de disrupción tecnológica</w:t>
            </w:r>
          </w:p>
        </w:tc>
        <w:tc>
          <w:tcPr>
            <w:tcW w:w="1301" w:type="dxa"/>
            <w:tcBorders>
              <w:top w:val="nil"/>
              <w:left w:val="nil"/>
              <w:bottom w:val="single" w:sz="4" w:space="0" w:color="000000"/>
              <w:right w:val="single" w:sz="4" w:space="0" w:color="000000"/>
            </w:tcBorders>
            <w:shd w:val="clear" w:color="auto" w:fill="auto"/>
            <w:vAlign w:val="center"/>
          </w:tcPr>
          <w:p w:rsidR="00455F70" w:rsidRDefault="00455F70" w:rsidP="00455F70">
            <w:pPr>
              <w:spacing w:after="0" w:line="240" w:lineRule="auto"/>
              <w:jc w:val="center"/>
              <w:rPr>
                <w:b/>
                <w:sz w:val="20"/>
                <w:szCs w:val="20"/>
              </w:rPr>
            </w:pPr>
            <w:r>
              <w:rPr>
                <w:b/>
                <w:sz w:val="20"/>
                <w:szCs w:val="20"/>
              </w:rPr>
              <w:t>Oportunidad</w:t>
            </w:r>
          </w:p>
        </w:tc>
        <w:tc>
          <w:tcPr>
            <w:tcW w:w="4680" w:type="dxa"/>
            <w:tcBorders>
              <w:top w:val="nil"/>
              <w:left w:val="nil"/>
              <w:bottom w:val="single" w:sz="4" w:space="0" w:color="000000"/>
              <w:right w:val="single" w:sz="4" w:space="0" w:color="000000"/>
            </w:tcBorders>
            <w:shd w:val="clear" w:color="auto" w:fill="auto"/>
            <w:vAlign w:val="center"/>
          </w:tcPr>
          <w:p w:rsidR="00455F70" w:rsidRDefault="00455F70" w:rsidP="00455F70">
            <w:pPr>
              <w:spacing w:after="0" w:line="240" w:lineRule="auto"/>
              <w:jc w:val="center"/>
              <w:rPr>
                <w:sz w:val="20"/>
                <w:szCs w:val="20"/>
              </w:rPr>
            </w:pPr>
            <w:r>
              <w:rPr>
                <w:sz w:val="20"/>
                <w:szCs w:val="20"/>
              </w:rPr>
              <w:t>Que al contar con mayores herramientas tecnológicas se generen mayores sinergias y se mejore la coordinación institucional entre las distintas entidades del Sistema Nacional contra el LA</w:t>
            </w:r>
          </w:p>
        </w:tc>
        <w:tc>
          <w:tcPr>
            <w:tcW w:w="1081" w:type="dxa"/>
            <w:tcBorders>
              <w:top w:val="nil"/>
              <w:left w:val="nil"/>
              <w:bottom w:val="single" w:sz="4" w:space="0" w:color="000000"/>
              <w:right w:val="single" w:sz="4" w:space="0" w:color="000000"/>
            </w:tcBorders>
            <w:shd w:val="clear" w:color="auto" w:fill="auto"/>
            <w:vAlign w:val="center"/>
          </w:tcPr>
          <w:p w:rsidR="00455F70" w:rsidRDefault="00455F70" w:rsidP="00455F70">
            <w:pPr>
              <w:spacing w:after="0" w:line="240" w:lineRule="auto"/>
              <w:jc w:val="center"/>
              <w:rPr>
                <w:rFonts w:ascii="Arial Narrow" w:eastAsia="Arial Narrow" w:hAnsi="Arial Narrow" w:cs="Arial Narrow"/>
                <w:sz w:val="20"/>
                <w:szCs w:val="20"/>
              </w:rPr>
            </w:pPr>
            <w:r>
              <w:rPr>
                <w:rFonts w:ascii="Arial Narrow" w:eastAsia="Arial Narrow" w:hAnsi="Arial Narrow" w:cs="Arial Narrow"/>
                <w:sz w:val="20"/>
                <w:szCs w:val="20"/>
              </w:rPr>
              <w:t>Mayor</w:t>
            </w:r>
          </w:p>
        </w:tc>
        <w:tc>
          <w:tcPr>
            <w:tcW w:w="1526" w:type="dxa"/>
            <w:tcBorders>
              <w:top w:val="nil"/>
              <w:left w:val="nil"/>
              <w:bottom w:val="single" w:sz="4" w:space="0" w:color="000000"/>
              <w:right w:val="single" w:sz="4" w:space="0" w:color="000000"/>
            </w:tcBorders>
            <w:shd w:val="clear" w:color="auto" w:fill="auto"/>
            <w:vAlign w:val="center"/>
          </w:tcPr>
          <w:p w:rsidR="00455F70" w:rsidRDefault="00455F70" w:rsidP="00455F70">
            <w:pPr>
              <w:spacing w:after="0" w:line="240" w:lineRule="auto"/>
              <w:jc w:val="center"/>
              <w:rPr>
                <w:rFonts w:ascii="Arial Narrow" w:eastAsia="Arial Narrow" w:hAnsi="Arial Narrow" w:cs="Arial Narrow"/>
                <w:sz w:val="20"/>
                <w:szCs w:val="20"/>
              </w:rPr>
            </w:pPr>
            <w:r>
              <w:rPr>
                <w:rFonts w:ascii="Arial Narrow" w:eastAsia="Arial Narrow" w:hAnsi="Arial Narrow" w:cs="Arial Narrow"/>
                <w:sz w:val="20"/>
                <w:szCs w:val="20"/>
              </w:rPr>
              <w:t>Moderada</w:t>
            </w:r>
          </w:p>
        </w:tc>
        <w:tc>
          <w:tcPr>
            <w:tcW w:w="1477" w:type="dxa"/>
            <w:tcBorders>
              <w:top w:val="single" w:sz="4" w:space="0" w:color="000000"/>
              <w:left w:val="single" w:sz="4" w:space="0" w:color="000000"/>
              <w:bottom w:val="single" w:sz="4" w:space="0" w:color="000000"/>
              <w:right w:val="single" w:sz="4" w:space="0" w:color="000000"/>
            </w:tcBorders>
            <w:shd w:val="clear" w:color="auto" w:fill="F79646"/>
            <w:vAlign w:val="center"/>
          </w:tcPr>
          <w:p w:rsidR="00455F70" w:rsidRDefault="00455F70" w:rsidP="00455F70">
            <w:pPr>
              <w:spacing w:after="0" w:line="240" w:lineRule="auto"/>
              <w:jc w:val="center"/>
              <w:rPr>
                <w:rFonts w:ascii="Arial Narrow" w:eastAsia="Arial Narrow" w:hAnsi="Arial Narrow" w:cs="Arial Narrow"/>
                <w:sz w:val="20"/>
                <w:szCs w:val="20"/>
              </w:rPr>
            </w:pPr>
            <w:r>
              <w:rPr>
                <w:rFonts w:ascii="Arial Narrow" w:eastAsia="Arial Narrow" w:hAnsi="Arial Narrow" w:cs="Arial Narrow"/>
                <w:sz w:val="20"/>
                <w:szCs w:val="20"/>
              </w:rPr>
              <w:t>18</w:t>
            </w:r>
          </w:p>
        </w:tc>
        <w:tc>
          <w:tcPr>
            <w:tcW w:w="1477" w:type="dxa"/>
            <w:tcBorders>
              <w:top w:val="nil"/>
              <w:left w:val="nil"/>
              <w:bottom w:val="single" w:sz="4" w:space="0" w:color="000000"/>
              <w:right w:val="single" w:sz="4" w:space="0" w:color="000000"/>
            </w:tcBorders>
            <w:shd w:val="clear" w:color="auto" w:fill="auto"/>
            <w:vAlign w:val="center"/>
          </w:tcPr>
          <w:p w:rsidR="00455F70" w:rsidRDefault="00455F70" w:rsidP="00455F70">
            <w:pPr>
              <w:spacing w:after="0" w:line="240" w:lineRule="auto"/>
              <w:jc w:val="center"/>
              <w:rPr>
                <w:rFonts w:ascii="Arial Narrow" w:eastAsia="Arial Narrow" w:hAnsi="Arial Narrow" w:cs="Arial Narrow"/>
                <w:sz w:val="20"/>
                <w:szCs w:val="20"/>
              </w:rPr>
            </w:pPr>
            <w:r>
              <w:rPr>
                <w:rFonts w:ascii="Arial Narrow" w:eastAsia="Arial Narrow" w:hAnsi="Arial Narrow" w:cs="Arial Narrow"/>
                <w:sz w:val="20"/>
                <w:szCs w:val="20"/>
              </w:rPr>
              <w:t>Alta</w:t>
            </w:r>
          </w:p>
        </w:tc>
      </w:tr>
      <w:tr w:rsidR="00455F70">
        <w:trPr>
          <w:trHeight w:val="1096"/>
        </w:trPr>
        <w:tc>
          <w:tcPr>
            <w:tcW w:w="469" w:type="dxa"/>
            <w:tcBorders>
              <w:top w:val="nil"/>
              <w:left w:val="single" w:sz="4" w:space="0" w:color="000000"/>
              <w:bottom w:val="single" w:sz="4" w:space="0" w:color="000000"/>
              <w:right w:val="single" w:sz="4" w:space="0" w:color="000000"/>
            </w:tcBorders>
            <w:shd w:val="clear" w:color="auto" w:fill="auto"/>
            <w:vAlign w:val="center"/>
          </w:tcPr>
          <w:p w:rsidR="00455F70" w:rsidRDefault="00172E19" w:rsidP="00455F70">
            <w:pPr>
              <w:spacing w:after="0" w:line="240" w:lineRule="auto"/>
              <w:jc w:val="center"/>
              <w:rPr>
                <w:b/>
                <w:sz w:val="20"/>
                <w:szCs w:val="20"/>
              </w:rPr>
            </w:pPr>
            <w:r>
              <w:rPr>
                <w:b/>
                <w:sz w:val="20"/>
                <w:szCs w:val="20"/>
              </w:rPr>
              <w:t>11</w:t>
            </w:r>
          </w:p>
        </w:tc>
        <w:tc>
          <w:tcPr>
            <w:tcW w:w="1896" w:type="dxa"/>
            <w:tcBorders>
              <w:top w:val="nil"/>
              <w:left w:val="nil"/>
              <w:bottom w:val="single" w:sz="4" w:space="0" w:color="000000"/>
              <w:right w:val="single" w:sz="4" w:space="0" w:color="000000"/>
            </w:tcBorders>
            <w:shd w:val="clear" w:color="auto" w:fill="auto"/>
            <w:vAlign w:val="center"/>
          </w:tcPr>
          <w:p w:rsidR="00455F70" w:rsidRDefault="00455F70" w:rsidP="00455F70">
            <w:pPr>
              <w:spacing w:after="0" w:line="240" w:lineRule="auto"/>
              <w:jc w:val="center"/>
              <w:rPr>
                <w:b/>
                <w:sz w:val="20"/>
                <w:szCs w:val="20"/>
              </w:rPr>
            </w:pPr>
            <w:r>
              <w:rPr>
                <w:b/>
                <w:sz w:val="20"/>
                <w:szCs w:val="20"/>
              </w:rPr>
              <w:t>Desconfianza en los poderes del Estado;</w:t>
            </w:r>
            <w:r>
              <w:rPr>
                <w:b/>
                <w:sz w:val="20"/>
                <w:szCs w:val="20"/>
              </w:rPr>
              <w:br/>
              <w:t>Corrupción;</w:t>
            </w:r>
            <w:r>
              <w:rPr>
                <w:b/>
                <w:sz w:val="20"/>
                <w:szCs w:val="20"/>
              </w:rPr>
              <w:br/>
              <w:t>Escenario de crisis social</w:t>
            </w:r>
          </w:p>
        </w:tc>
        <w:tc>
          <w:tcPr>
            <w:tcW w:w="1301" w:type="dxa"/>
            <w:tcBorders>
              <w:top w:val="nil"/>
              <w:left w:val="nil"/>
              <w:bottom w:val="single" w:sz="4" w:space="0" w:color="000000"/>
              <w:right w:val="single" w:sz="4" w:space="0" w:color="000000"/>
            </w:tcBorders>
            <w:shd w:val="clear" w:color="auto" w:fill="auto"/>
            <w:vAlign w:val="center"/>
          </w:tcPr>
          <w:p w:rsidR="00455F70" w:rsidRPr="00172E19" w:rsidRDefault="00455F70" w:rsidP="00455F70">
            <w:pPr>
              <w:spacing w:after="0" w:line="240" w:lineRule="auto"/>
              <w:jc w:val="center"/>
              <w:rPr>
                <w:b/>
                <w:sz w:val="20"/>
                <w:szCs w:val="20"/>
              </w:rPr>
            </w:pPr>
            <w:r w:rsidRPr="00172E19">
              <w:rPr>
                <w:b/>
                <w:sz w:val="20"/>
                <w:szCs w:val="20"/>
              </w:rPr>
              <w:t>Riesgo</w:t>
            </w:r>
          </w:p>
        </w:tc>
        <w:tc>
          <w:tcPr>
            <w:tcW w:w="4680" w:type="dxa"/>
            <w:tcBorders>
              <w:top w:val="nil"/>
              <w:left w:val="nil"/>
              <w:bottom w:val="single" w:sz="4" w:space="0" w:color="000000"/>
              <w:right w:val="single" w:sz="4" w:space="0" w:color="000000"/>
            </w:tcBorders>
            <w:shd w:val="clear" w:color="auto" w:fill="auto"/>
            <w:vAlign w:val="center"/>
          </w:tcPr>
          <w:p w:rsidR="00455F70" w:rsidRPr="00172E19" w:rsidRDefault="00455F70" w:rsidP="00455F70">
            <w:pPr>
              <w:spacing w:after="0" w:line="240" w:lineRule="auto"/>
              <w:jc w:val="center"/>
              <w:rPr>
                <w:sz w:val="20"/>
                <w:szCs w:val="20"/>
              </w:rPr>
            </w:pPr>
            <w:r w:rsidRPr="00172E19">
              <w:rPr>
                <w:sz w:val="20"/>
                <w:szCs w:val="20"/>
              </w:rPr>
              <w:t xml:space="preserve">Que ante el aumento de la corrupción, la falta de integridad pública en los funcionarios y servidores públicos y la desconfianza en los poderes del Estado se reduzca la participación activa de la ciudadanía en la lucha contra el lavado de activos. </w:t>
            </w:r>
          </w:p>
        </w:tc>
        <w:tc>
          <w:tcPr>
            <w:tcW w:w="1081" w:type="dxa"/>
            <w:tcBorders>
              <w:top w:val="nil"/>
              <w:left w:val="nil"/>
              <w:bottom w:val="single" w:sz="4" w:space="0" w:color="000000"/>
              <w:right w:val="single" w:sz="4" w:space="0" w:color="000000"/>
            </w:tcBorders>
            <w:shd w:val="clear" w:color="auto" w:fill="auto"/>
            <w:vAlign w:val="center"/>
          </w:tcPr>
          <w:p w:rsidR="00455F70" w:rsidRPr="00172E19" w:rsidRDefault="00455F70" w:rsidP="00455F70">
            <w:pPr>
              <w:spacing w:after="0" w:line="240" w:lineRule="auto"/>
              <w:jc w:val="center"/>
              <w:rPr>
                <w:rFonts w:ascii="Arial Narrow" w:eastAsia="Arial Narrow" w:hAnsi="Arial Narrow" w:cs="Arial Narrow"/>
                <w:sz w:val="20"/>
                <w:szCs w:val="20"/>
              </w:rPr>
            </w:pPr>
            <w:r w:rsidRPr="00172E19">
              <w:rPr>
                <w:rFonts w:ascii="Arial Narrow" w:eastAsia="Arial Narrow" w:hAnsi="Arial Narrow" w:cs="Arial Narrow"/>
                <w:sz w:val="20"/>
                <w:szCs w:val="20"/>
              </w:rPr>
              <w:t>Moderado</w:t>
            </w:r>
          </w:p>
        </w:tc>
        <w:tc>
          <w:tcPr>
            <w:tcW w:w="1526" w:type="dxa"/>
            <w:tcBorders>
              <w:top w:val="nil"/>
              <w:left w:val="nil"/>
              <w:bottom w:val="single" w:sz="4" w:space="0" w:color="000000"/>
              <w:right w:val="single" w:sz="4" w:space="0" w:color="000000"/>
            </w:tcBorders>
            <w:shd w:val="clear" w:color="auto" w:fill="auto"/>
            <w:vAlign w:val="center"/>
          </w:tcPr>
          <w:p w:rsidR="00455F70" w:rsidRPr="00172E19" w:rsidRDefault="00455F70" w:rsidP="00455F70">
            <w:pPr>
              <w:spacing w:after="0" w:line="240" w:lineRule="auto"/>
              <w:jc w:val="center"/>
              <w:rPr>
                <w:rFonts w:ascii="Arial Narrow" w:eastAsia="Arial Narrow" w:hAnsi="Arial Narrow" w:cs="Arial Narrow"/>
                <w:sz w:val="20"/>
                <w:szCs w:val="20"/>
              </w:rPr>
            </w:pPr>
            <w:r w:rsidRPr="00172E19">
              <w:rPr>
                <w:rFonts w:ascii="Arial Narrow" w:eastAsia="Arial Narrow" w:hAnsi="Arial Narrow" w:cs="Arial Narrow"/>
                <w:sz w:val="20"/>
                <w:szCs w:val="20"/>
              </w:rPr>
              <w:t>Moderada</w:t>
            </w:r>
          </w:p>
        </w:tc>
        <w:tc>
          <w:tcPr>
            <w:tcW w:w="1477"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455F70" w:rsidRDefault="00455F70" w:rsidP="00455F70">
            <w:pPr>
              <w:spacing w:after="0" w:line="240" w:lineRule="auto"/>
              <w:jc w:val="center"/>
              <w:rPr>
                <w:rFonts w:ascii="Arial Narrow" w:eastAsia="Arial Narrow" w:hAnsi="Arial Narrow" w:cs="Arial Narrow"/>
                <w:sz w:val="20"/>
                <w:szCs w:val="20"/>
              </w:rPr>
            </w:pPr>
            <w:r>
              <w:rPr>
                <w:rFonts w:ascii="Arial Narrow" w:eastAsia="Arial Narrow" w:hAnsi="Arial Narrow" w:cs="Arial Narrow"/>
                <w:sz w:val="20"/>
                <w:szCs w:val="20"/>
              </w:rPr>
              <w:t>14</w:t>
            </w:r>
          </w:p>
        </w:tc>
        <w:tc>
          <w:tcPr>
            <w:tcW w:w="1477" w:type="dxa"/>
            <w:tcBorders>
              <w:top w:val="nil"/>
              <w:left w:val="nil"/>
              <w:bottom w:val="single" w:sz="4" w:space="0" w:color="000000"/>
              <w:right w:val="single" w:sz="4" w:space="0" w:color="000000"/>
            </w:tcBorders>
            <w:shd w:val="clear" w:color="auto" w:fill="auto"/>
            <w:vAlign w:val="center"/>
          </w:tcPr>
          <w:p w:rsidR="00455F70" w:rsidRDefault="00455F70" w:rsidP="00455F70">
            <w:pPr>
              <w:spacing w:after="0" w:line="240" w:lineRule="auto"/>
              <w:jc w:val="center"/>
              <w:rPr>
                <w:rFonts w:ascii="Arial Narrow" w:eastAsia="Arial Narrow" w:hAnsi="Arial Narrow" w:cs="Arial Narrow"/>
                <w:sz w:val="20"/>
                <w:szCs w:val="20"/>
              </w:rPr>
            </w:pPr>
            <w:r>
              <w:rPr>
                <w:rFonts w:ascii="Arial Narrow" w:eastAsia="Arial Narrow" w:hAnsi="Arial Narrow" w:cs="Arial Narrow"/>
                <w:sz w:val="20"/>
                <w:szCs w:val="20"/>
              </w:rPr>
              <w:t>Media</w:t>
            </w:r>
          </w:p>
        </w:tc>
      </w:tr>
      <w:tr w:rsidR="00455F70">
        <w:trPr>
          <w:trHeight w:val="1034"/>
        </w:trPr>
        <w:tc>
          <w:tcPr>
            <w:tcW w:w="469" w:type="dxa"/>
            <w:tcBorders>
              <w:top w:val="nil"/>
              <w:left w:val="single" w:sz="4" w:space="0" w:color="000000"/>
              <w:bottom w:val="single" w:sz="4" w:space="0" w:color="000000"/>
              <w:right w:val="single" w:sz="4" w:space="0" w:color="000000"/>
            </w:tcBorders>
            <w:shd w:val="clear" w:color="auto" w:fill="auto"/>
            <w:vAlign w:val="center"/>
          </w:tcPr>
          <w:p w:rsidR="00455F70" w:rsidRDefault="00172E19" w:rsidP="00455F70">
            <w:pPr>
              <w:spacing w:after="0" w:line="240" w:lineRule="auto"/>
              <w:jc w:val="center"/>
              <w:rPr>
                <w:b/>
                <w:sz w:val="20"/>
                <w:szCs w:val="20"/>
              </w:rPr>
            </w:pPr>
            <w:r>
              <w:rPr>
                <w:b/>
                <w:sz w:val="20"/>
                <w:szCs w:val="20"/>
              </w:rPr>
              <w:t>12</w:t>
            </w:r>
          </w:p>
        </w:tc>
        <w:tc>
          <w:tcPr>
            <w:tcW w:w="1896" w:type="dxa"/>
            <w:tcBorders>
              <w:top w:val="nil"/>
              <w:left w:val="nil"/>
              <w:bottom w:val="single" w:sz="4" w:space="0" w:color="000000"/>
              <w:right w:val="single" w:sz="4" w:space="0" w:color="000000"/>
            </w:tcBorders>
            <w:shd w:val="clear" w:color="auto" w:fill="auto"/>
            <w:vAlign w:val="center"/>
          </w:tcPr>
          <w:p w:rsidR="00455F70" w:rsidRDefault="00455F70" w:rsidP="00455F70">
            <w:pPr>
              <w:spacing w:after="0" w:line="240" w:lineRule="auto"/>
              <w:jc w:val="center"/>
              <w:rPr>
                <w:b/>
                <w:sz w:val="20"/>
                <w:szCs w:val="20"/>
              </w:rPr>
            </w:pPr>
            <w:r>
              <w:rPr>
                <w:b/>
                <w:sz w:val="20"/>
                <w:szCs w:val="20"/>
              </w:rPr>
              <w:t>Economía ilegal política</w:t>
            </w:r>
          </w:p>
        </w:tc>
        <w:tc>
          <w:tcPr>
            <w:tcW w:w="1301" w:type="dxa"/>
            <w:tcBorders>
              <w:top w:val="nil"/>
              <w:left w:val="nil"/>
              <w:bottom w:val="single" w:sz="4" w:space="0" w:color="000000"/>
              <w:right w:val="single" w:sz="4" w:space="0" w:color="000000"/>
            </w:tcBorders>
            <w:shd w:val="clear" w:color="auto" w:fill="auto"/>
            <w:vAlign w:val="center"/>
          </w:tcPr>
          <w:p w:rsidR="00455F70" w:rsidRDefault="00455F70" w:rsidP="00455F70">
            <w:pPr>
              <w:spacing w:after="0" w:line="240" w:lineRule="auto"/>
              <w:jc w:val="center"/>
              <w:rPr>
                <w:b/>
                <w:sz w:val="20"/>
                <w:szCs w:val="20"/>
              </w:rPr>
            </w:pPr>
            <w:r>
              <w:rPr>
                <w:b/>
                <w:sz w:val="20"/>
                <w:szCs w:val="20"/>
              </w:rPr>
              <w:t>Riesgo</w:t>
            </w:r>
          </w:p>
        </w:tc>
        <w:tc>
          <w:tcPr>
            <w:tcW w:w="4680" w:type="dxa"/>
            <w:tcBorders>
              <w:top w:val="nil"/>
              <w:left w:val="nil"/>
              <w:bottom w:val="single" w:sz="4" w:space="0" w:color="000000"/>
              <w:right w:val="single" w:sz="4" w:space="0" w:color="000000"/>
            </w:tcBorders>
            <w:shd w:val="clear" w:color="auto" w:fill="auto"/>
            <w:vAlign w:val="center"/>
          </w:tcPr>
          <w:p w:rsidR="00455F70" w:rsidRDefault="00455F70" w:rsidP="00455F70">
            <w:pPr>
              <w:spacing w:after="0" w:line="240" w:lineRule="auto"/>
              <w:jc w:val="center"/>
              <w:rPr>
                <w:sz w:val="20"/>
                <w:szCs w:val="20"/>
              </w:rPr>
            </w:pPr>
            <w:r>
              <w:rPr>
                <w:sz w:val="20"/>
                <w:szCs w:val="20"/>
              </w:rPr>
              <w:t xml:space="preserve">Que se siga financiando campañas de organizaciones políticas con aportes de origen ilícito y, posteriormente, se beneficien cuando eventualmente lleguen al gobierno. </w:t>
            </w:r>
          </w:p>
        </w:tc>
        <w:tc>
          <w:tcPr>
            <w:tcW w:w="1081" w:type="dxa"/>
            <w:tcBorders>
              <w:top w:val="nil"/>
              <w:left w:val="nil"/>
              <w:bottom w:val="single" w:sz="4" w:space="0" w:color="000000"/>
              <w:right w:val="single" w:sz="4" w:space="0" w:color="000000"/>
            </w:tcBorders>
            <w:shd w:val="clear" w:color="auto" w:fill="auto"/>
            <w:vAlign w:val="center"/>
          </w:tcPr>
          <w:p w:rsidR="00455F70" w:rsidRDefault="00455F70" w:rsidP="00455F70">
            <w:pPr>
              <w:spacing w:after="0" w:line="240" w:lineRule="auto"/>
              <w:jc w:val="center"/>
              <w:rPr>
                <w:rFonts w:ascii="Arial Narrow" w:eastAsia="Arial Narrow" w:hAnsi="Arial Narrow" w:cs="Arial Narrow"/>
                <w:sz w:val="20"/>
                <w:szCs w:val="20"/>
              </w:rPr>
            </w:pPr>
            <w:r>
              <w:rPr>
                <w:rFonts w:ascii="Arial Narrow" w:eastAsia="Arial Narrow" w:hAnsi="Arial Narrow" w:cs="Arial Narrow"/>
                <w:sz w:val="20"/>
                <w:szCs w:val="20"/>
              </w:rPr>
              <w:t>Moderado</w:t>
            </w:r>
          </w:p>
        </w:tc>
        <w:tc>
          <w:tcPr>
            <w:tcW w:w="1526" w:type="dxa"/>
            <w:tcBorders>
              <w:top w:val="nil"/>
              <w:left w:val="nil"/>
              <w:bottom w:val="single" w:sz="4" w:space="0" w:color="000000"/>
              <w:right w:val="single" w:sz="4" w:space="0" w:color="000000"/>
            </w:tcBorders>
            <w:shd w:val="clear" w:color="auto" w:fill="auto"/>
            <w:vAlign w:val="center"/>
          </w:tcPr>
          <w:p w:rsidR="00455F70" w:rsidRDefault="00455F70" w:rsidP="00455F70">
            <w:pPr>
              <w:spacing w:after="0" w:line="240" w:lineRule="auto"/>
              <w:jc w:val="center"/>
              <w:rPr>
                <w:rFonts w:ascii="Arial Narrow" w:eastAsia="Arial Narrow" w:hAnsi="Arial Narrow" w:cs="Arial Narrow"/>
                <w:sz w:val="20"/>
                <w:szCs w:val="20"/>
              </w:rPr>
            </w:pPr>
            <w:r>
              <w:rPr>
                <w:rFonts w:ascii="Arial Narrow" w:eastAsia="Arial Narrow" w:hAnsi="Arial Narrow" w:cs="Arial Narrow"/>
                <w:sz w:val="20"/>
                <w:szCs w:val="20"/>
              </w:rPr>
              <w:t>Baja</w:t>
            </w:r>
          </w:p>
        </w:tc>
        <w:tc>
          <w:tcPr>
            <w:tcW w:w="1477"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455F70" w:rsidRDefault="00455F70" w:rsidP="00455F70">
            <w:pPr>
              <w:spacing w:after="0" w:line="240" w:lineRule="auto"/>
              <w:jc w:val="center"/>
              <w:rPr>
                <w:rFonts w:ascii="Arial Narrow" w:eastAsia="Arial Narrow" w:hAnsi="Arial Narrow" w:cs="Arial Narrow"/>
                <w:sz w:val="20"/>
                <w:szCs w:val="20"/>
              </w:rPr>
            </w:pPr>
            <w:r>
              <w:rPr>
                <w:rFonts w:ascii="Arial Narrow" w:eastAsia="Arial Narrow" w:hAnsi="Arial Narrow" w:cs="Arial Narrow"/>
                <w:sz w:val="20"/>
                <w:szCs w:val="20"/>
              </w:rPr>
              <w:t>10</w:t>
            </w:r>
          </w:p>
        </w:tc>
        <w:tc>
          <w:tcPr>
            <w:tcW w:w="1477" w:type="dxa"/>
            <w:tcBorders>
              <w:top w:val="nil"/>
              <w:left w:val="nil"/>
              <w:bottom w:val="single" w:sz="4" w:space="0" w:color="000000"/>
              <w:right w:val="single" w:sz="4" w:space="0" w:color="000000"/>
            </w:tcBorders>
            <w:shd w:val="clear" w:color="auto" w:fill="auto"/>
            <w:vAlign w:val="center"/>
          </w:tcPr>
          <w:p w:rsidR="00455F70" w:rsidRDefault="00455F70" w:rsidP="00455F70">
            <w:pPr>
              <w:spacing w:after="0" w:line="240" w:lineRule="auto"/>
              <w:jc w:val="center"/>
              <w:rPr>
                <w:rFonts w:ascii="Arial Narrow" w:eastAsia="Arial Narrow" w:hAnsi="Arial Narrow" w:cs="Arial Narrow"/>
                <w:sz w:val="20"/>
                <w:szCs w:val="20"/>
              </w:rPr>
            </w:pPr>
            <w:r>
              <w:rPr>
                <w:rFonts w:ascii="Arial Narrow" w:eastAsia="Arial Narrow" w:hAnsi="Arial Narrow" w:cs="Arial Narrow"/>
                <w:sz w:val="20"/>
                <w:szCs w:val="20"/>
              </w:rPr>
              <w:t>Media</w:t>
            </w:r>
          </w:p>
        </w:tc>
      </w:tr>
    </w:tbl>
    <w:p w:rsidR="00000AA1" w:rsidRDefault="00000AA1">
      <w:pPr>
        <w:spacing w:line="240" w:lineRule="auto"/>
        <w:jc w:val="both"/>
        <w:rPr>
          <w:i/>
        </w:rPr>
      </w:pPr>
    </w:p>
    <w:p w:rsidR="00000AA1" w:rsidRDefault="00000AA1">
      <w:pPr>
        <w:spacing w:line="240" w:lineRule="auto"/>
        <w:jc w:val="both"/>
        <w:rPr>
          <w:i/>
        </w:rPr>
      </w:pPr>
    </w:p>
    <w:p w:rsidR="00000AA1" w:rsidRDefault="00000AA1">
      <w:pPr>
        <w:spacing w:line="240" w:lineRule="auto"/>
        <w:jc w:val="both"/>
        <w:rPr>
          <w:i/>
        </w:rPr>
      </w:pPr>
    </w:p>
    <w:p w:rsidR="00000AA1" w:rsidRDefault="00000AA1">
      <w:pPr>
        <w:spacing w:line="240" w:lineRule="auto"/>
        <w:jc w:val="both"/>
        <w:rPr>
          <w:i/>
        </w:rPr>
        <w:sectPr w:rsidR="00000AA1">
          <w:pgSz w:w="16838" w:h="11906" w:orient="landscape"/>
          <w:pgMar w:top="1701" w:right="1417" w:bottom="1701" w:left="1417" w:header="708" w:footer="708" w:gutter="0"/>
          <w:cols w:space="720"/>
        </w:sectPr>
      </w:pPr>
    </w:p>
    <w:p w:rsidR="00000AA1" w:rsidRDefault="001347DD">
      <w:pPr>
        <w:pStyle w:val="Ttulo2"/>
        <w:numPr>
          <w:ilvl w:val="1"/>
          <w:numId w:val="3"/>
        </w:numPr>
        <w:spacing w:before="0" w:line="240" w:lineRule="auto"/>
        <w:rPr>
          <w:b/>
          <w:color w:val="000000"/>
          <w:sz w:val="22"/>
          <w:szCs w:val="22"/>
        </w:rPr>
      </w:pPr>
      <w:bookmarkStart w:id="9" w:name="_Toc113360607"/>
      <w:r>
        <w:rPr>
          <w:b/>
          <w:color w:val="000000"/>
          <w:sz w:val="22"/>
          <w:szCs w:val="22"/>
        </w:rPr>
        <w:lastRenderedPageBreak/>
        <w:t>Situación futura deseada al 2030</w:t>
      </w:r>
      <w:bookmarkEnd w:id="9"/>
    </w:p>
    <w:p w:rsidR="00000AA1" w:rsidRDefault="00000AA1">
      <w:pPr>
        <w:spacing w:after="0" w:line="240" w:lineRule="auto"/>
        <w:ind w:left="576"/>
      </w:pPr>
    </w:p>
    <w:p w:rsidR="00000AA1" w:rsidRPr="00B9171C" w:rsidRDefault="001347DD">
      <w:pPr>
        <w:spacing w:after="0" w:line="240" w:lineRule="auto"/>
        <w:ind w:left="567"/>
        <w:jc w:val="both"/>
        <w:rPr>
          <w:highlight w:val="yellow"/>
        </w:rPr>
      </w:pPr>
      <w:r w:rsidRPr="00B9171C">
        <w:rPr>
          <w:highlight w:val="yellow"/>
        </w:rPr>
        <w:t xml:space="preserve">Luego del análisis de la información de las aspiraciones de la población en relación al problema público y la Política, así como el análisis de riesgos y oportunidades (derivados del análisis de tendencias y escenarios) se </w:t>
      </w:r>
      <w:r w:rsidR="00E3753C" w:rsidRPr="00B9171C">
        <w:rPr>
          <w:highlight w:val="yellow"/>
        </w:rPr>
        <w:t>plantea</w:t>
      </w:r>
      <w:r w:rsidRPr="00B9171C">
        <w:rPr>
          <w:highlight w:val="yellow"/>
        </w:rPr>
        <w:t xml:space="preserve"> la siguiente situación futura deseada: </w:t>
      </w:r>
    </w:p>
    <w:p w:rsidR="002C0520" w:rsidRPr="00B9171C" w:rsidRDefault="002C0520">
      <w:pPr>
        <w:spacing w:after="0" w:line="240" w:lineRule="auto"/>
        <w:ind w:left="567"/>
        <w:jc w:val="both"/>
        <w:rPr>
          <w:highlight w:val="yellow"/>
        </w:rPr>
      </w:pPr>
      <w:r w:rsidRPr="00B9171C">
        <w:rPr>
          <w:noProof/>
          <w:highlight w:val="yellow"/>
        </w:rPr>
        <mc:AlternateContent>
          <mc:Choice Requires="wps">
            <w:drawing>
              <wp:anchor distT="0" distB="0" distL="114300" distR="114300" simplePos="0" relativeHeight="251659264" behindDoc="0" locked="0" layoutInCell="1" allowOverlap="1" wp14:anchorId="6D1C019E" wp14:editId="4AF8CCFD">
                <wp:simplePos x="0" y="0"/>
                <wp:positionH relativeFrom="column">
                  <wp:posOffset>440321</wp:posOffset>
                </wp:positionH>
                <wp:positionV relativeFrom="paragraph">
                  <wp:posOffset>86773</wp:posOffset>
                </wp:positionV>
                <wp:extent cx="4992526" cy="1148317"/>
                <wp:effectExtent l="57150" t="19050" r="74930" b="90170"/>
                <wp:wrapNone/>
                <wp:docPr id="7" name="Rectángulo 7"/>
                <wp:cNvGraphicFramePr/>
                <a:graphic xmlns:a="http://schemas.openxmlformats.org/drawingml/2006/main">
                  <a:graphicData uri="http://schemas.microsoft.com/office/word/2010/wordprocessingShape">
                    <wps:wsp>
                      <wps:cNvSpPr/>
                      <wps:spPr>
                        <a:xfrm>
                          <a:off x="0" y="0"/>
                          <a:ext cx="4992526" cy="1148317"/>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rsidR="006C102C" w:rsidRPr="00E914AF" w:rsidRDefault="006C102C" w:rsidP="00E914AF">
                            <w:pPr>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1C019E" id="Rectángulo 7" o:spid="_x0000_s1026" style="position:absolute;left:0;text-align:left;margin-left:34.65pt;margin-top:6.85pt;width:393.1pt;height:90.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" filled="f" strokecolor="#4579b8 [3044]">
                <v:shadow on="t" color="black" opacity="22937f" origin=",.5" offset="0,.63889mm"/>
                <v:textbox>
                  <w:txbxContent>
                    <w:p w:rsidR="006C102C" w:rsidRPr="00E914AF" w:rsidRDefault="006C102C" w:rsidP="00E914AF">
                      <w:pPr>
                        <w:jc w:val="center"/>
                        <w:rPr>
                          <w:sz w:val="24"/>
                        </w:rPr>
                      </w:pPr>
                    </w:p>
                  </w:txbxContent>
                </v:textbox>
              </v:rect>
            </w:pict>
          </mc:Fallback>
        </mc:AlternateContent>
      </w:r>
    </w:p>
    <w:p w:rsidR="002C0520" w:rsidRPr="00B9171C" w:rsidRDefault="002C0520" w:rsidP="002C0520">
      <w:pPr>
        <w:ind w:left="709"/>
        <w:jc w:val="center"/>
        <w:rPr>
          <w:sz w:val="24"/>
          <w:highlight w:val="yellow"/>
        </w:rPr>
      </w:pPr>
      <w:r w:rsidRPr="00B9171C">
        <w:rPr>
          <w:b/>
          <w:bCs/>
          <w:sz w:val="24"/>
          <w:highlight w:val="yellow"/>
          <w:lang w:val="es-ES"/>
        </w:rPr>
        <w:t>Al año 2030, se habrá optimizado el combate del lavado de activos, incrementando el número de SO inscritos con OC vigente en la UIF</w:t>
      </w:r>
      <w:r w:rsidR="007D692F" w:rsidRPr="00B9171C">
        <w:rPr>
          <w:b/>
          <w:bCs/>
          <w:sz w:val="24"/>
          <w:highlight w:val="yellow"/>
          <w:lang w:val="es-ES"/>
        </w:rPr>
        <w:t xml:space="preserve"> en un 48%</w:t>
      </w:r>
      <w:r w:rsidRPr="00B9171C">
        <w:rPr>
          <w:b/>
          <w:bCs/>
          <w:sz w:val="24"/>
          <w:highlight w:val="yellow"/>
          <w:lang w:val="es-ES"/>
        </w:rPr>
        <w:t xml:space="preserve">, logrando que el </w:t>
      </w:r>
      <w:r w:rsidR="007D692F" w:rsidRPr="00B9171C">
        <w:rPr>
          <w:b/>
          <w:bCs/>
          <w:sz w:val="24"/>
          <w:highlight w:val="yellow"/>
          <w:lang w:val="es-ES"/>
        </w:rPr>
        <w:t>85</w:t>
      </w:r>
      <w:r w:rsidRPr="00B9171C">
        <w:rPr>
          <w:b/>
          <w:bCs/>
          <w:sz w:val="24"/>
          <w:highlight w:val="yellow"/>
          <w:lang w:val="es-ES"/>
        </w:rPr>
        <w:t xml:space="preserve">% de ROS enviados por SO sean de </w:t>
      </w:r>
      <w:r w:rsidR="007D692F" w:rsidRPr="00B9171C">
        <w:rPr>
          <w:b/>
          <w:bCs/>
          <w:sz w:val="24"/>
          <w:highlight w:val="yellow"/>
          <w:lang w:val="es-ES"/>
        </w:rPr>
        <w:t xml:space="preserve">buena </w:t>
      </w:r>
      <w:r w:rsidRPr="00B9171C">
        <w:rPr>
          <w:b/>
          <w:bCs/>
          <w:sz w:val="24"/>
          <w:highlight w:val="yellow"/>
          <w:lang w:val="es-ES"/>
        </w:rPr>
        <w:t xml:space="preserve">calidad e incrementando en un 75% el número de sentencias condenatorias </w:t>
      </w:r>
      <w:r w:rsidR="00C41247" w:rsidRPr="00B9171C">
        <w:rPr>
          <w:b/>
          <w:bCs/>
          <w:sz w:val="24"/>
          <w:highlight w:val="yellow"/>
          <w:lang w:val="es-ES"/>
        </w:rPr>
        <w:t xml:space="preserve">firmes </w:t>
      </w:r>
      <w:r w:rsidRPr="00B9171C">
        <w:rPr>
          <w:b/>
          <w:bCs/>
          <w:sz w:val="24"/>
          <w:highlight w:val="yellow"/>
          <w:lang w:val="es-ES"/>
        </w:rPr>
        <w:t>de LA.</w:t>
      </w:r>
      <w:r w:rsidRPr="00B9171C">
        <w:rPr>
          <w:rStyle w:val="Refdenotaalpie"/>
          <w:b/>
          <w:bCs/>
          <w:sz w:val="24"/>
          <w:highlight w:val="yellow"/>
          <w:lang w:val="es-ES"/>
        </w:rPr>
        <w:footnoteReference w:id="3"/>
      </w:r>
    </w:p>
    <w:p w:rsidR="002C0520" w:rsidRPr="00B9171C" w:rsidRDefault="002C0520">
      <w:pPr>
        <w:spacing w:after="0" w:line="240" w:lineRule="auto"/>
        <w:ind w:left="567"/>
        <w:jc w:val="both"/>
        <w:rPr>
          <w:highlight w:val="yellow"/>
        </w:rPr>
      </w:pPr>
    </w:p>
    <w:p w:rsidR="003C0A59" w:rsidRPr="00B9171C" w:rsidRDefault="003C0A59">
      <w:pPr>
        <w:spacing w:after="0" w:line="240" w:lineRule="auto"/>
        <w:ind w:left="567"/>
        <w:jc w:val="both"/>
        <w:rPr>
          <w:highlight w:val="yellow"/>
          <w:u w:val="single"/>
        </w:rPr>
      </w:pPr>
      <w:r w:rsidRPr="00B9171C">
        <w:rPr>
          <w:highlight w:val="yellow"/>
          <w:u w:val="single"/>
        </w:rPr>
        <w:t>Fundamento</w:t>
      </w:r>
    </w:p>
    <w:p w:rsidR="003C0A59" w:rsidRPr="00B9171C" w:rsidRDefault="003C0A59">
      <w:pPr>
        <w:spacing w:after="0" w:line="240" w:lineRule="auto"/>
        <w:ind w:left="567"/>
        <w:jc w:val="both"/>
        <w:rPr>
          <w:highlight w:val="yellow"/>
        </w:rPr>
      </w:pPr>
    </w:p>
    <w:p w:rsidR="00DC14E5" w:rsidRPr="00B9171C" w:rsidRDefault="00DF19D9">
      <w:pPr>
        <w:spacing w:after="0" w:line="240" w:lineRule="auto"/>
        <w:ind w:left="567"/>
        <w:jc w:val="both"/>
        <w:rPr>
          <w:highlight w:val="yellow"/>
        </w:rPr>
      </w:pPr>
      <w:r w:rsidRPr="00B9171C">
        <w:rPr>
          <w:highlight w:val="yellow"/>
        </w:rPr>
        <w:t xml:space="preserve">La política busca </w:t>
      </w:r>
      <w:r w:rsidR="00DC14E5" w:rsidRPr="00B9171C">
        <w:rPr>
          <w:highlight w:val="yellow"/>
        </w:rPr>
        <w:t xml:space="preserve">reducir la incidencia del delito de </w:t>
      </w:r>
      <w:r w:rsidR="006A50D5" w:rsidRPr="00B9171C">
        <w:rPr>
          <w:highlight w:val="yellow"/>
        </w:rPr>
        <w:t>LA</w:t>
      </w:r>
      <w:r w:rsidR="00DC14E5" w:rsidRPr="00B9171C">
        <w:rPr>
          <w:highlight w:val="yellow"/>
        </w:rPr>
        <w:t xml:space="preserve"> en el país</w:t>
      </w:r>
      <w:r w:rsidR="006C102C" w:rsidRPr="00B9171C">
        <w:rPr>
          <w:highlight w:val="yellow"/>
        </w:rPr>
        <w:t xml:space="preserve"> para disminuir </w:t>
      </w:r>
      <w:r w:rsidR="00DC14E5" w:rsidRPr="00B9171C">
        <w:rPr>
          <w:highlight w:val="yellow"/>
        </w:rPr>
        <w:t xml:space="preserve">el impacto socioeconómico </w:t>
      </w:r>
      <w:r w:rsidR="006C102C" w:rsidRPr="00B9171C">
        <w:rPr>
          <w:highlight w:val="yellow"/>
        </w:rPr>
        <w:t>que genera en</w:t>
      </w:r>
      <w:r w:rsidR="00DC14E5" w:rsidRPr="00B9171C">
        <w:rPr>
          <w:highlight w:val="yellow"/>
        </w:rPr>
        <w:t xml:space="preserve"> la vida de los ciudadanos y agentes económicos. </w:t>
      </w:r>
    </w:p>
    <w:p w:rsidR="009E50D1" w:rsidRPr="00B9171C" w:rsidRDefault="009E50D1">
      <w:pPr>
        <w:spacing w:after="0" w:line="240" w:lineRule="auto"/>
        <w:ind w:left="567"/>
        <w:jc w:val="both"/>
        <w:rPr>
          <w:highlight w:val="yellow"/>
        </w:rPr>
      </w:pPr>
    </w:p>
    <w:p w:rsidR="00175B38" w:rsidRPr="00B9171C" w:rsidRDefault="00DC14E5">
      <w:pPr>
        <w:spacing w:after="0" w:line="240" w:lineRule="auto"/>
        <w:ind w:left="567"/>
        <w:jc w:val="both"/>
        <w:rPr>
          <w:highlight w:val="yellow"/>
        </w:rPr>
      </w:pPr>
      <w:r w:rsidRPr="00B9171C">
        <w:rPr>
          <w:highlight w:val="yellow"/>
        </w:rPr>
        <w:t xml:space="preserve">En tal sentido, se propone una intervención de carácter multisectorial a través de las entidades del Sistema Nacional contra el </w:t>
      </w:r>
      <w:r w:rsidR="000C714C" w:rsidRPr="00B9171C">
        <w:rPr>
          <w:highlight w:val="yellow"/>
        </w:rPr>
        <w:t>LA</w:t>
      </w:r>
      <w:r w:rsidRPr="00B9171C">
        <w:rPr>
          <w:highlight w:val="yellow"/>
        </w:rPr>
        <w:t xml:space="preserve">, que se oriente a </w:t>
      </w:r>
      <w:r w:rsidR="00DF19D9" w:rsidRPr="00B9171C">
        <w:rPr>
          <w:highlight w:val="yellow"/>
        </w:rPr>
        <w:t xml:space="preserve">fortalecer </w:t>
      </w:r>
      <w:r w:rsidR="00D14CF5" w:rsidRPr="00B9171C">
        <w:rPr>
          <w:highlight w:val="yellow"/>
        </w:rPr>
        <w:t xml:space="preserve">la </w:t>
      </w:r>
      <w:r w:rsidR="00DF19D9" w:rsidRPr="00B9171C">
        <w:rPr>
          <w:highlight w:val="yellow"/>
        </w:rPr>
        <w:t xml:space="preserve">prevención </w:t>
      </w:r>
      <w:r w:rsidR="001B6E76" w:rsidRPr="00B9171C">
        <w:rPr>
          <w:highlight w:val="yellow"/>
        </w:rPr>
        <w:t>de</w:t>
      </w:r>
      <w:r w:rsidR="00DF19D9" w:rsidRPr="00B9171C">
        <w:rPr>
          <w:highlight w:val="yellow"/>
        </w:rPr>
        <w:t xml:space="preserve"> lavado de activos </w:t>
      </w:r>
      <w:r w:rsidR="00F205C2" w:rsidRPr="00B9171C">
        <w:rPr>
          <w:highlight w:val="yellow"/>
        </w:rPr>
        <w:t>por parte</w:t>
      </w:r>
      <w:r w:rsidR="00DF19D9" w:rsidRPr="00B9171C">
        <w:rPr>
          <w:highlight w:val="yellow"/>
        </w:rPr>
        <w:t xml:space="preserve"> de los </w:t>
      </w:r>
      <w:r w:rsidR="006C102C" w:rsidRPr="00B9171C">
        <w:rPr>
          <w:highlight w:val="yellow"/>
        </w:rPr>
        <w:t>SO</w:t>
      </w:r>
      <w:r w:rsidR="00DF19D9" w:rsidRPr="00B9171C">
        <w:rPr>
          <w:highlight w:val="yellow"/>
        </w:rPr>
        <w:t xml:space="preserve">, así como </w:t>
      </w:r>
      <w:r w:rsidR="001B6E76" w:rsidRPr="00B9171C">
        <w:rPr>
          <w:highlight w:val="yellow"/>
        </w:rPr>
        <w:t xml:space="preserve">la capacidad </w:t>
      </w:r>
      <w:r w:rsidRPr="00B9171C">
        <w:rPr>
          <w:highlight w:val="yellow"/>
        </w:rPr>
        <w:t xml:space="preserve">de persecución, investigación y </w:t>
      </w:r>
      <w:r w:rsidR="001B6E76" w:rsidRPr="00B9171C">
        <w:rPr>
          <w:highlight w:val="yellow"/>
        </w:rPr>
        <w:t>sanci</w:t>
      </w:r>
      <w:r w:rsidRPr="00B9171C">
        <w:rPr>
          <w:highlight w:val="yellow"/>
        </w:rPr>
        <w:t>ón</w:t>
      </w:r>
      <w:r w:rsidR="001B6E76" w:rsidRPr="00B9171C">
        <w:rPr>
          <w:highlight w:val="yellow"/>
        </w:rPr>
        <w:t xml:space="preserve"> del Estado</w:t>
      </w:r>
      <w:r w:rsidR="00E8203D" w:rsidRPr="00B9171C">
        <w:rPr>
          <w:highlight w:val="yellow"/>
        </w:rPr>
        <w:t xml:space="preserve">. </w:t>
      </w:r>
      <w:r w:rsidR="006C102C" w:rsidRPr="00B9171C">
        <w:rPr>
          <w:highlight w:val="yellow"/>
        </w:rPr>
        <w:t>Asimismo, se pondrá</w:t>
      </w:r>
      <w:r w:rsidR="00B141B2" w:rsidRPr="00B9171C">
        <w:rPr>
          <w:highlight w:val="yellow"/>
        </w:rPr>
        <w:t xml:space="preserve"> énfasis en </w:t>
      </w:r>
      <w:r w:rsidR="001F6AF8" w:rsidRPr="00B9171C">
        <w:rPr>
          <w:highlight w:val="yellow"/>
        </w:rPr>
        <w:t xml:space="preserve">el </w:t>
      </w:r>
      <w:r w:rsidR="00E8203D" w:rsidRPr="00B9171C">
        <w:rPr>
          <w:highlight w:val="yellow"/>
        </w:rPr>
        <w:t>fortaleci</w:t>
      </w:r>
      <w:r w:rsidR="001F6AF8" w:rsidRPr="00B9171C">
        <w:rPr>
          <w:highlight w:val="yellow"/>
        </w:rPr>
        <w:t>miento de</w:t>
      </w:r>
      <w:r w:rsidR="00E8203D" w:rsidRPr="00B9171C">
        <w:rPr>
          <w:highlight w:val="yellow"/>
        </w:rPr>
        <w:t xml:space="preserve"> </w:t>
      </w:r>
      <w:r w:rsidR="00891FF3" w:rsidRPr="00B9171C">
        <w:rPr>
          <w:highlight w:val="yellow"/>
        </w:rPr>
        <w:t xml:space="preserve">acciones que mejoren la </w:t>
      </w:r>
      <w:r w:rsidR="00B9699B" w:rsidRPr="00B9171C">
        <w:rPr>
          <w:highlight w:val="yellow"/>
        </w:rPr>
        <w:t xml:space="preserve">articulación entre el Estado, </w:t>
      </w:r>
      <w:r w:rsidR="00B141B2" w:rsidRPr="00B9171C">
        <w:rPr>
          <w:highlight w:val="yellow"/>
        </w:rPr>
        <w:t>el sector privado y la sociedad civil</w:t>
      </w:r>
      <w:r w:rsidR="001B6E76" w:rsidRPr="00B9171C">
        <w:rPr>
          <w:highlight w:val="yellow"/>
        </w:rPr>
        <w:t xml:space="preserve">. </w:t>
      </w:r>
    </w:p>
    <w:p w:rsidR="007A65EC" w:rsidRPr="00B9171C" w:rsidRDefault="007A65EC">
      <w:pPr>
        <w:spacing w:after="0" w:line="240" w:lineRule="auto"/>
        <w:ind w:left="567"/>
        <w:jc w:val="both"/>
        <w:rPr>
          <w:highlight w:val="yellow"/>
        </w:rPr>
      </w:pPr>
    </w:p>
    <w:p w:rsidR="00B141B2" w:rsidRPr="00B9171C" w:rsidRDefault="006C102C" w:rsidP="007A65EC">
      <w:pPr>
        <w:spacing w:after="0" w:line="240" w:lineRule="auto"/>
        <w:ind w:left="567"/>
        <w:jc w:val="both"/>
        <w:rPr>
          <w:highlight w:val="yellow"/>
        </w:rPr>
      </w:pPr>
      <w:r w:rsidRPr="00B9171C">
        <w:rPr>
          <w:highlight w:val="yellow"/>
        </w:rPr>
        <w:t>También</w:t>
      </w:r>
      <w:r w:rsidR="007A65EC" w:rsidRPr="00B9171C">
        <w:rPr>
          <w:highlight w:val="yellow"/>
        </w:rPr>
        <w:t xml:space="preserve"> </w:t>
      </w:r>
      <w:r w:rsidR="006956D9" w:rsidRPr="00B9171C">
        <w:rPr>
          <w:highlight w:val="yellow"/>
        </w:rPr>
        <w:t xml:space="preserve">esta intervención </w:t>
      </w:r>
      <w:r w:rsidRPr="00B9171C">
        <w:rPr>
          <w:highlight w:val="yellow"/>
        </w:rPr>
        <w:t>estará dirigida a concientizar a</w:t>
      </w:r>
      <w:r w:rsidR="00B141B2" w:rsidRPr="00B9171C">
        <w:rPr>
          <w:highlight w:val="yellow"/>
        </w:rPr>
        <w:t xml:space="preserve"> la ciudadanía en general</w:t>
      </w:r>
      <w:r w:rsidR="000C714C" w:rsidRPr="00B9171C">
        <w:rPr>
          <w:highlight w:val="yellow"/>
        </w:rPr>
        <w:t xml:space="preserve"> sobre los alcances del LA, sus consecuencias</w:t>
      </w:r>
      <w:r w:rsidR="00B141B2" w:rsidRPr="00B9171C">
        <w:rPr>
          <w:highlight w:val="yellow"/>
        </w:rPr>
        <w:t xml:space="preserve">, </w:t>
      </w:r>
      <w:r w:rsidR="000C714C" w:rsidRPr="00B9171C">
        <w:rPr>
          <w:highlight w:val="yellow"/>
        </w:rPr>
        <w:t xml:space="preserve"> y el rol de las entidades del Sistema Nacional contra el LA. </w:t>
      </w:r>
    </w:p>
    <w:p w:rsidR="00B141B2" w:rsidRPr="00B9171C" w:rsidRDefault="00B141B2" w:rsidP="007A65EC">
      <w:pPr>
        <w:spacing w:after="0" w:line="240" w:lineRule="auto"/>
        <w:ind w:left="567"/>
        <w:jc w:val="both"/>
        <w:rPr>
          <w:highlight w:val="yellow"/>
        </w:rPr>
      </w:pPr>
    </w:p>
    <w:p w:rsidR="008020EE" w:rsidRPr="00B9171C" w:rsidRDefault="007A65EC" w:rsidP="007A65EC">
      <w:pPr>
        <w:spacing w:after="0" w:line="240" w:lineRule="auto"/>
        <w:ind w:left="567"/>
        <w:jc w:val="both"/>
        <w:rPr>
          <w:highlight w:val="yellow"/>
        </w:rPr>
      </w:pPr>
      <w:r w:rsidRPr="00B9171C">
        <w:rPr>
          <w:highlight w:val="yellow"/>
        </w:rPr>
        <w:t>Para ello, se deberá tomar en cuenta oportunidades como la mayor disposición de herramientas tecnológicas</w:t>
      </w:r>
      <w:r w:rsidR="00257B18" w:rsidRPr="00B9171C">
        <w:rPr>
          <w:highlight w:val="yellow"/>
        </w:rPr>
        <w:t>, la disposición de las autoridades para generar sinergias y mejoras en la coordinación institucional y el fortalecimiento del capital humano en las entidades públicas</w:t>
      </w:r>
      <w:r w:rsidRPr="00B9171C">
        <w:rPr>
          <w:highlight w:val="yellow"/>
        </w:rPr>
        <w:t xml:space="preserve"> debido </w:t>
      </w:r>
      <w:r w:rsidR="005938E1" w:rsidRPr="00B9171C">
        <w:rPr>
          <w:highlight w:val="yellow"/>
        </w:rPr>
        <w:t>al</w:t>
      </w:r>
      <w:r w:rsidRPr="00B9171C">
        <w:rPr>
          <w:highlight w:val="yellow"/>
        </w:rPr>
        <w:t xml:space="preserve"> incremento del presupuesto </w:t>
      </w:r>
      <w:r w:rsidR="00BC21C8" w:rsidRPr="00B9171C">
        <w:rPr>
          <w:highlight w:val="yellow"/>
        </w:rPr>
        <w:t>asignado</w:t>
      </w:r>
      <w:r w:rsidRPr="00B9171C">
        <w:rPr>
          <w:highlight w:val="yellow"/>
        </w:rPr>
        <w:t xml:space="preserve">. </w:t>
      </w:r>
    </w:p>
    <w:p w:rsidR="008020EE" w:rsidRPr="00B9171C" w:rsidRDefault="008020EE" w:rsidP="007A65EC">
      <w:pPr>
        <w:spacing w:after="0" w:line="240" w:lineRule="auto"/>
        <w:ind w:left="567"/>
        <w:jc w:val="both"/>
        <w:rPr>
          <w:highlight w:val="yellow"/>
        </w:rPr>
      </w:pPr>
    </w:p>
    <w:p w:rsidR="00F7233E" w:rsidRPr="00B9171C" w:rsidRDefault="008020EE" w:rsidP="007A65EC">
      <w:pPr>
        <w:spacing w:after="0" w:line="240" w:lineRule="auto"/>
        <w:ind w:left="567"/>
        <w:jc w:val="both"/>
        <w:rPr>
          <w:highlight w:val="yellow"/>
        </w:rPr>
      </w:pPr>
      <w:r w:rsidRPr="00B9171C">
        <w:rPr>
          <w:highlight w:val="yellow"/>
        </w:rPr>
        <w:t>En tal sentido, se habrán mitigado</w:t>
      </w:r>
      <w:r w:rsidR="007A65EC" w:rsidRPr="00B9171C">
        <w:rPr>
          <w:highlight w:val="yellow"/>
        </w:rPr>
        <w:t xml:space="preserve"> </w:t>
      </w:r>
      <w:r w:rsidR="00F7233E" w:rsidRPr="00B9171C">
        <w:rPr>
          <w:highlight w:val="yellow"/>
        </w:rPr>
        <w:t xml:space="preserve">el riesgo asociado al incremento del dinero ilícito que ingresa a la economía producto de actividades criminales y el crecimiento de las organizaciones criminales, la desconfianza en las autoridades que integran el Sistema Nacional contra LA y </w:t>
      </w:r>
      <w:r w:rsidR="00B9171C" w:rsidRPr="00B9171C">
        <w:rPr>
          <w:highlight w:val="yellow"/>
        </w:rPr>
        <w:t xml:space="preserve">la escasa participación activa de la ciudadanía en la lucha contra el LA. </w:t>
      </w:r>
    </w:p>
    <w:p w:rsidR="00F7233E" w:rsidRPr="00B9171C" w:rsidRDefault="00F7233E" w:rsidP="007A65EC">
      <w:pPr>
        <w:spacing w:after="0" w:line="240" w:lineRule="auto"/>
        <w:ind w:left="567"/>
        <w:jc w:val="both"/>
        <w:rPr>
          <w:highlight w:val="yellow"/>
        </w:rPr>
      </w:pPr>
    </w:p>
    <w:p w:rsidR="00262105" w:rsidRDefault="00262105" w:rsidP="00262105">
      <w:pPr>
        <w:spacing w:after="0" w:line="240" w:lineRule="auto"/>
        <w:ind w:left="567"/>
        <w:jc w:val="both"/>
      </w:pPr>
      <w:r w:rsidRPr="00B9171C">
        <w:rPr>
          <w:highlight w:val="yellow"/>
        </w:rPr>
        <w:t>Finalmente, se espera que la situación futura descrita se refleje también en una mejoría en los resultados de la evaluación de la siguiente ronda de Evaluación Mutua del Grupo de Acción Financiera de Latinoamérica (GAFILAT)</w:t>
      </w:r>
      <w:r w:rsidRPr="00B9171C">
        <w:rPr>
          <w:rStyle w:val="Refdenotaalpie"/>
          <w:highlight w:val="yellow"/>
        </w:rPr>
        <w:footnoteReference w:id="4"/>
      </w:r>
      <w:r w:rsidRPr="00B9171C">
        <w:rPr>
          <w:highlight w:val="yellow"/>
        </w:rPr>
        <w:t xml:space="preserve">. Asimismo, estos cambios también podría verse reflejado en una mejoría de la posición del Perú en el ranking de riesgos de </w:t>
      </w:r>
      <w:r w:rsidRPr="00B9171C">
        <w:rPr>
          <w:highlight w:val="yellow"/>
        </w:rPr>
        <w:lastRenderedPageBreak/>
        <w:t>lavado de activos y financiamiento del terrorismo elaborado por el Basel Institute on Governance</w:t>
      </w:r>
      <w:r w:rsidRPr="00B9171C">
        <w:rPr>
          <w:rStyle w:val="Refdenotaalpie"/>
          <w:highlight w:val="yellow"/>
        </w:rPr>
        <w:footnoteReference w:id="5"/>
      </w:r>
      <w:r w:rsidRPr="00B9171C">
        <w:rPr>
          <w:highlight w:val="yellow"/>
        </w:rPr>
        <w:t>.</w:t>
      </w:r>
    </w:p>
    <w:p w:rsidR="00DC14E5" w:rsidRDefault="00DC14E5">
      <w:pPr>
        <w:spacing w:after="0" w:line="240" w:lineRule="auto"/>
        <w:ind w:left="567"/>
        <w:jc w:val="both"/>
      </w:pPr>
    </w:p>
    <w:p w:rsidR="00DC14E5" w:rsidRDefault="00DC14E5">
      <w:pPr>
        <w:spacing w:after="0" w:line="240" w:lineRule="auto"/>
        <w:ind w:left="567"/>
        <w:jc w:val="both"/>
      </w:pPr>
    </w:p>
    <w:p w:rsidR="00DC14E5" w:rsidRDefault="00DC14E5">
      <w:pPr>
        <w:spacing w:after="0" w:line="240" w:lineRule="auto"/>
        <w:ind w:left="567"/>
        <w:jc w:val="both"/>
      </w:pPr>
    </w:p>
    <w:p w:rsidR="00891FF3" w:rsidRDefault="00891FF3" w:rsidP="0068754E">
      <w:pPr>
        <w:spacing w:after="0" w:line="240" w:lineRule="auto"/>
        <w:ind w:left="567"/>
        <w:jc w:val="both"/>
      </w:pPr>
    </w:p>
    <w:p w:rsidR="00000AA1" w:rsidRDefault="00000AA1">
      <w:pPr>
        <w:spacing w:after="0" w:line="240" w:lineRule="auto"/>
        <w:ind w:left="567"/>
        <w:jc w:val="both"/>
      </w:pPr>
    </w:p>
    <w:p w:rsidR="00D14CF5" w:rsidRDefault="00D14CF5">
      <w:pPr>
        <w:spacing w:after="0" w:line="240" w:lineRule="auto"/>
        <w:ind w:left="567"/>
        <w:jc w:val="both"/>
      </w:pPr>
    </w:p>
    <w:p w:rsidR="00000AA1" w:rsidRDefault="00000AA1" w:rsidP="007A65EC">
      <w:pPr>
        <w:spacing w:after="0" w:line="240" w:lineRule="auto"/>
        <w:ind w:left="567"/>
        <w:jc w:val="both"/>
      </w:pPr>
    </w:p>
    <w:p w:rsidR="00000AA1" w:rsidRDefault="00000AA1">
      <w:pPr>
        <w:spacing w:after="0" w:line="240" w:lineRule="auto"/>
        <w:ind w:left="567"/>
        <w:jc w:val="both"/>
      </w:pPr>
    </w:p>
    <w:p w:rsidR="00000AA1" w:rsidRDefault="00000AA1">
      <w:pPr>
        <w:spacing w:after="0" w:line="240" w:lineRule="auto"/>
        <w:ind w:left="567"/>
        <w:jc w:val="both"/>
      </w:pPr>
    </w:p>
    <w:p w:rsidR="00000AA1" w:rsidRDefault="00000AA1">
      <w:pPr>
        <w:spacing w:after="0" w:line="240" w:lineRule="auto"/>
        <w:ind w:left="567"/>
        <w:jc w:val="both"/>
      </w:pPr>
    </w:p>
    <w:p w:rsidR="00000AA1" w:rsidRDefault="00000AA1">
      <w:pPr>
        <w:spacing w:after="0" w:line="240" w:lineRule="auto"/>
        <w:ind w:left="567"/>
        <w:jc w:val="both"/>
      </w:pPr>
    </w:p>
    <w:p w:rsidR="00000AA1" w:rsidRDefault="00000AA1">
      <w:pPr>
        <w:spacing w:after="0" w:line="240" w:lineRule="auto"/>
        <w:ind w:left="567"/>
        <w:jc w:val="both"/>
      </w:pPr>
    </w:p>
    <w:p w:rsidR="00000AA1" w:rsidRDefault="00000AA1">
      <w:pPr>
        <w:spacing w:after="0" w:line="240" w:lineRule="auto"/>
        <w:ind w:left="567"/>
        <w:jc w:val="both"/>
      </w:pPr>
    </w:p>
    <w:p w:rsidR="00000AA1" w:rsidRDefault="00000AA1">
      <w:pPr>
        <w:spacing w:after="0" w:line="240" w:lineRule="auto"/>
        <w:ind w:left="567"/>
        <w:jc w:val="both"/>
      </w:pPr>
    </w:p>
    <w:p w:rsidR="00000AA1" w:rsidRDefault="00000AA1">
      <w:pPr>
        <w:spacing w:after="0" w:line="240" w:lineRule="auto"/>
        <w:ind w:left="567"/>
        <w:jc w:val="both"/>
      </w:pPr>
    </w:p>
    <w:p w:rsidR="00000AA1" w:rsidRDefault="001347DD">
      <w:pPr>
        <w:spacing w:after="0" w:line="240" w:lineRule="auto"/>
        <w:ind w:left="567"/>
        <w:jc w:val="both"/>
      </w:pPr>
      <w:r>
        <w:br w:type="page"/>
      </w:r>
    </w:p>
    <w:p w:rsidR="00000AA1" w:rsidRDefault="001347DD">
      <w:pPr>
        <w:pStyle w:val="Ttulo1"/>
        <w:numPr>
          <w:ilvl w:val="0"/>
          <w:numId w:val="3"/>
        </w:numPr>
        <w:spacing w:before="0" w:line="240" w:lineRule="auto"/>
        <w:ind w:left="0"/>
        <w:rPr>
          <w:b/>
          <w:color w:val="000000"/>
          <w:sz w:val="22"/>
          <w:szCs w:val="22"/>
        </w:rPr>
      </w:pPr>
      <w:bookmarkStart w:id="10" w:name="_Toc113360608"/>
      <w:r>
        <w:rPr>
          <w:b/>
          <w:color w:val="000000"/>
          <w:sz w:val="22"/>
          <w:szCs w:val="22"/>
        </w:rPr>
        <w:lastRenderedPageBreak/>
        <w:t>Selección de alternativas de solución</w:t>
      </w:r>
      <w:bookmarkEnd w:id="10"/>
    </w:p>
    <w:p w:rsidR="00000AA1" w:rsidRDefault="001347DD">
      <w:pPr>
        <w:spacing w:before="240" w:after="240" w:line="276" w:lineRule="auto"/>
        <w:jc w:val="both"/>
      </w:pPr>
      <w:r>
        <w:t xml:space="preserve">En base al análisis previo sobre la situación futura deseada y tomando como referencia la delimitación y estructuración del problema público (Entregable N° 1), se plantearon las alternativas de solución, las cuales se definen como posibles cursos de acción para la solución del problema. </w:t>
      </w:r>
    </w:p>
    <w:p w:rsidR="00000AA1" w:rsidRDefault="001347DD">
      <w:pPr>
        <w:spacing w:before="240" w:after="240" w:line="276" w:lineRule="auto"/>
        <w:jc w:val="both"/>
      </w:pPr>
      <w:r>
        <w:t xml:space="preserve">Según el modelo del problema público, se han identificado cuatro causas principales que generan el ingreso de activos provenientes de actividades criminales a la economía formal. En base a estas causas se obtuvo información de sustento a partir de la revisión de instrumentos de política anteriores, estándares internacionales, producción académica, opinión de expertos, entre otros, para plantear las alternativas de solución. </w:t>
      </w:r>
    </w:p>
    <w:p w:rsidR="00000AA1" w:rsidRDefault="001347DD">
      <w:pPr>
        <w:spacing w:before="240" w:after="240" w:line="276" w:lineRule="auto"/>
        <w:jc w:val="both"/>
      </w:pPr>
      <w:r>
        <w:t xml:space="preserve">En una primera fase se contó con una primera propuesta que comprendía </w:t>
      </w:r>
      <w:r w:rsidR="00A91F8E">
        <w:t>21</w:t>
      </w:r>
      <w:r>
        <w:t xml:space="preserve"> alternativas de solución. Posteriormente, se analizaron las alternativas propuestas utilizando los criterios de análisis planteados por CEPLAN (siguiente sección) con el objetivo de lograr encontrar el número de alternativas que logren un mayor impacto y solucionen el problema público del lavado de activos</w:t>
      </w:r>
      <w:r w:rsidR="0059137A">
        <w:t xml:space="preserve"> (</w:t>
      </w:r>
      <w:r w:rsidR="00862EF2">
        <w:t>Anexo N° 3</w:t>
      </w:r>
      <w:r w:rsidR="0059137A">
        <w:t>)</w:t>
      </w:r>
      <w:r>
        <w:t xml:space="preserve">. En base a este análisis se logró acotar el número a </w:t>
      </w:r>
      <w:r w:rsidR="00386849">
        <w:t>1</w:t>
      </w:r>
      <w:r w:rsidR="00A91F8E">
        <w:t>5</w:t>
      </w:r>
      <w:r>
        <w:t xml:space="preserve"> alternativas de solución. </w:t>
      </w:r>
    </w:p>
    <w:p w:rsidR="009724D8" w:rsidRDefault="009724D8">
      <w:pPr>
        <w:spacing w:before="240" w:after="240" w:line="276" w:lineRule="auto"/>
        <w:jc w:val="both"/>
      </w:pPr>
    </w:p>
    <w:p w:rsidR="00000AA1" w:rsidRDefault="001347DD" w:rsidP="00386849">
      <w:pPr>
        <w:pStyle w:val="Ttulo2"/>
        <w:numPr>
          <w:ilvl w:val="1"/>
          <w:numId w:val="3"/>
        </w:numPr>
        <w:spacing w:line="240" w:lineRule="auto"/>
        <w:ind w:left="0"/>
        <w:rPr>
          <w:b/>
          <w:color w:val="000000"/>
          <w:sz w:val="22"/>
          <w:szCs w:val="22"/>
        </w:rPr>
      </w:pPr>
      <w:bookmarkStart w:id="11" w:name="_Toc113360609"/>
      <w:r>
        <w:rPr>
          <w:b/>
          <w:color w:val="000000"/>
          <w:sz w:val="22"/>
          <w:szCs w:val="22"/>
        </w:rPr>
        <w:t>Criterios de análisis</w:t>
      </w:r>
      <w:bookmarkEnd w:id="11"/>
    </w:p>
    <w:p w:rsidR="00000AA1" w:rsidRDefault="00000AA1">
      <w:pPr>
        <w:spacing w:after="0" w:line="240" w:lineRule="auto"/>
      </w:pPr>
    </w:p>
    <w:p w:rsidR="00000AA1" w:rsidRDefault="001347DD">
      <w:pPr>
        <w:spacing w:after="0" w:line="276" w:lineRule="auto"/>
        <w:jc w:val="both"/>
      </w:pPr>
      <w:r>
        <w:t>Para la selección de las alternativas de solución se han tomado en consideración los criterios de análisis a utilizar, de acuerdo a lo especificado en la Guía de Políticas Nacionales del CEPLAN, que incorpora las siguientes variables:</w:t>
      </w:r>
    </w:p>
    <w:p w:rsidR="00000AA1" w:rsidRDefault="00000AA1">
      <w:pPr>
        <w:spacing w:after="0" w:line="276" w:lineRule="auto"/>
        <w:jc w:val="both"/>
      </w:pPr>
    </w:p>
    <w:p w:rsidR="00000AA1" w:rsidRDefault="001347DD">
      <w:pPr>
        <w:numPr>
          <w:ilvl w:val="0"/>
          <w:numId w:val="1"/>
        </w:numPr>
        <w:spacing w:after="0" w:line="276" w:lineRule="auto"/>
        <w:jc w:val="both"/>
      </w:pPr>
      <w:r>
        <w:rPr>
          <w:b/>
        </w:rPr>
        <w:t>Viabilidad política:</w:t>
      </w:r>
      <w:r>
        <w:t xml:space="preserve"> Se refiere a la aceptación política de la propuesta. Permite verificar la consistencia de la propuesta con las demás políticas de Estado y los objetivos del Plan Estratégico de Desarrollo Nacional. </w:t>
      </w:r>
      <w:r w:rsidRPr="00DA4165">
        <w:t xml:space="preserve">Asimismo, </w:t>
      </w:r>
      <w:r w:rsidR="00DA4165" w:rsidRPr="00DA4165">
        <w:t>se refiere a si la alternativa está alineada con</w:t>
      </w:r>
      <w:r w:rsidRPr="00DA4165">
        <w:t xml:space="preserve"> las </w:t>
      </w:r>
      <w:r w:rsidR="00DA4165" w:rsidRPr="00DA4165">
        <w:t>políticas públicas priorizadas por</w:t>
      </w:r>
      <w:r w:rsidRPr="00DA4165">
        <w:t xml:space="preserve"> el Estado.</w:t>
      </w:r>
    </w:p>
    <w:p w:rsidR="00000AA1" w:rsidRDefault="001347DD">
      <w:pPr>
        <w:numPr>
          <w:ilvl w:val="0"/>
          <w:numId w:val="1"/>
        </w:numPr>
        <w:spacing w:after="0" w:line="276" w:lineRule="auto"/>
        <w:jc w:val="both"/>
      </w:pPr>
      <w:r>
        <w:rPr>
          <w:b/>
        </w:rPr>
        <w:t>Viabilidad social:</w:t>
      </w:r>
      <w:r>
        <w:t xml:space="preserve"> Se refiere a la aceptación del público afectado por la política. Esta depende en muchos casos del grado de consistencia de las políticas con sus tradiciones y culturas (considerando a la población pero también a la cultura de las organizaciones y entidades públicas intervinientes). Es importante incorporar la participación de los actores afectados superando las limitaciones (social, económico, político) que podrían afectar su capacidad de influir en la selección de alternativas de solución.</w:t>
      </w:r>
    </w:p>
    <w:p w:rsidR="00000AA1" w:rsidRDefault="001347DD">
      <w:pPr>
        <w:numPr>
          <w:ilvl w:val="0"/>
          <w:numId w:val="1"/>
        </w:numPr>
        <w:spacing w:after="0" w:line="276" w:lineRule="auto"/>
        <w:jc w:val="both"/>
      </w:pPr>
      <w:r>
        <w:rPr>
          <w:b/>
        </w:rPr>
        <w:t>Viabilidad administrativa:</w:t>
      </w:r>
      <w:r>
        <w:t xml:space="preserve"> Se refiere a la capacidad de gestión y de realizar arreglos institucionales en los ministerios o entidades intervinientes para implementar la alternativa de solución.</w:t>
      </w:r>
    </w:p>
    <w:p w:rsidR="00000AA1" w:rsidRDefault="001347DD">
      <w:pPr>
        <w:numPr>
          <w:ilvl w:val="0"/>
          <w:numId w:val="1"/>
        </w:numPr>
        <w:spacing w:after="0" w:line="276" w:lineRule="auto"/>
        <w:jc w:val="both"/>
      </w:pPr>
      <w:r>
        <w:rPr>
          <w:b/>
        </w:rPr>
        <w:t xml:space="preserve">Efectividad: </w:t>
      </w:r>
      <w:r>
        <w:t>Se refiere al impacto de la alternativa de solución en el logro del objetivo. En este aspecto, se ha consultado evidencia sobre intervenciones similares / previas a fin de determinar la efectividad de la alternativa de solución.</w:t>
      </w:r>
    </w:p>
    <w:p w:rsidR="00000AA1" w:rsidRDefault="00000AA1">
      <w:pPr>
        <w:spacing w:after="0" w:line="276" w:lineRule="auto"/>
        <w:jc w:val="both"/>
      </w:pPr>
    </w:p>
    <w:p w:rsidR="00000AA1" w:rsidRDefault="001347DD">
      <w:pPr>
        <w:spacing w:after="0" w:line="276" w:lineRule="auto"/>
        <w:jc w:val="both"/>
      </w:pPr>
      <w:r>
        <w:lastRenderedPageBreak/>
        <w:t xml:space="preserve">Para cada una de las variables se ha </w:t>
      </w:r>
      <w:r w:rsidR="00FD2537">
        <w:t>optado por utilizar una escala L</w:t>
      </w:r>
      <w:r>
        <w:t xml:space="preserve">ikert del 1 al 5, donde 1 indica la menor intensidad/nivel y el 5 la mayor. Finalmente, luego de calcular un puntaje total para cada alternativa de solución (suma de las cuatro variables), se eligieron aquellas </w:t>
      </w:r>
      <w:r w:rsidR="0059137A">
        <w:t>que obtuvieron los mayores valores</w:t>
      </w:r>
      <w:r>
        <w:t xml:space="preserve">.  </w:t>
      </w:r>
    </w:p>
    <w:p w:rsidR="00000AA1" w:rsidRDefault="00000AA1">
      <w:pPr>
        <w:spacing w:after="0" w:line="276" w:lineRule="auto"/>
        <w:jc w:val="both"/>
      </w:pPr>
    </w:p>
    <w:p w:rsidR="00621B4D" w:rsidRDefault="00621B4D">
      <w:pPr>
        <w:spacing w:after="0" w:line="276" w:lineRule="auto"/>
        <w:jc w:val="both"/>
      </w:pPr>
      <w:r>
        <w:t xml:space="preserve">Asimismo, se utilizan los siguientes criterios para identificar los </w:t>
      </w:r>
      <w:r w:rsidRPr="00621B4D">
        <w:t>instrumentos de implementación</w:t>
      </w:r>
      <w:r>
        <w:t xml:space="preserve"> de las alternativas:</w:t>
      </w:r>
    </w:p>
    <w:p w:rsidR="00621B4D" w:rsidRDefault="00621B4D">
      <w:pPr>
        <w:spacing w:after="0" w:line="276" w:lineRule="auto"/>
        <w:jc w:val="both"/>
      </w:pPr>
    </w:p>
    <w:tbl>
      <w:tblPr>
        <w:tblStyle w:val="Tablaconcuadrcula"/>
        <w:tblW w:w="0" w:type="auto"/>
        <w:tblLook w:val="04A0" w:firstRow="1" w:lastRow="0" w:firstColumn="1" w:lastColumn="0" w:noHBand="0" w:noVBand="1"/>
      </w:tblPr>
      <w:tblGrid>
        <w:gridCol w:w="2122"/>
        <w:gridCol w:w="6372"/>
      </w:tblGrid>
      <w:tr w:rsidR="00621B4D" w:rsidTr="00621B4D">
        <w:tc>
          <w:tcPr>
            <w:tcW w:w="2122" w:type="dxa"/>
            <w:shd w:val="clear" w:color="auto" w:fill="C6D9F1" w:themeFill="text2" w:themeFillTint="33"/>
          </w:tcPr>
          <w:p w:rsidR="00621B4D" w:rsidRPr="00621B4D" w:rsidRDefault="00621B4D" w:rsidP="00621B4D">
            <w:pPr>
              <w:spacing w:line="276" w:lineRule="auto"/>
              <w:jc w:val="center"/>
              <w:rPr>
                <w:b/>
              </w:rPr>
            </w:pPr>
            <w:r w:rsidRPr="00621B4D">
              <w:rPr>
                <w:b/>
              </w:rPr>
              <w:t>Tipo de instrumento</w:t>
            </w:r>
          </w:p>
        </w:tc>
        <w:tc>
          <w:tcPr>
            <w:tcW w:w="6372" w:type="dxa"/>
            <w:shd w:val="clear" w:color="auto" w:fill="C6D9F1" w:themeFill="text2" w:themeFillTint="33"/>
          </w:tcPr>
          <w:p w:rsidR="00621B4D" w:rsidRPr="00621B4D" w:rsidRDefault="00621B4D" w:rsidP="00621B4D">
            <w:pPr>
              <w:spacing w:line="276" w:lineRule="auto"/>
              <w:jc w:val="center"/>
              <w:rPr>
                <w:b/>
              </w:rPr>
            </w:pPr>
            <w:r>
              <w:rPr>
                <w:b/>
              </w:rPr>
              <w:t>Descripción</w:t>
            </w:r>
          </w:p>
        </w:tc>
      </w:tr>
      <w:tr w:rsidR="00621B4D" w:rsidTr="00621B4D">
        <w:tc>
          <w:tcPr>
            <w:tcW w:w="2122" w:type="dxa"/>
            <w:vAlign w:val="center"/>
          </w:tcPr>
          <w:p w:rsidR="00621B4D" w:rsidRPr="00C1163A" w:rsidRDefault="00621B4D" w:rsidP="00621B4D">
            <w:pPr>
              <w:spacing w:line="276" w:lineRule="auto"/>
              <w:jc w:val="center"/>
              <w:rPr>
                <w:b/>
              </w:rPr>
            </w:pPr>
            <w:r w:rsidRPr="00C1163A">
              <w:rPr>
                <w:b/>
              </w:rPr>
              <w:t>Económico</w:t>
            </w:r>
          </w:p>
        </w:tc>
        <w:tc>
          <w:tcPr>
            <w:tcW w:w="6372" w:type="dxa"/>
          </w:tcPr>
          <w:p w:rsidR="00621B4D" w:rsidRDefault="00621B4D" w:rsidP="00621B4D">
            <w:pPr>
              <w:spacing w:line="276" w:lineRule="auto"/>
              <w:jc w:val="both"/>
            </w:pPr>
            <w:r>
              <w:t>Aquellos que impulsan un curso de acción determinado en un ámbito concreto a través de medidas basadas en facilitar, apoyar o estimular ciertas actividades.</w:t>
            </w:r>
          </w:p>
        </w:tc>
      </w:tr>
      <w:tr w:rsidR="00621B4D" w:rsidTr="00621B4D">
        <w:trPr>
          <w:trHeight w:val="1073"/>
        </w:trPr>
        <w:tc>
          <w:tcPr>
            <w:tcW w:w="2122" w:type="dxa"/>
            <w:vAlign w:val="center"/>
          </w:tcPr>
          <w:p w:rsidR="00621B4D" w:rsidRPr="00C1163A" w:rsidRDefault="00621B4D" w:rsidP="00621B4D">
            <w:pPr>
              <w:spacing w:line="276" w:lineRule="auto"/>
              <w:jc w:val="center"/>
              <w:rPr>
                <w:b/>
              </w:rPr>
            </w:pPr>
            <w:r w:rsidRPr="00C1163A">
              <w:rPr>
                <w:b/>
              </w:rPr>
              <w:t>Informativo</w:t>
            </w:r>
          </w:p>
        </w:tc>
        <w:tc>
          <w:tcPr>
            <w:tcW w:w="6372" w:type="dxa"/>
          </w:tcPr>
          <w:p w:rsidR="00621B4D" w:rsidRDefault="00621B4D" w:rsidP="00621B4D">
            <w:pPr>
              <w:spacing w:line="276" w:lineRule="auto"/>
              <w:jc w:val="both"/>
            </w:pPr>
            <w:r>
              <w:t>Aquellos que buscan concientizar sobre determinados problemas o fortalecer valores, así como aquellos basados en la distribución del conocimiento entre diversos actores sociales</w:t>
            </w:r>
          </w:p>
        </w:tc>
      </w:tr>
      <w:tr w:rsidR="00621B4D" w:rsidTr="00621B4D">
        <w:trPr>
          <w:trHeight w:val="433"/>
        </w:trPr>
        <w:tc>
          <w:tcPr>
            <w:tcW w:w="2122" w:type="dxa"/>
            <w:vAlign w:val="center"/>
          </w:tcPr>
          <w:p w:rsidR="00621B4D" w:rsidRPr="00C1163A" w:rsidRDefault="00621B4D" w:rsidP="00621B4D">
            <w:pPr>
              <w:spacing w:line="276" w:lineRule="auto"/>
              <w:jc w:val="center"/>
              <w:rPr>
                <w:b/>
              </w:rPr>
            </w:pPr>
            <w:r w:rsidRPr="00C1163A">
              <w:rPr>
                <w:b/>
              </w:rPr>
              <w:t>Regulador</w:t>
            </w:r>
          </w:p>
        </w:tc>
        <w:tc>
          <w:tcPr>
            <w:tcW w:w="6372" w:type="dxa"/>
          </w:tcPr>
          <w:p w:rsidR="00621B4D" w:rsidRDefault="00621B4D">
            <w:pPr>
              <w:spacing w:line="276" w:lineRule="auto"/>
              <w:jc w:val="both"/>
            </w:pPr>
            <w:r>
              <w:t xml:space="preserve">Aquellos que consisten en producir instrumentos normativos. </w:t>
            </w:r>
          </w:p>
        </w:tc>
      </w:tr>
      <w:tr w:rsidR="00621B4D" w:rsidTr="00621B4D">
        <w:tc>
          <w:tcPr>
            <w:tcW w:w="2122" w:type="dxa"/>
            <w:vAlign w:val="center"/>
          </w:tcPr>
          <w:p w:rsidR="00621B4D" w:rsidRPr="00C1163A" w:rsidRDefault="00621B4D" w:rsidP="00621B4D">
            <w:pPr>
              <w:spacing w:line="276" w:lineRule="auto"/>
              <w:jc w:val="center"/>
              <w:rPr>
                <w:b/>
              </w:rPr>
            </w:pPr>
            <w:r w:rsidRPr="00C1163A">
              <w:rPr>
                <w:b/>
              </w:rPr>
              <w:t>Gestión</w:t>
            </w:r>
          </w:p>
        </w:tc>
        <w:tc>
          <w:tcPr>
            <w:tcW w:w="6372" w:type="dxa"/>
          </w:tcPr>
          <w:p w:rsidR="00621B4D" w:rsidRDefault="00621B4D" w:rsidP="00621B4D">
            <w:pPr>
              <w:spacing w:line="276" w:lineRule="auto"/>
              <w:jc w:val="both"/>
            </w:pPr>
            <w:r>
              <w:t>Aquellos que se refieren a</w:t>
            </w:r>
            <w:r w:rsidRPr="00621B4D">
              <w:t xml:space="preserve"> modifica</w:t>
            </w:r>
            <w:r>
              <w:t>ciones de procesos o actividades</w:t>
            </w:r>
            <w:r w:rsidRPr="00621B4D">
              <w:t xml:space="preserve"> dentro de </w:t>
            </w:r>
            <w:r>
              <w:t>una o más</w:t>
            </w:r>
            <w:r w:rsidRPr="00621B4D">
              <w:t xml:space="preserve"> instituci</w:t>
            </w:r>
            <w:r>
              <w:t>ones</w:t>
            </w:r>
            <w:r w:rsidRPr="00621B4D">
              <w:t xml:space="preserve"> pública</w:t>
            </w:r>
            <w:r>
              <w:t>s</w:t>
            </w:r>
            <w:r w:rsidRPr="00621B4D">
              <w:t>.</w:t>
            </w:r>
          </w:p>
        </w:tc>
      </w:tr>
    </w:tbl>
    <w:p w:rsidR="00621B4D" w:rsidRDefault="00621B4D">
      <w:pPr>
        <w:spacing w:after="0" w:line="276" w:lineRule="auto"/>
        <w:jc w:val="both"/>
      </w:pPr>
    </w:p>
    <w:p w:rsidR="004E5D3E" w:rsidRDefault="004E5D3E"/>
    <w:p w:rsidR="004E5D3E" w:rsidRPr="004E5D3E" w:rsidRDefault="004E5D3E">
      <w:pPr>
        <w:rPr>
          <w:b/>
          <w:i/>
          <w:highlight w:val="yellow"/>
        </w:rPr>
      </w:pPr>
      <w:r w:rsidRPr="004E5D3E">
        <w:rPr>
          <w:b/>
          <w:i/>
          <w:highlight w:val="yellow"/>
        </w:rPr>
        <w:t>Sobre análisis costo-beneficio</w:t>
      </w:r>
    </w:p>
    <w:p w:rsidR="00B33672" w:rsidRPr="00072CEE" w:rsidRDefault="004E5D3E" w:rsidP="004E5D3E">
      <w:pPr>
        <w:spacing w:after="0" w:line="276" w:lineRule="auto"/>
        <w:jc w:val="both"/>
        <w:rPr>
          <w:highlight w:val="yellow"/>
        </w:rPr>
      </w:pPr>
      <w:r w:rsidRPr="00072CEE">
        <w:rPr>
          <w:highlight w:val="yellow"/>
        </w:rPr>
        <w:t>No se utilizó el análisis costo-beneficio debido a que</w:t>
      </w:r>
      <w:r w:rsidR="00B33672" w:rsidRPr="00072CEE">
        <w:rPr>
          <w:highlight w:val="yellow"/>
        </w:rPr>
        <w:t xml:space="preserve"> el fenómeno </w:t>
      </w:r>
      <w:r w:rsidR="00782CFF">
        <w:rPr>
          <w:highlight w:val="yellow"/>
        </w:rPr>
        <w:t>del LA</w:t>
      </w:r>
      <w:r w:rsidR="00B33672" w:rsidRPr="00072CEE">
        <w:rPr>
          <w:highlight w:val="yellow"/>
        </w:rPr>
        <w:t xml:space="preserve"> tiene carácter multidimensional y dicha complejidad se traduce en la escasez de mediciones </w:t>
      </w:r>
      <w:r w:rsidR="005149F0" w:rsidRPr="00072CEE">
        <w:rPr>
          <w:highlight w:val="yellow"/>
        </w:rPr>
        <w:t xml:space="preserve">y datos cuantitativos, tanto de la propia magnitud del fenómeno delictivo (lo que se reflejó en el diagnóstico realizado) como de los impactos materiales (expresados en un valor económico) que puedan ocasionar a la ciudadanía en general. </w:t>
      </w:r>
      <w:r w:rsidR="00C002CB">
        <w:rPr>
          <w:highlight w:val="yellow"/>
        </w:rPr>
        <w:t>Esta es una limitación en intervenciones relacionadas a este fenómeno a nivel mundial.</w:t>
      </w:r>
      <w:r w:rsidRPr="00072CEE">
        <w:rPr>
          <w:highlight w:val="yellow"/>
        </w:rPr>
        <w:t xml:space="preserve"> </w:t>
      </w:r>
      <w:r w:rsidR="005F709C" w:rsidRPr="00072CEE">
        <w:rPr>
          <w:highlight w:val="yellow"/>
        </w:rPr>
        <w:t xml:space="preserve">Ello hace inviable técnicamente el cálculo monetizado de los beneficios que podrían generar las alternativas de solución propuestas en este documento. </w:t>
      </w:r>
    </w:p>
    <w:p w:rsidR="00B33672" w:rsidRPr="00072CEE" w:rsidRDefault="00B33672" w:rsidP="004E5D3E">
      <w:pPr>
        <w:spacing w:after="0" w:line="276" w:lineRule="auto"/>
        <w:jc w:val="both"/>
        <w:rPr>
          <w:highlight w:val="yellow"/>
        </w:rPr>
      </w:pPr>
    </w:p>
    <w:p w:rsidR="00104A2D" w:rsidRPr="00072CEE" w:rsidRDefault="005F709C" w:rsidP="004E5D3E">
      <w:pPr>
        <w:spacing w:after="0" w:line="276" w:lineRule="auto"/>
        <w:jc w:val="both"/>
        <w:rPr>
          <w:highlight w:val="yellow"/>
        </w:rPr>
      </w:pPr>
      <w:r w:rsidRPr="00072CEE">
        <w:rPr>
          <w:highlight w:val="yellow"/>
        </w:rPr>
        <w:t xml:space="preserve">Asimismo, </w:t>
      </w:r>
      <w:r w:rsidR="00072CEE" w:rsidRPr="00072CEE">
        <w:rPr>
          <w:highlight w:val="yellow"/>
        </w:rPr>
        <w:t>dicho análisis prioriza la selección de una alternativa en base a la comparación del costo monetario, dejando de lado criterios inmateriales como los costes sociales o políticos de las mismas, los cuales son más adecuados para evaluar las alternativas de una política que atiende una problemática de este tipo</w:t>
      </w:r>
      <w:r w:rsidR="005647FE">
        <w:rPr>
          <w:highlight w:val="yellow"/>
        </w:rPr>
        <w:t>, en el que el campo de acción y la población objetivo no son acotados</w:t>
      </w:r>
      <w:r w:rsidR="00072CEE" w:rsidRPr="00072CEE">
        <w:rPr>
          <w:highlight w:val="yellow"/>
        </w:rPr>
        <w:t xml:space="preserve">. </w:t>
      </w:r>
    </w:p>
    <w:p w:rsidR="00104A2D" w:rsidRPr="00072CEE" w:rsidRDefault="00104A2D" w:rsidP="004E5D3E">
      <w:pPr>
        <w:spacing w:after="0" w:line="276" w:lineRule="auto"/>
        <w:jc w:val="both"/>
        <w:rPr>
          <w:highlight w:val="yellow"/>
        </w:rPr>
      </w:pPr>
    </w:p>
    <w:p w:rsidR="00072CEE" w:rsidRDefault="00072CEE" w:rsidP="00072CEE">
      <w:pPr>
        <w:spacing w:after="0" w:line="276" w:lineRule="auto"/>
        <w:jc w:val="both"/>
      </w:pPr>
      <w:r w:rsidRPr="00072CEE">
        <w:rPr>
          <w:highlight w:val="yellow"/>
        </w:rPr>
        <w:t>Por ello, las alternativas de solución se realizaron en base a los criterios establecidos por el CEPLAN en la Guía de Políticas Nacionales (2018), los cuales incluyen el análisis de la viabilida</w:t>
      </w:r>
      <w:r w:rsidRPr="00C002CB">
        <w:rPr>
          <w:highlight w:val="yellow"/>
        </w:rPr>
        <w:t>d política, viabilidad social, viabilidad administ</w:t>
      </w:r>
      <w:r w:rsidR="00C002CB" w:rsidRPr="00C002CB">
        <w:rPr>
          <w:highlight w:val="yellow"/>
        </w:rPr>
        <w:t>rativa, así como la efectividad, priorizando la consulta de evidencia sobre intervenciones similares tanto a nivel nacional como internacional.</w:t>
      </w:r>
      <w:r w:rsidR="00C002CB">
        <w:t xml:space="preserve"> </w:t>
      </w:r>
    </w:p>
    <w:p w:rsidR="009724D8" w:rsidRDefault="004E5D3E" w:rsidP="004E5D3E">
      <w:pPr>
        <w:spacing w:after="0" w:line="276" w:lineRule="auto"/>
        <w:jc w:val="both"/>
      </w:pPr>
      <w:r w:rsidRPr="004E5D3E">
        <w:t xml:space="preserve"> </w:t>
      </w:r>
      <w:r w:rsidR="009724D8">
        <w:br w:type="page"/>
      </w:r>
    </w:p>
    <w:p w:rsidR="00000AA1" w:rsidRDefault="00386849" w:rsidP="00386849">
      <w:pPr>
        <w:pStyle w:val="Ttulo2"/>
        <w:numPr>
          <w:ilvl w:val="1"/>
          <w:numId w:val="3"/>
        </w:numPr>
        <w:spacing w:line="240" w:lineRule="auto"/>
        <w:ind w:left="0"/>
        <w:rPr>
          <w:b/>
          <w:color w:val="000000"/>
          <w:sz w:val="22"/>
          <w:szCs w:val="22"/>
        </w:rPr>
      </w:pPr>
      <w:bookmarkStart w:id="12" w:name="_Toc113360610"/>
      <w:r>
        <w:rPr>
          <w:b/>
          <w:color w:val="000000"/>
          <w:sz w:val="22"/>
          <w:szCs w:val="22"/>
        </w:rPr>
        <w:lastRenderedPageBreak/>
        <w:t>A</w:t>
      </w:r>
      <w:r w:rsidR="001347DD">
        <w:rPr>
          <w:b/>
          <w:color w:val="000000"/>
          <w:sz w:val="22"/>
          <w:szCs w:val="22"/>
        </w:rPr>
        <w:t>lternativas de solución</w:t>
      </w:r>
      <w:r>
        <w:rPr>
          <w:b/>
          <w:color w:val="000000"/>
          <w:sz w:val="22"/>
          <w:szCs w:val="22"/>
        </w:rPr>
        <w:t xml:space="preserve"> seleccionadas</w:t>
      </w:r>
      <w:bookmarkEnd w:id="12"/>
    </w:p>
    <w:p w:rsidR="00000AA1" w:rsidRDefault="00000AA1"/>
    <w:p w:rsidR="00F8131F" w:rsidRDefault="00F8131F">
      <w:r>
        <w:t>Las alternativas de solución seleccionadas para la presente Política Nacional contra Lavado de Activos son las siguientes:</w:t>
      </w:r>
    </w:p>
    <w:tbl>
      <w:tblPr>
        <w:tblW w:w="4965" w:type="pct"/>
        <w:tblCellMar>
          <w:left w:w="70" w:type="dxa"/>
          <w:right w:w="70" w:type="dxa"/>
        </w:tblCellMar>
        <w:tblLook w:val="04A0" w:firstRow="1" w:lastRow="0" w:firstColumn="1" w:lastColumn="0" w:noHBand="0" w:noVBand="1"/>
      </w:tblPr>
      <w:tblGrid>
        <w:gridCol w:w="1223"/>
        <w:gridCol w:w="2000"/>
        <w:gridCol w:w="1496"/>
        <w:gridCol w:w="1371"/>
        <w:gridCol w:w="391"/>
        <w:gridCol w:w="391"/>
        <w:gridCol w:w="391"/>
        <w:gridCol w:w="391"/>
        <w:gridCol w:w="781"/>
      </w:tblGrid>
      <w:tr w:rsidR="006939D1" w:rsidRPr="006939D1" w:rsidTr="005353F6">
        <w:trPr>
          <w:trHeight w:val="252"/>
        </w:trPr>
        <w:tc>
          <w:tcPr>
            <w:tcW w:w="720" w:type="pct"/>
            <w:vMerge w:val="restart"/>
            <w:tcBorders>
              <w:top w:val="single" w:sz="4" w:space="0" w:color="auto"/>
              <w:left w:val="single" w:sz="4" w:space="0" w:color="auto"/>
              <w:bottom w:val="single" w:sz="4" w:space="0" w:color="auto"/>
              <w:right w:val="single" w:sz="4" w:space="0" w:color="auto"/>
            </w:tcBorders>
            <w:shd w:val="clear" w:color="8DB3E2" w:fill="8DB3E2"/>
            <w:vAlign w:val="center"/>
            <w:hideMark/>
          </w:tcPr>
          <w:p w:rsidR="006939D1" w:rsidRPr="006939D1" w:rsidRDefault="006939D1" w:rsidP="006939D1">
            <w:pPr>
              <w:spacing w:after="0" w:line="240" w:lineRule="auto"/>
              <w:jc w:val="center"/>
              <w:rPr>
                <w:rFonts w:asciiTheme="majorHAnsi" w:eastAsia="Times New Roman" w:hAnsiTheme="majorHAnsi" w:cstheme="majorHAnsi"/>
                <w:b/>
                <w:bCs/>
                <w:sz w:val="20"/>
                <w:szCs w:val="20"/>
              </w:rPr>
            </w:pPr>
            <w:r w:rsidRPr="006939D1">
              <w:rPr>
                <w:rFonts w:asciiTheme="majorHAnsi" w:eastAsia="Times New Roman" w:hAnsiTheme="majorHAnsi" w:cstheme="majorHAnsi"/>
                <w:b/>
                <w:bCs/>
                <w:sz w:val="20"/>
                <w:szCs w:val="20"/>
              </w:rPr>
              <w:t>CAUSA PRIMARIA</w:t>
            </w:r>
          </w:p>
        </w:tc>
        <w:tc>
          <w:tcPr>
            <w:tcW w:w="1196" w:type="pct"/>
            <w:vMerge w:val="restart"/>
            <w:tcBorders>
              <w:top w:val="single" w:sz="4" w:space="0" w:color="auto"/>
              <w:left w:val="single" w:sz="4" w:space="0" w:color="auto"/>
              <w:bottom w:val="single" w:sz="4" w:space="0" w:color="auto"/>
              <w:right w:val="single" w:sz="4" w:space="0" w:color="auto"/>
            </w:tcBorders>
            <w:shd w:val="clear" w:color="8DB3E2" w:fill="8DB3E2"/>
            <w:vAlign w:val="center"/>
            <w:hideMark/>
          </w:tcPr>
          <w:p w:rsidR="006939D1" w:rsidRPr="006939D1" w:rsidRDefault="006939D1" w:rsidP="006939D1">
            <w:pPr>
              <w:spacing w:after="0" w:line="240" w:lineRule="auto"/>
              <w:jc w:val="center"/>
              <w:rPr>
                <w:rFonts w:asciiTheme="majorHAnsi" w:eastAsia="Times New Roman" w:hAnsiTheme="majorHAnsi" w:cstheme="majorHAnsi"/>
                <w:b/>
                <w:bCs/>
                <w:sz w:val="20"/>
                <w:szCs w:val="20"/>
              </w:rPr>
            </w:pPr>
            <w:r w:rsidRPr="006939D1">
              <w:rPr>
                <w:rFonts w:asciiTheme="majorHAnsi" w:eastAsia="Times New Roman" w:hAnsiTheme="majorHAnsi" w:cstheme="majorHAnsi"/>
                <w:b/>
                <w:bCs/>
                <w:sz w:val="20"/>
                <w:szCs w:val="20"/>
              </w:rPr>
              <w:t>Alternativa de solución</w:t>
            </w:r>
          </w:p>
        </w:tc>
        <w:tc>
          <w:tcPr>
            <w:tcW w:w="881" w:type="pct"/>
            <w:vMerge w:val="restart"/>
            <w:tcBorders>
              <w:top w:val="single" w:sz="4" w:space="0" w:color="auto"/>
              <w:left w:val="single" w:sz="4" w:space="0" w:color="auto"/>
              <w:bottom w:val="single" w:sz="4" w:space="0" w:color="auto"/>
              <w:right w:val="single" w:sz="4" w:space="0" w:color="auto"/>
            </w:tcBorders>
            <w:shd w:val="clear" w:color="8DB3E2" w:fill="8DB3E2"/>
            <w:vAlign w:val="center"/>
            <w:hideMark/>
          </w:tcPr>
          <w:p w:rsidR="006939D1" w:rsidRPr="006939D1" w:rsidRDefault="006939D1" w:rsidP="006939D1">
            <w:pPr>
              <w:spacing w:after="0" w:line="240" w:lineRule="auto"/>
              <w:jc w:val="center"/>
              <w:rPr>
                <w:rFonts w:asciiTheme="majorHAnsi" w:eastAsia="Times New Roman" w:hAnsiTheme="majorHAnsi" w:cstheme="majorHAnsi"/>
                <w:b/>
                <w:bCs/>
                <w:sz w:val="20"/>
                <w:szCs w:val="20"/>
              </w:rPr>
            </w:pPr>
            <w:r w:rsidRPr="006939D1">
              <w:rPr>
                <w:rFonts w:asciiTheme="majorHAnsi" w:eastAsia="Times New Roman" w:hAnsiTheme="majorHAnsi" w:cstheme="majorHAnsi"/>
                <w:b/>
                <w:bCs/>
                <w:sz w:val="20"/>
                <w:szCs w:val="20"/>
              </w:rPr>
              <w:t>Instrumentos de implementación</w:t>
            </w:r>
          </w:p>
        </w:tc>
        <w:tc>
          <w:tcPr>
            <w:tcW w:w="823" w:type="pct"/>
            <w:vMerge w:val="restart"/>
            <w:tcBorders>
              <w:top w:val="single" w:sz="4" w:space="0" w:color="auto"/>
              <w:left w:val="single" w:sz="4" w:space="0" w:color="auto"/>
              <w:bottom w:val="single" w:sz="4" w:space="0" w:color="auto"/>
              <w:right w:val="single" w:sz="4" w:space="0" w:color="auto"/>
            </w:tcBorders>
            <w:shd w:val="clear" w:color="8DB3E2" w:fill="8DB3E2"/>
            <w:vAlign w:val="center"/>
            <w:hideMark/>
          </w:tcPr>
          <w:p w:rsidR="006939D1" w:rsidRPr="006939D1" w:rsidRDefault="006939D1" w:rsidP="006939D1">
            <w:pPr>
              <w:spacing w:after="0" w:line="240" w:lineRule="auto"/>
              <w:jc w:val="center"/>
              <w:rPr>
                <w:rFonts w:asciiTheme="majorHAnsi" w:eastAsia="Times New Roman" w:hAnsiTheme="majorHAnsi" w:cstheme="majorHAnsi"/>
                <w:b/>
                <w:bCs/>
                <w:sz w:val="20"/>
                <w:szCs w:val="20"/>
              </w:rPr>
            </w:pPr>
            <w:r w:rsidRPr="006939D1">
              <w:rPr>
                <w:rFonts w:asciiTheme="majorHAnsi" w:eastAsia="Times New Roman" w:hAnsiTheme="majorHAnsi" w:cstheme="majorHAnsi"/>
                <w:b/>
                <w:bCs/>
                <w:sz w:val="20"/>
                <w:szCs w:val="20"/>
              </w:rPr>
              <w:t>Tipo de intervención</w:t>
            </w:r>
          </w:p>
        </w:tc>
        <w:tc>
          <w:tcPr>
            <w:tcW w:w="921" w:type="pct"/>
            <w:gridSpan w:val="4"/>
            <w:tcBorders>
              <w:top w:val="single" w:sz="4" w:space="0" w:color="auto"/>
              <w:left w:val="nil"/>
              <w:bottom w:val="single" w:sz="4" w:space="0" w:color="auto"/>
              <w:right w:val="single" w:sz="4" w:space="0" w:color="auto"/>
            </w:tcBorders>
            <w:shd w:val="clear" w:color="8DB3E2" w:fill="8DB3E2"/>
            <w:noWrap/>
            <w:vAlign w:val="center"/>
            <w:hideMark/>
          </w:tcPr>
          <w:p w:rsidR="006939D1" w:rsidRPr="006939D1" w:rsidRDefault="006939D1" w:rsidP="006939D1">
            <w:pPr>
              <w:spacing w:after="0" w:line="240" w:lineRule="auto"/>
              <w:jc w:val="center"/>
              <w:rPr>
                <w:rFonts w:asciiTheme="majorHAnsi" w:eastAsia="Times New Roman" w:hAnsiTheme="majorHAnsi" w:cstheme="majorHAnsi"/>
                <w:b/>
                <w:bCs/>
                <w:sz w:val="20"/>
                <w:szCs w:val="20"/>
                <w:u w:val="single"/>
              </w:rPr>
            </w:pPr>
            <w:r w:rsidRPr="006939D1">
              <w:rPr>
                <w:rFonts w:asciiTheme="majorHAnsi" w:eastAsia="Times New Roman" w:hAnsiTheme="majorHAnsi" w:cstheme="majorHAnsi"/>
                <w:b/>
                <w:bCs/>
                <w:sz w:val="20"/>
                <w:szCs w:val="20"/>
                <w:u w:val="single"/>
              </w:rPr>
              <w:t>Criterios</w:t>
            </w:r>
          </w:p>
        </w:tc>
        <w:tc>
          <w:tcPr>
            <w:tcW w:w="459" w:type="pct"/>
            <w:vMerge w:val="restart"/>
            <w:tcBorders>
              <w:top w:val="single" w:sz="4" w:space="0" w:color="auto"/>
              <w:left w:val="single" w:sz="4" w:space="0" w:color="auto"/>
              <w:bottom w:val="single" w:sz="4" w:space="0" w:color="auto"/>
              <w:right w:val="single" w:sz="4" w:space="0" w:color="auto"/>
            </w:tcBorders>
            <w:shd w:val="clear" w:color="8DB3E2" w:fill="8DB3E2"/>
            <w:vAlign w:val="center"/>
            <w:hideMark/>
          </w:tcPr>
          <w:p w:rsidR="006939D1" w:rsidRPr="006939D1" w:rsidRDefault="006939D1" w:rsidP="006939D1">
            <w:pPr>
              <w:spacing w:after="0" w:line="240" w:lineRule="auto"/>
              <w:jc w:val="center"/>
              <w:rPr>
                <w:rFonts w:asciiTheme="majorHAnsi" w:eastAsia="Times New Roman" w:hAnsiTheme="majorHAnsi" w:cstheme="majorHAnsi"/>
                <w:b/>
                <w:bCs/>
                <w:sz w:val="20"/>
                <w:szCs w:val="20"/>
                <w:u w:val="single"/>
              </w:rPr>
            </w:pPr>
            <w:r w:rsidRPr="006939D1">
              <w:rPr>
                <w:rFonts w:asciiTheme="majorHAnsi" w:eastAsia="Times New Roman" w:hAnsiTheme="majorHAnsi" w:cstheme="majorHAnsi"/>
                <w:b/>
                <w:bCs/>
                <w:sz w:val="20"/>
                <w:szCs w:val="20"/>
                <w:u w:val="single"/>
              </w:rPr>
              <w:t>Puntaje final</w:t>
            </w:r>
          </w:p>
        </w:tc>
      </w:tr>
      <w:tr w:rsidR="006939D1" w:rsidRPr="006939D1" w:rsidTr="005353F6">
        <w:trPr>
          <w:trHeight w:val="1738"/>
        </w:trPr>
        <w:tc>
          <w:tcPr>
            <w:tcW w:w="720" w:type="pct"/>
            <w:vMerge/>
            <w:tcBorders>
              <w:top w:val="single" w:sz="4" w:space="0" w:color="auto"/>
              <w:left w:val="single" w:sz="4" w:space="0" w:color="auto"/>
              <w:bottom w:val="single" w:sz="4" w:space="0" w:color="auto"/>
              <w:right w:val="single" w:sz="4" w:space="0" w:color="auto"/>
            </w:tcBorders>
            <w:vAlign w:val="center"/>
            <w:hideMark/>
          </w:tcPr>
          <w:p w:rsidR="006939D1" w:rsidRPr="006939D1" w:rsidRDefault="006939D1" w:rsidP="006939D1">
            <w:pPr>
              <w:spacing w:after="0" w:line="240" w:lineRule="auto"/>
              <w:rPr>
                <w:rFonts w:asciiTheme="majorHAnsi" w:eastAsia="Times New Roman" w:hAnsiTheme="majorHAnsi" w:cstheme="majorHAnsi"/>
                <w:b/>
                <w:bCs/>
                <w:sz w:val="20"/>
                <w:szCs w:val="20"/>
              </w:rPr>
            </w:pPr>
          </w:p>
        </w:tc>
        <w:tc>
          <w:tcPr>
            <w:tcW w:w="1196" w:type="pct"/>
            <w:vMerge/>
            <w:tcBorders>
              <w:top w:val="single" w:sz="4" w:space="0" w:color="auto"/>
              <w:left w:val="single" w:sz="4" w:space="0" w:color="auto"/>
              <w:bottom w:val="single" w:sz="4" w:space="0" w:color="auto"/>
              <w:right w:val="single" w:sz="4" w:space="0" w:color="auto"/>
            </w:tcBorders>
            <w:vAlign w:val="center"/>
            <w:hideMark/>
          </w:tcPr>
          <w:p w:rsidR="006939D1" w:rsidRPr="006939D1" w:rsidRDefault="006939D1" w:rsidP="006939D1">
            <w:pPr>
              <w:spacing w:after="0" w:line="240" w:lineRule="auto"/>
              <w:rPr>
                <w:rFonts w:asciiTheme="majorHAnsi" w:eastAsia="Times New Roman" w:hAnsiTheme="majorHAnsi" w:cstheme="majorHAnsi"/>
                <w:b/>
                <w:bCs/>
                <w:sz w:val="20"/>
                <w:szCs w:val="20"/>
              </w:rPr>
            </w:pPr>
          </w:p>
        </w:tc>
        <w:tc>
          <w:tcPr>
            <w:tcW w:w="881" w:type="pct"/>
            <w:vMerge/>
            <w:tcBorders>
              <w:top w:val="single" w:sz="4" w:space="0" w:color="auto"/>
              <w:left w:val="single" w:sz="4" w:space="0" w:color="auto"/>
              <w:bottom w:val="single" w:sz="4" w:space="0" w:color="auto"/>
              <w:right w:val="single" w:sz="4" w:space="0" w:color="auto"/>
            </w:tcBorders>
            <w:vAlign w:val="center"/>
            <w:hideMark/>
          </w:tcPr>
          <w:p w:rsidR="006939D1" w:rsidRPr="006939D1" w:rsidRDefault="006939D1" w:rsidP="006939D1">
            <w:pPr>
              <w:spacing w:after="0" w:line="240" w:lineRule="auto"/>
              <w:rPr>
                <w:rFonts w:asciiTheme="majorHAnsi" w:eastAsia="Times New Roman" w:hAnsiTheme="majorHAnsi" w:cstheme="majorHAnsi"/>
                <w:b/>
                <w:bCs/>
                <w:sz w:val="20"/>
                <w:szCs w:val="20"/>
              </w:rPr>
            </w:pPr>
          </w:p>
        </w:tc>
        <w:tc>
          <w:tcPr>
            <w:tcW w:w="823" w:type="pct"/>
            <w:vMerge/>
            <w:tcBorders>
              <w:top w:val="single" w:sz="4" w:space="0" w:color="auto"/>
              <w:left w:val="single" w:sz="4" w:space="0" w:color="auto"/>
              <w:bottom w:val="single" w:sz="4" w:space="0" w:color="auto"/>
              <w:right w:val="single" w:sz="4" w:space="0" w:color="auto"/>
            </w:tcBorders>
            <w:vAlign w:val="center"/>
            <w:hideMark/>
          </w:tcPr>
          <w:p w:rsidR="006939D1" w:rsidRPr="006939D1" w:rsidRDefault="006939D1" w:rsidP="006939D1">
            <w:pPr>
              <w:spacing w:after="0" w:line="240" w:lineRule="auto"/>
              <w:rPr>
                <w:rFonts w:asciiTheme="majorHAnsi" w:eastAsia="Times New Roman" w:hAnsiTheme="majorHAnsi" w:cstheme="majorHAnsi"/>
                <w:b/>
                <w:bCs/>
                <w:sz w:val="20"/>
                <w:szCs w:val="20"/>
              </w:rPr>
            </w:pPr>
          </w:p>
        </w:tc>
        <w:tc>
          <w:tcPr>
            <w:tcW w:w="230" w:type="pct"/>
            <w:tcBorders>
              <w:top w:val="nil"/>
              <w:left w:val="nil"/>
              <w:bottom w:val="nil"/>
              <w:right w:val="single" w:sz="4" w:space="0" w:color="auto"/>
            </w:tcBorders>
            <w:shd w:val="clear" w:color="8DB3E2" w:fill="8DB3E2"/>
            <w:textDirection w:val="btLr"/>
            <w:vAlign w:val="center"/>
            <w:hideMark/>
          </w:tcPr>
          <w:p w:rsidR="006939D1" w:rsidRPr="006939D1" w:rsidRDefault="006939D1" w:rsidP="006939D1">
            <w:pPr>
              <w:spacing w:after="0" w:line="240" w:lineRule="auto"/>
              <w:jc w:val="center"/>
              <w:rPr>
                <w:rFonts w:asciiTheme="majorHAnsi" w:eastAsia="Times New Roman" w:hAnsiTheme="majorHAnsi" w:cstheme="majorHAnsi"/>
                <w:b/>
                <w:bCs/>
                <w:sz w:val="20"/>
                <w:szCs w:val="20"/>
              </w:rPr>
            </w:pPr>
            <w:r w:rsidRPr="006939D1">
              <w:rPr>
                <w:rFonts w:asciiTheme="majorHAnsi" w:eastAsia="Times New Roman" w:hAnsiTheme="majorHAnsi" w:cstheme="majorHAnsi"/>
                <w:b/>
                <w:bCs/>
                <w:sz w:val="20"/>
                <w:szCs w:val="20"/>
              </w:rPr>
              <w:t>Viabilidad política</w:t>
            </w:r>
          </w:p>
        </w:tc>
        <w:tc>
          <w:tcPr>
            <w:tcW w:w="230" w:type="pct"/>
            <w:tcBorders>
              <w:top w:val="nil"/>
              <w:left w:val="nil"/>
              <w:bottom w:val="nil"/>
              <w:right w:val="single" w:sz="4" w:space="0" w:color="auto"/>
            </w:tcBorders>
            <w:shd w:val="clear" w:color="8DB3E2" w:fill="8DB3E2"/>
            <w:textDirection w:val="btLr"/>
            <w:vAlign w:val="center"/>
            <w:hideMark/>
          </w:tcPr>
          <w:p w:rsidR="006939D1" w:rsidRPr="006939D1" w:rsidRDefault="006939D1" w:rsidP="006939D1">
            <w:pPr>
              <w:spacing w:after="0" w:line="240" w:lineRule="auto"/>
              <w:jc w:val="center"/>
              <w:rPr>
                <w:rFonts w:asciiTheme="majorHAnsi" w:eastAsia="Times New Roman" w:hAnsiTheme="majorHAnsi" w:cstheme="majorHAnsi"/>
                <w:b/>
                <w:bCs/>
                <w:sz w:val="20"/>
                <w:szCs w:val="20"/>
              </w:rPr>
            </w:pPr>
            <w:r w:rsidRPr="006939D1">
              <w:rPr>
                <w:rFonts w:asciiTheme="majorHAnsi" w:eastAsia="Times New Roman" w:hAnsiTheme="majorHAnsi" w:cstheme="majorHAnsi"/>
                <w:b/>
                <w:bCs/>
                <w:sz w:val="20"/>
                <w:szCs w:val="20"/>
              </w:rPr>
              <w:t>Viabilidad social</w:t>
            </w:r>
          </w:p>
        </w:tc>
        <w:tc>
          <w:tcPr>
            <w:tcW w:w="230" w:type="pct"/>
            <w:tcBorders>
              <w:top w:val="nil"/>
              <w:left w:val="nil"/>
              <w:bottom w:val="nil"/>
              <w:right w:val="single" w:sz="4" w:space="0" w:color="auto"/>
            </w:tcBorders>
            <w:shd w:val="clear" w:color="8DB3E2" w:fill="8DB3E2"/>
            <w:textDirection w:val="btLr"/>
            <w:vAlign w:val="center"/>
            <w:hideMark/>
          </w:tcPr>
          <w:p w:rsidR="006939D1" w:rsidRPr="006939D1" w:rsidRDefault="006939D1" w:rsidP="006939D1">
            <w:pPr>
              <w:spacing w:after="0" w:line="240" w:lineRule="auto"/>
              <w:jc w:val="center"/>
              <w:rPr>
                <w:rFonts w:asciiTheme="majorHAnsi" w:eastAsia="Times New Roman" w:hAnsiTheme="majorHAnsi" w:cstheme="majorHAnsi"/>
                <w:b/>
                <w:bCs/>
                <w:sz w:val="20"/>
                <w:szCs w:val="20"/>
              </w:rPr>
            </w:pPr>
            <w:r w:rsidRPr="006939D1">
              <w:rPr>
                <w:rFonts w:asciiTheme="majorHAnsi" w:eastAsia="Times New Roman" w:hAnsiTheme="majorHAnsi" w:cstheme="majorHAnsi"/>
                <w:b/>
                <w:bCs/>
                <w:sz w:val="20"/>
                <w:szCs w:val="20"/>
              </w:rPr>
              <w:t>Viabilidad administrativa</w:t>
            </w:r>
          </w:p>
        </w:tc>
        <w:tc>
          <w:tcPr>
            <w:tcW w:w="230" w:type="pct"/>
            <w:tcBorders>
              <w:top w:val="nil"/>
              <w:left w:val="nil"/>
              <w:bottom w:val="nil"/>
              <w:right w:val="single" w:sz="4" w:space="0" w:color="auto"/>
            </w:tcBorders>
            <w:shd w:val="clear" w:color="8DB3E2" w:fill="8DB3E2"/>
            <w:textDirection w:val="btLr"/>
            <w:vAlign w:val="center"/>
            <w:hideMark/>
          </w:tcPr>
          <w:p w:rsidR="006939D1" w:rsidRPr="006939D1" w:rsidRDefault="006939D1" w:rsidP="006939D1">
            <w:pPr>
              <w:spacing w:after="0" w:line="240" w:lineRule="auto"/>
              <w:jc w:val="center"/>
              <w:rPr>
                <w:rFonts w:asciiTheme="majorHAnsi" w:eastAsia="Times New Roman" w:hAnsiTheme="majorHAnsi" w:cstheme="majorHAnsi"/>
                <w:b/>
                <w:bCs/>
                <w:sz w:val="20"/>
                <w:szCs w:val="20"/>
              </w:rPr>
            </w:pPr>
            <w:r w:rsidRPr="006939D1">
              <w:rPr>
                <w:rFonts w:asciiTheme="majorHAnsi" w:eastAsia="Times New Roman" w:hAnsiTheme="majorHAnsi" w:cstheme="majorHAnsi"/>
                <w:b/>
                <w:bCs/>
                <w:sz w:val="20"/>
                <w:szCs w:val="20"/>
              </w:rPr>
              <w:t>Efectividad</w:t>
            </w:r>
          </w:p>
        </w:tc>
        <w:tc>
          <w:tcPr>
            <w:tcW w:w="459" w:type="pct"/>
            <w:vMerge/>
            <w:tcBorders>
              <w:top w:val="single" w:sz="4" w:space="0" w:color="auto"/>
              <w:left w:val="single" w:sz="4" w:space="0" w:color="auto"/>
              <w:bottom w:val="single" w:sz="4" w:space="0" w:color="auto"/>
              <w:right w:val="single" w:sz="4" w:space="0" w:color="auto"/>
            </w:tcBorders>
            <w:vAlign w:val="center"/>
            <w:hideMark/>
          </w:tcPr>
          <w:p w:rsidR="006939D1" w:rsidRPr="006939D1" w:rsidRDefault="006939D1" w:rsidP="006939D1">
            <w:pPr>
              <w:spacing w:after="0" w:line="240" w:lineRule="auto"/>
              <w:rPr>
                <w:rFonts w:asciiTheme="majorHAnsi" w:eastAsia="Times New Roman" w:hAnsiTheme="majorHAnsi" w:cstheme="majorHAnsi"/>
                <w:b/>
                <w:bCs/>
                <w:sz w:val="20"/>
                <w:szCs w:val="20"/>
                <w:u w:val="single"/>
              </w:rPr>
            </w:pPr>
          </w:p>
        </w:tc>
      </w:tr>
      <w:tr w:rsidR="006939D1" w:rsidRPr="006939D1" w:rsidTr="005353F6">
        <w:trPr>
          <w:cantSplit/>
          <w:trHeight w:val="1134"/>
        </w:trPr>
        <w:tc>
          <w:tcPr>
            <w:tcW w:w="72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939D1" w:rsidRPr="006939D1" w:rsidRDefault="006939D1" w:rsidP="005353F6">
            <w:pPr>
              <w:spacing w:after="0" w:line="240" w:lineRule="auto"/>
              <w:jc w:val="center"/>
              <w:rPr>
                <w:rFonts w:asciiTheme="majorHAnsi" w:eastAsia="Times New Roman" w:hAnsiTheme="majorHAnsi" w:cstheme="majorHAnsi"/>
                <w:b/>
                <w:bCs/>
                <w:sz w:val="20"/>
                <w:szCs w:val="20"/>
              </w:rPr>
            </w:pPr>
            <w:r w:rsidRPr="006939D1">
              <w:rPr>
                <w:rFonts w:asciiTheme="majorHAnsi" w:eastAsia="Times New Roman" w:hAnsiTheme="majorHAnsi" w:cstheme="majorHAnsi"/>
                <w:b/>
                <w:bCs/>
                <w:sz w:val="20"/>
                <w:szCs w:val="20"/>
              </w:rPr>
              <w:t>1. Existencia de informalidad en la economía como factor de riesgo de LA</w:t>
            </w:r>
          </w:p>
        </w:tc>
        <w:tc>
          <w:tcPr>
            <w:tcW w:w="1196" w:type="pct"/>
            <w:tcBorders>
              <w:top w:val="single" w:sz="4" w:space="0" w:color="auto"/>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1. Desarrollar actividades educativas para fortalecer las capacidades financieras y combatir la informalidad como factor de riesgo de LA</w:t>
            </w:r>
          </w:p>
        </w:tc>
        <w:tc>
          <w:tcPr>
            <w:tcW w:w="881" w:type="pct"/>
            <w:tcBorders>
              <w:top w:val="single" w:sz="4" w:space="0" w:color="auto"/>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Informativo</w:t>
            </w:r>
          </w:p>
        </w:tc>
        <w:tc>
          <w:tcPr>
            <w:tcW w:w="823" w:type="pct"/>
            <w:tcBorders>
              <w:top w:val="single" w:sz="4" w:space="0" w:color="auto"/>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b/>
                <w:bCs/>
                <w:sz w:val="20"/>
                <w:szCs w:val="20"/>
              </w:rPr>
            </w:pPr>
            <w:r w:rsidRPr="006939D1">
              <w:rPr>
                <w:rFonts w:asciiTheme="majorHAnsi" w:eastAsia="Times New Roman" w:hAnsiTheme="majorHAnsi" w:cstheme="majorHAnsi"/>
                <w:b/>
                <w:bCs/>
                <w:sz w:val="20"/>
                <w:szCs w:val="20"/>
              </w:rPr>
              <w:t>Modificación y mejora de intervención existente</w:t>
            </w:r>
          </w:p>
        </w:tc>
        <w:tc>
          <w:tcPr>
            <w:tcW w:w="230" w:type="pct"/>
            <w:tcBorders>
              <w:top w:val="single" w:sz="4" w:space="0" w:color="auto"/>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5</w:t>
            </w:r>
          </w:p>
        </w:tc>
        <w:tc>
          <w:tcPr>
            <w:tcW w:w="230" w:type="pct"/>
            <w:tcBorders>
              <w:top w:val="single" w:sz="4" w:space="0" w:color="auto"/>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2</w:t>
            </w:r>
          </w:p>
        </w:tc>
        <w:tc>
          <w:tcPr>
            <w:tcW w:w="230" w:type="pct"/>
            <w:tcBorders>
              <w:top w:val="single" w:sz="4" w:space="0" w:color="auto"/>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3</w:t>
            </w:r>
          </w:p>
        </w:tc>
        <w:tc>
          <w:tcPr>
            <w:tcW w:w="230" w:type="pct"/>
            <w:tcBorders>
              <w:top w:val="single" w:sz="4" w:space="0" w:color="auto"/>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4</w:t>
            </w:r>
          </w:p>
        </w:tc>
        <w:tc>
          <w:tcPr>
            <w:tcW w:w="459" w:type="pct"/>
            <w:tcBorders>
              <w:top w:val="single" w:sz="4" w:space="0" w:color="auto"/>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14</w:t>
            </w:r>
          </w:p>
        </w:tc>
      </w:tr>
      <w:tr w:rsidR="006939D1" w:rsidRPr="006939D1" w:rsidTr="005353F6">
        <w:trPr>
          <w:trHeight w:val="756"/>
        </w:trPr>
        <w:tc>
          <w:tcPr>
            <w:tcW w:w="720" w:type="pct"/>
            <w:vMerge w:val="restart"/>
            <w:tcBorders>
              <w:top w:val="nil"/>
              <w:left w:val="single" w:sz="4" w:space="0" w:color="auto"/>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b/>
                <w:bCs/>
                <w:sz w:val="20"/>
                <w:szCs w:val="20"/>
              </w:rPr>
            </w:pPr>
            <w:r w:rsidRPr="006939D1">
              <w:rPr>
                <w:rFonts w:asciiTheme="majorHAnsi" w:eastAsia="Times New Roman" w:hAnsiTheme="majorHAnsi" w:cstheme="majorHAnsi"/>
                <w:b/>
                <w:bCs/>
                <w:sz w:val="20"/>
                <w:szCs w:val="20"/>
              </w:rPr>
              <w:t>2. Deficiente prevención de LA por parte de los sujetos obligados</w:t>
            </w:r>
          </w:p>
        </w:tc>
        <w:tc>
          <w:tcPr>
            <w:tcW w:w="1196"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2. Profundizar la comprensión de los riesgos de LA/FT en los sujetos obligados</w:t>
            </w:r>
          </w:p>
        </w:tc>
        <w:tc>
          <w:tcPr>
            <w:tcW w:w="881"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Informativo</w:t>
            </w:r>
          </w:p>
        </w:tc>
        <w:tc>
          <w:tcPr>
            <w:tcW w:w="823"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b/>
                <w:bCs/>
                <w:sz w:val="20"/>
                <w:szCs w:val="20"/>
              </w:rPr>
            </w:pPr>
            <w:r w:rsidRPr="006939D1">
              <w:rPr>
                <w:rFonts w:asciiTheme="majorHAnsi" w:eastAsia="Times New Roman" w:hAnsiTheme="majorHAnsi" w:cstheme="majorHAnsi"/>
                <w:b/>
                <w:bCs/>
                <w:sz w:val="20"/>
                <w:szCs w:val="20"/>
              </w:rPr>
              <w:t>Modificación y mejora de intervención existente</w:t>
            </w:r>
          </w:p>
        </w:tc>
        <w:tc>
          <w:tcPr>
            <w:tcW w:w="230"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4</w:t>
            </w:r>
          </w:p>
        </w:tc>
        <w:tc>
          <w:tcPr>
            <w:tcW w:w="230"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3</w:t>
            </w:r>
          </w:p>
        </w:tc>
        <w:tc>
          <w:tcPr>
            <w:tcW w:w="230"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4</w:t>
            </w:r>
          </w:p>
        </w:tc>
        <w:tc>
          <w:tcPr>
            <w:tcW w:w="230"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5</w:t>
            </w:r>
          </w:p>
        </w:tc>
        <w:tc>
          <w:tcPr>
            <w:tcW w:w="459"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16</w:t>
            </w:r>
          </w:p>
        </w:tc>
      </w:tr>
      <w:tr w:rsidR="006939D1" w:rsidRPr="006939D1" w:rsidTr="005353F6">
        <w:trPr>
          <w:trHeight w:val="756"/>
        </w:trPr>
        <w:tc>
          <w:tcPr>
            <w:tcW w:w="720" w:type="pct"/>
            <w:vMerge/>
            <w:tcBorders>
              <w:top w:val="nil"/>
              <w:left w:val="single" w:sz="4" w:space="0" w:color="auto"/>
              <w:bottom w:val="single" w:sz="4" w:space="0" w:color="auto"/>
              <w:right w:val="single" w:sz="4" w:space="0" w:color="auto"/>
            </w:tcBorders>
            <w:vAlign w:val="center"/>
            <w:hideMark/>
          </w:tcPr>
          <w:p w:rsidR="006939D1" w:rsidRPr="006939D1" w:rsidRDefault="006939D1" w:rsidP="006939D1">
            <w:pPr>
              <w:spacing w:after="0" w:line="240" w:lineRule="auto"/>
              <w:rPr>
                <w:rFonts w:asciiTheme="majorHAnsi" w:eastAsia="Times New Roman" w:hAnsiTheme="majorHAnsi" w:cstheme="majorHAnsi"/>
                <w:b/>
                <w:bCs/>
                <w:sz w:val="20"/>
                <w:szCs w:val="20"/>
              </w:rPr>
            </w:pPr>
          </w:p>
        </w:tc>
        <w:tc>
          <w:tcPr>
            <w:tcW w:w="1196"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3. Diseño de herramientas que ayuden</w:t>
            </w:r>
            <w:r w:rsidR="00867ED8">
              <w:rPr>
                <w:rFonts w:asciiTheme="majorHAnsi" w:eastAsia="Times New Roman" w:hAnsiTheme="majorHAnsi" w:cstheme="majorHAnsi"/>
                <w:sz w:val="20"/>
                <w:szCs w:val="20"/>
              </w:rPr>
              <w:t xml:space="preserve"> a los SO</w:t>
            </w:r>
            <w:r w:rsidRPr="006939D1">
              <w:rPr>
                <w:rFonts w:asciiTheme="majorHAnsi" w:eastAsia="Times New Roman" w:hAnsiTheme="majorHAnsi" w:cstheme="majorHAnsi"/>
                <w:sz w:val="20"/>
                <w:szCs w:val="20"/>
              </w:rPr>
              <w:t xml:space="preserve"> a fortalecer la implementación del SPLAFT con un EBR</w:t>
            </w:r>
          </w:p>
        </w:tc>
        <w:tc>
          <w:tcPr>
            <w:tcW w:w="881" w:type="pct"/>
            <w:tcBorders>
              <w:top w:val="nil"/>
              <w:left w:val="nil"/>
              <w:bottom w:val="single" w:sz="4" w:space="0" w:color="auto"/>
              <w:right w:val="single" w:sz="4" w:space="0" w:color="auto"/>
            </w:tcBorders>
            <w:shd w:val="clear" w:color="auto" w:fill="auto"/>
            <w:noWrap/>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Informativo</w:t>
            </w:r>
          </w:p>
        </w:tc>
        <w:tc>
          <w:tcPr>
            <w:tcW w:w="823"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b/>
                <w:bCs/>
                <w:sz w:val="20"/>
                <w:szCs w:val="20"/>
              </w:rPr>
            </w:pPr>
            <w:r w:rsidRPr="006939D1">
              <w:rPr>
                <w:rFonts w:asciiTheme="majorHAnsi" w:eastAsia="Times New Roman" w:hAnsiTheme="majorHAnsi" w:cstheme="majorHAnsi"/>
                <w:b/>
                <w:bCs/>
                <w:sz w:val="20"/>
                <w:szCs w:val="20"/>
              </w:rPr>
              <w:t>Modificación y mejora de intervención existente</w:t>
            </w:r>
          </w:p>
        </w:tc>
        <w:tc>
          <w:tcPr>
            <w:tcW w:w="230"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5</w:t>
            </w:r>
          </w:p>
        </w:tc>
        <w:tc>
          <w:tcPr>
            <w:tcW w:w="230"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3</w:t>
            </w:r>
          </w:p>
        </w:tc>
        <w:tc>
          <w:tcPr>
            <w:tcW w:w="230"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4</w:t>
            </w:r>
          </w:p>
        </w:tc>
        <w:tc>
          <w:tcPr>
            <w:tcW w:w="230"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5</w:t>
            </w:r>
          </w:p>
        </w:tc>
        <w:tc>
          <w:tcPr>
            <w:tcW w:w="459"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17</w:t>
            </w:r>
          </w:p>
        </w:tc>
      </w:tr>
      <w:tr w:rsidR="006939D1" w:rsidRPr="006939D1" w:rsidTr="005353F6">
        <w:trPr>
          <w:trHeight w:val="2053"/>
        </w:trPr>
        <w:tc>
          <w:tcPr>
            <w:tcW w:w="720" w:type="pct"/>
            <w:vMerge w:val="restart"/>
            <w:tcBorders>
              <w:top w:val="nil"/>
              <w:left w:val="single" w:sz="4" w:space="0" w:color="auto"/>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b/>
                <w:bCs/>
                <w:sz w:val="20"/>
                <w:szCs w:val="20"/>
              </w:rPr>
            </w:pPr>
            <w:r w:rsidRPr="006939D1">
              <w:rPr>
                <w:rFonts w:asciiTheme="majorHAnsi" w:eastAsia="Times New Roman" w:hAnsiTheme="majorHAnsi" w:cstheme="majorHAnsi"/>
                <w:b/>
                <w:bCs/>
                <w:sz w:val="20"/>
                <w:szCs w:val="20"/>
              </w:rPr>
              <w:t>3. Debilidad del Estado para combatir el LA</w:t>
            </w:r>
          </w:p>
        </w:tc>
        <w:tc>
          <w:tcPr>
            <w:tcW w:w="1196"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4. Generar un marco normativo para regular los proveedores de servicios de activos virtuales.</w:t>
            </w:r>
          </w:p>
        </w:tc>
        <w:tc>
          <w:tcPr>
            <w:tcW w:w="881"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Regulador</w:t>
            </w:r>
          </w:p>
        </w:tc>
        <w:tc>
          <w:tcPr>
            <w:tcW w:w="823"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b/>
                <w:bCs/>
                <w:sz w:val="20"/>
                <w:szCs w:val="20"/>
              </w:rPr>
            </w:pPr>
            <w:r w:rsidRPr="006939D1">
              <w:rPr>
                <w:rFonts w:asciiTheme="majorHAnsi" w:eastAsia="Times New Roman" w:hAnsiTheme="majorHAnsi" w:cstheme="majorHAnsi"/>
                <w:b/>
                <w:bCs/>
                <w:sz w:val="20"/>
                <w:szCs w:val="20"/>
              </w:rPr>
              <w:t>Nueva intervención</w:t>
            </w:r>
          </w:p>
        </w:tc>
        <w:tc>
          <w:tcPr>
            <w:tcW w:w="230"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3</w:t>
            </w:r>
          </w:p>
        </w:tc>
        <w:tc>
          <w:tcPr>
            <w:tcW w:w="230"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2</w:t>
            </w:r>
          </w:p>
        </w:tc>
        <w:tc>
          <w:tcPr>
            <w:tcW w:w="230"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3</w:t>
            </w:r>
          </w:p>
        </w:tc>
        <w:tc>
          <w:tcPr>
            <w:tcW w:w="230"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5</w:t>
            </w:r>
          </w:p>
        </w:tc>
        <w:tc>
          <w:tcPr>
            <w:tcW w:w="459"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13</w:t>
            </w:r>
          </w:p>
        </w:tc>
      </w:tr>
      <w:tr w:rsidR="006939D1" w:rsidRPr="006939D1" w:rsidTr="005353F6">
        <w:trPr>
          <w:trHeight w:val="1009"/>
        </w:trPr>
        <w:tc>
          <w:tcPr>
            <w:tcW w:w="720" w:type="pct"/>
            <w:vMerge/>
            <w:tcBorders>
              <w:top w:val="nil"/>
              <w:left w:val="single" w:sz="4" w:space="0" w:color="auto"/>
              <w:bottom w:val="single" w:sz="4" w:space="0" w:color="auto"/>
              <w:right w:val="single" w:sz="4" w:space="0" w:color="auto"/>
            </w:tcBorders>
            <w:vAlign w:val="center"/>
            <w:hideMark/>
          </w:tcPr>
          <w:p w:rsidR="006939D1" w:rsidRPr="006939D1" w:rsidRDefault="006939D1" w:rsidP="006939D1">
            <w:pPr>
              <w:spacing w:after="0" w:line="240" w:lineRule="auto"/>
              <w:rPr>
                <w:rFonts w:asciiTheme="majorHAnsi" w:eastAsia="Times New Roman" w:hAnsiTheme="majorHAnsi" w:cstheme="majorHAnsi"/>
                <w:b/>
                <w:bCs/>
                <w:sz w:val="20"/>
                <w:szCs w:val="20"/>
              </w:rPr>
            </w:pPr>
          </w:p>
        </w:tc>
        <w:tc>
          <w:tcPr>
            <w:tcW w:w="1196"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5. Potenciar y/o diseñar supervisión con un EBR (sectores de valores, casinos y tragamonedas, abogados, contadores y remesas postales).</w:t>
            </w:r>
          </w:p>
        </w:tc>
        <w:tc>
          <w:tcPr>
            <w:tcW w:w="881"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Gestión</w:t>
            </w:r>
          </w:p>
        </w:tc>
        <w:tc>
          <w:tcPr>
            <w:tcW w:w="823"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b/>
                <w:bCs/>
                <w:sz w:val="20"/>
                <w:szCs w:val="20"/>
              </w:rPr>
            </w:pPr>
            <w:r w:rsidRPr="006939D1">
              <w:rPr>
                <w:rFonts w:asciiTheme="majorHAnsi" w:eastAsia="Times New Roman" w:hAnsiTheme="majorHAnsi" w:cstheme="majorHAnsi"/>
                <w:b/>
                <w:bCs/>
                <w:sz w:val="20"/>
                <w:szCs w:val="20"/>
              </w:rPr>
              <w:t>Modificación y mejora de intervención existente</w:t>
            </w:r>
          </w:p>
        </w:tc>
        <w:tc>
          <w:tcPr>
            <w:tcW w:w="230"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4</w:t>
            </w:r>
          </w:p>
        </w:tc>
        <w:tc>
          <w:tcPr>
            <w:tcW w:w="230"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4</w:t>
            </w:r>
          </w:p>
        </w:tc>
        <w:tc>
          <w:tcPr>
            <w:tcW w:w="230"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3</w:t>
            </w:r>
          </w:p>
        </w:tc>
        <w:tc>
          <w:tcPr>
            <w:tcW w:w="230"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5</w:t>
            </w:r>
          </w:p>
        </w:tc>
        <w:tc>
          <w:tcPr>
            <w:tcW w:w="459"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16</w:t>
            </w:r>
          </w:p>
        </w:tc>
      </w:tr>
      <w:tr w:rsidR="006939D1" w:rsidRPr="006939D1" w:rsidTr="005353F6">
        <w:trPr>
          <w:trHeight w:val="756"/>
        </w:trPr>
        <w:tc>
          <w:tcPr>
            <w:tcW w:w="720" w:type="pct"/>
            <w:vMerge/>
            <w:tcBorders>
              <w:top w:val="nil"/>
              <w:left w:val="single" w:sz="4" w:space="0" w:color="auto"/>
              <w:bottom w:val="single" w:sz="4" w:space="0" w:color="auto"/>
              <w:right w:val="single" w:sz="4" w:space="0" w:color="auto"/>
            </w:tcBorders>
            <w:vAlign w:val="center"/>
            <w:hideMark/>
          </w:tcPr>
          <w:p w:rsidR="006939D1" w:rsidRPr="006939D1" w:rsidRDefault="006939D1" w:rsidP="006939D1">
            <w:pPr>
              <w:spacing w:after="0" w:line="240" w:lineRule="auto"/>
              <w:rPr>
                <w:rFonts w:asciiTheme="majorHAnsi" w:eastAsia="Times New Roman" w:hAnsiTheme="majorHAnsi" w:cstheme="majorHAnsi"/>
                <w:b/>
                <w:bCs/>
                <w:sz w:val="20"/>
                <w:szCs w:val="20"/>
              </w:rPr>
            </w:pPr>
          </w:p>
        </w:tc>
        <w:tc>
          <w:tcPr>
            <w:tcW w:w="1196"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 xml:space="preserve">6. Diseñar e implementar mecanismos que provean la </w:t>
            </w:r>
            <w:r w:rsidR="005353F6" w:rsidRPr="006939D1">
              <w:rPr>
                <w:rFonts w:asciiTheme="majorHAnsi" w:eastAsia="Times New Roman" w:hAnsiTheme="majorHAnsi" w:cstheme="majorHAnsi"/>
                <w:sz w:val="20"/>
                <w:szCs w:val="20"/>
              </w:rPr>
              <w:t>información</w:t>
            </w:r>
            <w:r w:rsidRPr="006939D1">
              <w:rPr>
                <w:rFonts w:asciiTheme="majorHAnsi" w:eastAsia="Times New Roman" w:hAnsiTheme="majorHAnsi" w:cstheme="majorHAnsi"/>
                <w:sz w:val="20"/>
                <w:szCs w:val="20"/>
              </w:rPr>
              <w:t xml:space="preserve"> suficiente a los supervisores sobre los SO</w:t>
            </w:r>
          </w:p>
        </w:tc>
        <w:tc>
          <w:tcPr>
            <w:tcW w:w="881"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Gestión</w:t>
            </w:r>
          </w:p>
        </w:tc>
        <w:tc>
          <w:tcPr>
            <w:tcW w:w="823"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b/>
                <w:bCs/>
                <w:sz w:val="20"/>
                <w:szCs w:val="20"/>
              </w:rPr>
            </w:pPr>
            <w:r w:rsidRPr="006939D1">
              <w:rPr>
                <w:rFonts w:asciiTheme="majorHAnsi" w:eastAsia="Times New Roman" w:hAnsiTheme="majorHAnsi" w:cstheme="majorHAnsi"/>
                <w:b/>
                <w:bCs/>
                <w:sz w:val="20"/>
                <w:szCs w:val="20"/>
              </w:rPr>
              <w:t>Nueva intervención</w:t>
            </w:r>
          </w:p>
        </w:tc>
        <w:tc>
          <w:tcPr>
            <w:tcW w:w="230"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4</w:t>
            </w:r>
          </w:p>
        </w:tc>
        <w:tc>
          <w:tcPr>
            <w:tcW w:w="230"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4</w:t>
            </w:r>
          </w:p>
        </w:tc>
        <w:tc>
          <w:tcPr>
            <w:tcW w:w="230"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4</w:t>
            </w:r>
          </w:p>
        </w:tc>
        <w:tc>
          <w:tcPr>
            <w:tcW w:w="230"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5</w:t>
            </w:r>
          </w:p>
        </w:tc>
        <w:tc>
          <w:tcPr>
            <w:tcW w:w="459"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17</w:t>
            </w:r>
          </w:p>
        </w:tc>
      </w:tr>
      <w:tr w:rsidR="006939D1" w:rsidRPr="006939D1" w:rsidTr="005353F6">
        <w:trPr>
          <w:trHeight w:val="1009"/>
        </w:trPr>
        <w:tc>
          <w:tcPr>
            <w:tcW w:w="720" w:type="pct"/>
            <w:vMerge/>
            <w:tcBorders>
              <w:top w:val="nil"/>
              <w:left w:val="single" w:sz="4" w:space="0" w:color="auto"/>
              <w:bottom w:val="single" w:sz="4" w:space="0" w:color="auto"/>
              <w:right w:val="single" w:sz="4" w:space="0" w:color="auto"/>
            </w:tcBorders>
            <w:vAlign w:val="center"/>
            <w:hideMark/>
          </w:tcPr>
          <w:p w:rsidR="006939D1" w:rsidRPr="006939D1" w:rsidRDefault="006939D1" w:rsidP="006939D1">
            <w:pPr>
              <w:spacing w:after="0" w:line="240" w:lineRule="auto"/>
              <w:rPr>
                <w:rFonts w:asciiTheme="majorHAnsi" w:eastAsia="Times New Roman" w:hAnsiTheme="majorHAnsi" w:cstheme="majorHAnsi"/>
                <w:b/>
                <w:bCs/>
                <w:sz w:val="20"/>
                <w:szCs w:val="20"/>
              </w:rPr>
            </w:pPr>
          </w:p>
        </w:tc>
        <w:tc>
          <w:tcPr>
            <w:tcW w:w="1196"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7. Fortalecer los controles en zonas de alto riesgo (frontera, puerto, aeropuertos, etc.) para evitar el transporte de dinero en efectivo de origen ilícito</w:t>
            </w:r>
          </w:p>
        </w:tc>
        <w:tc>
          <w:tcPr>
            <w:tcW w:w="881"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Gestión</w:t>
            </w:r>
          </w:p>
        </w:tc>
        <w:tc>
          <w:tcPr>
            <w:tcW w:w="823"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b/>
                <w:bCs/>
                <w:sz w:val="20"/>
                <w:szCs w:val="20"/>
              </w:rPr>
            </w:pPr>
            <w:r w:rsidRPr="006939D1">
              <w:rPr>
                <w:rFonts w:asciiTheme="majorHAnsi" w:eastAsia="Times New Roman" w:hAnsiTheme="majorHAnsi" w:cstheme="majorHAnsi"/>
                <w:b/>
                <w:bCs/>
                <w:sz w:val="20"/>
                <w:szCs w:val="20"/>
              </w:rPr>
              <w:t>Modificación y mejora de intervención existente</w:t>
            </w:r>
          </w:p>
        </w:tc>
        <w:tc>
          <w:tcPr>
            <w:tcW w:w="230"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4</w:t>
            </w:r>
          </w:p>
        </w:tc>
        <w:tc>
          <w:tcPr>
            <w:tcW w:w="230"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4</w:t>
            </w:r>
          </w:p>
        </w:tc>
        <w:tc>
          <w:tcPr>
            <w:tcW w:w="230"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4</w:t>
            </w:r>
          </w:p>
        </w:tc>
        <w:tc>
          <w:tcPr>
            <w:tcW w:w="230"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5</w:t>
            </w:r>
          </w:p>
        </w:tc>
        <w:tc>
          <w:tcPr>
            <w:tcW w:w="459"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17</w:t>
            </w:r>
          </w:p>
        </w:tc>
      </w:tr>
      <w:tr w:rsidR="006939D1" w:rsidRPr="006939D1" w:rsidTr="005353F6">
        <w:trPr>
          <w:trHeight w:val="1261"/>
        </w:trPr>
        <w:tc>
          <w:tcPr>
            <w:tcW w:w="720" w:type="pct"/>
            <w:vMerge/>
            <w:tcBorders>
              <w:top w:val="nil"/>
              <w:left w:val="single" w:sz="4" w:space="0" w:color="auto"/>
              <w:bottom w:val="single" w:sz="4" w:space="0" w:color="auto"/>
              <w:right w:val="single" w:sz="4" w:space="0" w:color="auto"/>
            </w:tcBorders>
            <w:vAlign w:val="center"/>
            <w:hideMark/>
          </w:tcPr>
          <w:p w:rsidR="006939D1" w:rsidRPr="006939D1" w:rsidRDefault="006939D1" w:rsidP="006939D1">
            <w:pPr>
              <w:spacing w:after="0" w:line="240" w:lineRule="auto"/>
              <w:rPr>
                <w:rFonts w:asciiTheme="majorHAnsi" w:eastAsia="Times New Roman" w:hAnsiTheme="majorHAnsi" w:cstheme="majorHAnsi"/>
                <w:b/>
                <w:bCs/>
                <w:sz w:val="20"/>
                <w:szCs w:val="20"/>
              </w:rPr>
            </w:pPr>
          </w:p>
        </w:tc>
        <w:tc>
          <w:tcPr>
            <w:tcW w:w="1196"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 xml:space="preserve">8. Creación de herramientas para garantizar la atención oportuna de requerimientos de información (a entidades públicas y del sistema </w:t>
            </w:r>
            <w:r w:rsidR="005353F6" w:rsidRPr="006939D1">
              <w:rPr>
                <w:rFonts w:asciiTheme="majorHAnsi" w:eastAsia="Times New Roman" w:hAnsiTheme="majorHAnsi" w:cstheme="majorHAnsi"/>
                <w:sz w:val="20"/>
                <w:szCs w:val="20"/>
              </w:rPr>
              <w:t>financiero</w:t>
            </w:r>
            <w:r w:rsidRPr="006939D1">
              <w:rPr>
                <w:rFonts w:asciiTheme="majorHAnsi" w:eastAsia="Times New Roman" w:hAnsiTheme="majorHAnsi" w:cstheme="majorHAnsi"/>
                <w:sz w:val="20"/>
                <w:szCs w:val="20"/>
              </w:rPr>
              <w:t>) durante investigaciones de LA</w:t>
            </w:r>
          </w:p>
        </w:tc>
        <w:tc>
          <w:tcPr>
            <w:tcW w:w="881"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Gestión</w:t>
            </w:r>
          </w:p>
        </w:tc>
        <w:tc>
          <w:tcPr>
            <w:tcW w:w="823"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b/>
                <w:bCs/>
                <w:sz w:val="20"/>
                <w:szCs w:val="20"/>
              </w:rPr>
            </w:pPr>
            <w:r w:rsidRPr="006939D1">
              <w:rPr>
                <w:rFonts w:asciiTheme="majorHAnsi" w:eastAsia="Times New Roman" w:hAnsiTheme="majorHAnsi" w:cstheme="majorHAnsi"/>
                <w:b/>
                <w:bCs/>
                <w:sz w:val="20"/>
                <w:szCs w:val="20"/>
              </w:rPr>
              <w:t>Nueva intervención</w:t>
            </w:r>
          </w:p>
        </w:tc>
        <w:tc>
          <w:tcPr>
            <w:tcW w:w="230"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5</w:t>
            </w:r>
          </w:p>
        </w:tc>
        <w:tc>
          <w:tcPr>
            <w:tcW w:w="230"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3</w:t>
            </w:r>
          </w:p>
        </w:tc>
        <w:tc>
          <w:tcPr>
            <w:tcW w:w="230"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2</w:t>
            </w:r>
          </w:p>
        </w:tc>
        <w:tc>
          <w:tcPr>
            <w:tcW w:w="230"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5</w:t>
            </w:r>
          </w:p>
        </w:tc>
        <w:tc>
          <w:tcPr>
            <w:tcW w:w="459"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15</w:t>
            </w:r>
          </w:p>
        </w:tc>
      </w:tr>
      <w:tr w:rsidR="006939D1" w:rsidRPr="006939D1" w:rsidTr="005353F6">
        <w:trPr>
          <w:trHeight w:val="1261"/>
        </w:trPr>
        <w:tc>
          <w:tcPr>
            <w:tcW w:w="720" w:type="pct"/>
            <w:vMerge/>
            <w:tcBorders>
              <w:top w:val="nil"/>
              <w:left w:val="single" w:sz="4" w:space="0" w:color="auto"/>
              <w:bottom w:val="single" w:sz="4" w:space="0" w:color="auto"/>
              <w:right w:val="single" w:sz="4" w:space="0" w:color="auto"/>
            </w:tcBorders>
            <w:vAlign w:val="center"/>
            <w:hideMark/>
          </w:tcPr>
          <w:p w:rsidR="006939D1" w:rsidRPr="006939D1" w:rsidRDefault="006939D1" w:rsidP="006939D1">
            <w:pPr>
              <w:spacing w:after="0" w:line="240" w:lineRule="auto"/>
              <w:rPr>
                <w:rFonts w:asciiTheme="majorHAnsi" w:eastAsia="Times New Roman" w:hAnsiTheme="majorHAnsi" w:cstheme="majorHAnsi"/>
                <w:b/>
                <w:bCs/>
                <w:sz w:val="20"/>
                <w:szCs w:val="20"/>
              </w:rPr>
            </w:pPr>
          </w:p>
        </w:tc>
        <w:tc>
          <w:tcPr>
            <w:tcW w:w="1196"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9. Fortalecer con mayores recursos humanos, debidamente capacitados, recursos físicos (equipamiento) y tecnológicos la atención de casos de LA a nivel fiscal, policial y de procuraduría pública competente</w:t>
            </w:r>
          </w:p>
        </w:tc>
        <w:tc>
          <w:tcPr>
            <w:tcW w:w="881"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Gestión</w:t>
            </w:r>
          </w:p>
        </w:tc>
        <w:tc>
          <w:tcPr>
            <w:tcW w:w="823"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b/>
                <w:bCs/>
                <w:sz w:val="20"/>
                <w:szCs w:val="20"/>
              </w:rPr>
            </w:pPr>
            <w:r w:rsidRPr="006939D1">
              <w:rPr>
                <w:rFonts w:asciiTheme="majorHAnsi" w:eastAsia="Times New Roman" w:hAnsiTheme="majorHAnsi" w:cstheme="majorHAnsi"/>
                <w:b/>
                <w:bCs/>
                <w:sz w:val="20"/>
                <w:szCs w:val="20"/>
              </w:rPr>
              <w:t>Modificación y mejora de intervención existente</w:t>
            </w:r>
          </w:p>
        </w:tc>
        <w:tc>
          <w:tcPr>
            <w:tcW w:w="230"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5</w:t>
            </w:r>
          </w:p>
        </w:tc>
        <w:tc>
          <w:tcPr>
            <w:tcW w:w="230"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5</w:t>
            </w:r>
          </w:p>
        </w:tc>
        <w:tc>
          <w:tcPr>
            <w:tcW w:w="230"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2</w:t>
            </w:r>
          </w:p>
        </w:tc>
        <w:tc>
          <w:tcPr>
            <w:tcW w:w="230"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5</w:t>
            </w:r>
          </w:p>
        </w:tc>
        <w:tc>
          <w:tcPr>
            <w:tcW w:w="459"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17</w:t>
            </w:r>
          </w:p>
        </w:tc>
      </w:tr>
      <w:tr w:rsidR="006939D1" w:rsidRPr="006939D1" w:rsidTr="005353F6">
        <w:trPr>
          <w:trHeight w:val="756"/>
        </w:trPr>
        <w:tc>
          <w:tcPr>
            <w:tcW w:w="720" w:type="pct"/>
            <w:vMerge/>
            <w:tcBorders>
              <w:top w:val="nil"/>
              <w:left w:val="single" w:sz="4" w:space="0" w:color="auto"/>
              <w:bottom w:val="single" w:sz="4" w:space="0" w:color="auto"/>
              <w:right w:val="single" w:sz="4" w:space="0" w:color="auto"/>
            </w:tcBorders>
            <w:vAlign w:val="center"/>
            <w:hideMark/>
          </w:tcPr>
          <w:p w:rsidR="006939D1" w:rsidRPr="006939D1" w:rsidRDefault="006939D1" w:rsidP="006939D1">
            <w:pPr>
              <w:spacing w:after="0" w:line="240" w:lineRule="auto"/>
              <w:rPr>
                <w:rFonts w:asciiTheme="majorHAnsi" w:eastAsia="Times New Roman" w:hAnsiTheme="majorHAnsi" w:cstheme="majorHAnsi"/>
                <w:b/>
                <w:bCs/>
                <w:sz w:val="20"/>
                <w:szCs w:val="20"/>
              </w:rPr>
            </w:pPr>
          </w:p>
        </w:tc>
        <w:tc>
          <w:tcPr>
            <w:tcW w:w="1196"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10. Capacitar a fiscales y jueces en casos de LA en materia de prueba indiciaria y manejo de audiencias</w:t>
            </w:r>
          </w:p>
        </w:tc>
        <w:tc>
          <w:tcPr>
            <w:tcW w:w="881"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Informativo</w:t>
            </w:r>
          </w:p>
        </w:tc>
        <w:tc>
          <w:tcPr>
            <w:tcW w:w="823"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b/>
                <w:bCs/>
                <w:sz w:val="20"/>
                <w:szCs w:val="20"/>
              </w:rPr>
            </w:pPr>
            <w:r w:rsidRPr="006939D1">
              <w:rPr>
                <w:rFonts w:asciiTheme="majorHAnsi" w:eastAsia="Times New Roman" w:hAnsiTheme="majorHAnsi" w:cstheme="majorHAnsi"/>
                <w:b/>
                <w:bCs/>
                <w:sz w:val="20"/>
                <w:szCs w:val="20"/>
              </w:rPr>
              <w:t>Nueva intervención</w:t>
            </w:r>
          </w:p>
        </w:tc>
        <w:tc>
          <w:tcPr>
            <w:tcW w:w="230"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5</w:t>
            </w:r>
          </w:p>
        </w:tc>
        <w:tc>
          <w:tcPr>
            <w:tcW w:w="230"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5</w:t>
            </w:r>
          </w:p>
        </w:tc>
        <w:tc>
          <w:tcPr>
            <w:tcW w:w="230"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3</w:t>
            </w:r>
          </w:p>
        </w:tc>
        <w:tc>
          <w:tcPr>
            <w:tcW w:w="230"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5</w:t>
            </w:r>
          </w:p>
        </w:tc>
        <w:tc>
          <w:tcPr>
            <w:tcW w:w="459"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18</w:t>
            </w:r>
          </w:p>
        </w:tc>
      </w:tr>
      <w:tr w:rsidR="006939D1" w:rsidRPr="006939D1" w:rsidTr="005353F6">
        <w:trPr>
          <w:trHeight w:val="1261"/>
        </w:trPr>
        <w:tc>
          <w:tcPr>
            <w:tcW w:w="720" w:type="pct"/>
            <w:vMerge/>
            <w:tcBorders>
              <w:top w:val="nil"/>
              <w:left w:val="single" w:sz="4" w:space="0" w:color="auto"/>
              <w:bottom w:val="single" w:sz="4" w:space="0" w:color="auto"/>
              <w:right w:val="single" w:sz="4" w:space="0" w:color="auto"/>
            </w:tcBorders>
            <w:vAlign w:val="center"/>
            <w:hideMark/>
          </w:tcPr>
          <w:p w:rsidR="006939D1" w:rsidRPr="006939D1" w:rsidRDefault="006939D1" w:rsidP="006939D1">
            <w:pPr>
              <w:spacing w:after="0" w:line="240" w:lineRule="auto"/>
              <w:rPr>
                <w:rFonts w:asciiTheme="majorHAnsi" w:eastAsia="Times New Roman" w:hAnsiTheme="majorHAnsi" w:cstheme="majorHAnsi"/>
                <w:b/>
                <w:bCs/>
                <w:sz w:val="20"/>
                <w:szCs w:val="20"/>
              </w:rPr>
            </w:pPr>
          </w:p>
        </w:tc>
        <w:tc>
          <w:tcPr>
            <w:tcW w:w="1196"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11. Fortalecer con mayores recursos humanos, debidamente capacitados, recursos físicos (equipamiento) y tecnológicos la atención a nivel judicial de casos de LA</w:t>
            </w:r>
          </w:p>
        </w:tc>
        <w:tc>
          <w:tcPr>
            <w:tcW w:w="881"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Gestión</w:t>
            </w:r>
          </w:p>
        </w:tc>
        <w:tc>
          <w:tcPr>
            <w:tcW w:w="823"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b/>
                <w:bCs/>
                <w:sz w:val="20"/>
                <w:szCs w:val="20"/>
              </w:rPr>
            </w:pPr>
            <w:r w:rsidRPr="006939D1">
              <w:rPr>
                <w:rFonts w:asciiTheme="majorHAnsi" w:eastAsia="Times New Roman" w:hAnsiTheme="majorHAnsi" w:cstheme="majorHAnsi"/>
                <w:b/>
                <w:bCs/>
                <w:sz w:val="20"/>
                <w:szCs w:val="20"/>
              </w:rPr>
              <w:t>Modificación y mejora de intervención existente</w:t>
            </w:r>
          </w:p>
        </w:tc>
        <w:tc>
          <w:tcPr>
            <w:tcW w:w="230"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5</w:t>
            </w:r>
          </w:p>
        </w:tc>
        <w:tc>
          <w:tcPr>
            <w:tcW w:w="230"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5</w:t>
            </w:r>
          </w:p>
        </w:tc>
        <w:tc>
          <w:tcPr>
            <w:tcW w:w="230"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2</w:t>
            </w:r>
          </w:p>
        </w:tc>
        <w:tc>
          <w:tcPr>
            <w:tcW w:w="230"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5</w:t>
            </w:r>
          </w:p>
        </w:tc>
        <w:tc>
          <w:tcPr>
            <w:tcW w:w="459"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17</w:t>
            </w:r>
          </w:p>
        </w:tc>
      </w:tr>
      <w:tr w:rsidR="006939D1" w:rsidRPr="006939D1" w:rsidTr="005353F6">
        <w:trPr>
          <w:trHeight w:val="756"/>
        </w:trPr>
        <w:tc>
          <w:tcPr>
            <w:tcW w:w="720" w:type="pct"/>
            <w:vMerge w:val="restart"/>
            <w:tcBorders>
              <w:top w:val="nil"/>
              <w:left w:val="single" w:sz="4" w:space="0" w:color="auto"/>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b/>
                <w:bCs/>
                <w:sz w:val="20"/>
                <w:szCs w:val="20"/>
              </w:rPr>
            </w:pPr>
            <w:r w:rsidRPr="006939D1">
              <w:rPr>
                <w:rFonts w:asciiTheme="majorHAnsi" w:eastAsia="Times New Roman" w:hAnsiTheme="majorHAnsi" w:cstheme="majorHAnsi"/>
                <w:b/>
                <w:bCs/>
                <w:sz w:val="20"/>
                <w:szCs w:val="20"/>
              </w:rPr>
              <w:t>4. Insuficiente articulación y participación activa entre el Estado, el sector privado y la sociedad civil en la lucha contra LA</w:t>
            </w:r>
          </w:p>
        </w:tc>
        <w:tc>
          <w:tcPr>
            <w:tcW w:w="1196"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 xml:space="preserve">12. Optimizar los mecanismos de comunicación de los bienes ilícitos detectados hacia el Sistema de Extinción de Dominio </w:t>
            </w:r>
          </w:p>
        </w:tc>
        <w:tc>
          <w:tcPr>
            <w:tcW w:w="881"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Gestión</w:t>
            </w:r>
          </w:p>
        </w:tc>
        <w:tc>
          <w:tcPr>
            <w:tcW w:w="823"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b/>
                <w:bCs/>
                <w:sz w:val="20"/>
                <w:szCs w:val="20"/>
              </w:rPr>
            </w:pPr>
            <w:r w:rsidRPr="006939D1">
              <w:rPr>
                <w:rFonts w:asciiTheme="majorHAnsi" w:eastAsia="Times New Roman" w:hAnsiTheme="majorHAnsi" w:cstheme="majorHAnsi"/>
                <w:b/>
                <w:bCs/>
                <w:sz w:val="20"/>
                <w:szCs w:val="20"/>
              </w:rPr>
              <w:t>Modificación y mejora de intervención existente</w:t>
            </w:r>
          </w:p>
        </w:tc>
        <w:tc>
          <w:tcPr>
            <w:tcW w:w="230"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4</w:t>
            </w:r>
          </w:p>
        </w:tc>
        <w:tc>
          <w:tcPr>
            <w:tcW w:w="230"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3</w:t>
            </w:r>
          </w:p>
        </w:tc>
        <w:tc>
          <w:tcPr>
            <w:tcW w:w="230"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3</w:t>
            </w:r>
          </w:p>
        </w:tc>
        <w:tc>
          <w:tcPr>
            <w:tcW w:w="230"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4</w:t>
            </w:r>
          </w:p>
        </w:tc>
        <w:tc>
          <w:tcPr>
            <w:tcW w:w="459"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14</w:t>
            </w:r>
          </w:p>
        </w:tc>
      </w:tr>
      <w:tr w:rsidR="006939D1" w:rsidRPr="006939D1" w:rsidTr="005353F6">
        <w:trPr>
          <w:trHeight w:val="756"/>
        </w:trPr>
        <w:tc>
          <w:tcPr>
            <w:tcW w:w="720" w:type="pct"/>
            <w:vMerge/>
            <w:tcBorders>
              <w:top w:val="nil"/>
              <w:left w:val="single" w:sz="4" w:space="0" w:color="auto"/>
              <w:bottom w:val="single" w:sz="4" w:space="0" w:color="auto"/>
              <w:right w:val="single" w:sz="4" w:space="0" w:color="auto"/>
            </w:tcBorders>
            <w:vAlign w:val="center"/>
            <w:hideMark/>
          </w:tcPr>
          <w:p w:rsidR="006939D1" w:rsidRPr="006939D1" w:rsidRDefault="006939D1" w:rsidP="006939D1">
            <w:pPr>
              <w:spacing w:after="0" w:line="240" w:lineRule="auto"/>
              <w:rPr>
                <w:rFonts w:asciiTheme="majorHAnsi" w:eastAsia="Times New Roman" w:hAnsiTheme="majorHAnsi" w:cstheme="majorHAnsi"/>
                <w:b/>
                <w:bCs/>
                <w:sz w:val="20"/>
                <w:szCs w:val="20"/>
              </w:rPr>
            </w:pPr>
          </w:p>
        </w:tc>
        <w:tc>
          <w:tcPr>
            <w:tcW w:w="1196"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13. Fomentar la interoperabilidad de los sistemas de información referida a LA entre las entidades del Sistema.</w:t>
            </w:r>
          </w:p>
        </w:tc>
        <w:tc>
          <w:tcPr>
            <w:tcW w:w="881"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Gestión</w:t>
            </w:r>
          </w:p>
        </w:tc>
        <w:tc>
          <w:tcPr>
            <w:tcW w:w="823"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b/>
                <w:bCs/>
                <w:sz w:val="20"/>
                <w:szCs w:val="20"/>
              </w:rPr>
            </w:pPr>
            <w:r w:rsidRPr="006939D1">
              <w:rPr>
                <w:rFonts w:asciiTheme="majorHAnsi" w:eastAsia="Times New Roman" w:hAnsiTheme="majorHAnsi" w:cstheme="majorHAnsi"/>
                <w:b/>
                <w:bCs/>
                <w:sz w:val="20"/>
                <w:szCs w:val="20"/>
              </w:rPr>
              <w:t>Nueva intervención</w:t>
            </w:r>
          </w:p>
        </w:tc>
        <w:tc>
          <w:tcPr>
            <w:tcW w:w="230"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4</w:t>
            </w:r>
          </w:p>
        </w:tc>
        <w:tc>
          <w:tcPr>
            <w:tcW w:w="230"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4</w:t>
            </w:r>
          </w:p>
        </w:tc>
        <w:tc>
          <w:tcPr>
            <w:tcW w:w="230"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3</w:t>
            </w:r>
          </w:p>
        </w:tc>
        <w:tc>
          <w:tcPr>
            <w:tcW w:w="230"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4</w:t>
            </w:r>
          </w:p>
        </w:tc>
        <w:tc>
          <w:tcPr>
            <w:tcW w:w="459"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15</w:t>
            </w:r>
          </w:p>
        </w:tc>
      </w:tr>
      <w:tr w:rsidR="006939D1" w:rsidRPr="006939D1" w:rsidTr="005353F6">
        <w:trPr>
          <w:trHeight w:val="1009"/>
        </w:trPr>
        <w:tc>
          <w:tcPr>
            <w:tcW w:w="720" w:type="pct"/>
            <w:vMerge/>
            <w:tcBorders>
              <w:top w:val="nil"/>
              <w:left w:val="single" w:sz="4" w:space="0" w:color="auto"/>
              <w:bottom w:val="single" w:sz="4" w:space="0" w:color="auto"/>
              <w:right w:val="single" w:sz="4" w:space="0" w:color="auto"/>
            </w:tcBorders>
            <w:vAlign w:val="center"/>
            <w:hideMark/>
          </w:tcPr>
          <w:p w:rsidR="006939D1" w:rsidRPr="006939D1" w:rsidRDefault="006939D1" w:rsidP="006939D1">
            <w:pPr>
              <w:spacing w:after="0" w:line="240" w:lineRule="auto"/>
              <w:rPr>
                <w:rFonts w:asciiTheme="majorHAnsi" w:eastAsia="Times New Roman" w:hAnsiTheme="majorHAnsi" w:cstheme="majorHAnsi"/>
                <w:b/>
                <w:bCs/>
                <w:sz w:val="20"/>
                <w:szCs w:val="20"/>
              </w:rPr>
            </w:pPr>
          </w:p>
        </w:tc>
        <w:tc>
          <w:tcPr>
            <w:tcW w:w="1196"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14. Diseñar e implementar sistemas de información para mejorar la comprensión del LA</w:t>
            </w:r>
          </w:p>
        </w:tc>
        <w:tc>
          <w:tcPr>
            <w:tcW w:w="881"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Gestión</w:t>
            </w:r>
          </w:p>
        </w:tc>
        <w:tc>
          <w:tcPr>
            <w:tcW w:w="823"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b/>
                <w:bCs/>
                <w:sz w:val="20"/>
                <w:szCs w:val="20"/>
              </w:rPr>
            </w:pPr>
            <w:r w:rsidRPr="006939D1">
              <w:rPr>
                <w:rFonts w:asciiTheme="majorHAnsi" w:eastAsia="Times New Roman" w:hAnsiTheme="majorHAnsi" w:cstheme="majorHAnsi"/>
                <w:b/>
                <w:bCs/>
                <w:sz w:val="20"/>
                <w:szCs w:val="20"/>
              </w:rPr>
              <w:t>Modificación y mejora de intervención existente</w:t>
            </w:r>
          </w:p>
        </w:tc>
        <w:tc>
          <w:tcPr>
            <w:tcW w:w="230"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5</w:t>
            </w:r>
          </w:p>
        </w:tc>
        <w:tc>
          <w:tcPr>
            <w:tcW w:w="230"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4</w:t>
            </w:r>
          </w:p>
        </w:tc>
        <w:tc>
          <w:tcPr>
            <w:tcW w:w="230"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4</w:t>
            </w:r>
          </w:p>
        </w:tc>
        <w:tc>
          <w:tcPr>
            <w:tcW w:w="230"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4</w:t>
            </w:r>
          </w:p>
        </w:tc>
        <w:tc>
          <w:tcPr>
            <w:tcW w:w="459"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17</w:t>
            </w:r>
          </w:p>
        </w:tc>
      </w:tr>
      <w:tr w:rsidR="006939D1" w:rsidRPr="006939D1" w:rsidTr="005353F6">
        <w:trPr>
          <w:trHeight w:val="948"/>
        </w:trPr>
        <w:tc>
          <w:tcPr>
            <w:tcW w:w="720" w:type="pct"/>
            <w:vMerge/>
            <w:tcBorders>
              <w:top w:val="nil"/>
              <w:left w:val="single" w:sz="4" w:space="0" w:color="auto"/>
              <w:bottom w:val="single" w:sz="4" w:space="0" w:color="auto"/>
              <w:right w:val="single" w:sz="4" w:space="0" w:color="auto"/>
            </w:tcBorders>
            <w:vAlign w:val="center"/>
            <w:hideMark/>
          </w:tcPr>
          <w:p w:rsidR="006939D1" w:rsidRPr="006939D1" w:rsidRDefault="006939D1" w:rsidP="006939D1">
            <w:pPr>
              <w:spacing w:after="0" w:line="240" w:lineRule="auto"/>
              <w:rPr>
                <w:rFonts w:asciiTheme="majorHAnsi" w:eastAsia="Times New Roman" w:hAnsiTheme="majorHAnsi" w:cstheme="majorHAnsi"/>
                <w:b/>
                <w:bCs/>
                <w:sz w:val="20"/>
                <w:szCs w:val="20"/>
              </w:rPr>
            </w:pPr>
          </w:p>
        </w:tc>
        <w:tc>
          <w:tcPr>
            <w:tcW w:w="1196"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15. Fomentar la concientización sobre los daños que produce el LA en los sujetos obligados y los clientes</w:t>
            </w:r>
          </w:p>
        </w:tc>
        <w:tc>
          <w:tcPr>
            <w:tcW w:w="881"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Informativo</w:t>
            </w:r>
          </w:p>
        </w:tc>
        <w:tc>
          <w:tcPr>
            <w:tcW w:w="823"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b/>
                <w:bCs/>
                <w:sz w:val="20"/>
                <w:szCs w:val="20"/>
              </w:rPr>
            </w:pPr>
            <w:r w:rsidRPr="006939D1">
              <w:rPr>
                <w:rFonts w:asciiTheme="majorHAnsi" w:eastAsia="Times New Roman" w:hAnsiTheme="majorHAnsi" w:cstheme="majorHAnsi"/>
                <w:b/>
                <w:bCs/>
                <w:sz w:val="20"/>
                <w:szCs w:val="20"/>
              </w:rPr>
              <w:t>Modificación y mejora de intervención existente</w:t>
            </w:r>
          </w:p>
        </w:tc>
        <w:tc>
          <w:tcPr>
            <w:tcW w:w="230"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5</w:t>
            </w:r>
          </w:p>
        </w:tc>
        <w:tc>
          <w:tcPr>
            <w:tcW w:w="230"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4</w:t>
            </w:r>
          </w:p>
        </w:tc>
        <w:tc>
          <w:tcPr>
            <w:tcW w:w="230"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4</w:t>
            </w:r>
          </w:p>
        </w:tc>
        <w:tc>
          <w:tcPr>
            <w:tcW w:w="230"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5</w:t>
            </w:r>
          </w:p>
        </w:tc>
        <w:tc>
          <w:tcPr>
            <w:tcW w:w="459" w:type="pct"/>
            <w:tcBorders>
              <w:top w:val="nil"/>
              <w:left w:val="nil"/>
              <w:bottom w:val="single" w:sz="4" w:space="0" w:color="auto"/>
              <w:right w:val="single" w:sz="4" w:space="0" w:color="auto"/>
            </w:tcBorders>
            <w:shd w:val="clear" w:color="auto" w:fill="auto"/>
            <w:vAlign w:val="center"/>
            <w:hideMark/>
          </w:tcPr>
          <w:p w:rsidR="006939D1" w:rsidRPr="006939D1" w:rsidRDefault="006939D1" w:rsidP="006939D1">
            <w:pPr>
              <w:spacing w:after="0" w:line="240" w:lineRule="auto"/>
              <w:jc w:val="center"/>
              <w:rPr>
                <w:rFonts w:asciiTheme="majorHAnsi" w:eastAsia="Times New Roman" w:hAnsiTheme="majorHAnsi" w:cstheme="majorHAnsi"/>
                <w:sz w:val="20"/>
                <w:szCs w:val="20"/>
              </w:rPr>
            </w:pPr>
            <w:r w:rsidRPr="006939D1">
              <w:rPr>
                <w:rFonts w:asciiTheme="majorHAnsi" w:eastAsia="Times New Roman" w:hAnsiTheme="majorHAnsi" w:cstheme="majorHAnsi"/>
                <w:sz w:val="20"/>
                <w:szCs w:val="20"/>
              </w:rPr>
              <w:t>18</w:t>
            </w:r>
          </w:p>
        </w:tc>
      </w:tr>
    </w:tbl>
    <w:p w:rsidR="00F8131F" w:rsidRDefault="00F8131F"/>
    <w:p w:rsidR="00F8131F" w:rsidRDefault="00F8131F"/>
    <w:p w:rsidR="00386849" w:rsidRDefault="00386849" w:rsidP="00386849">
      <w:pPr>
        <w:pStyle w:val="Ttulo2"/>
        <w:numPr>
          <w:ilvl w:val="1"/>
          <w:numId w:val="3"/>
        </w:numPr>
        <w:spacing w:line="240" w:lineRule="auto"/>
        <w:ind w:left="0"/>
        <w:rPr>
          <w:b/>
          <w:color w:val="000000"/>
          <w:sz w:val="22"/>
          <w:szCs w:val="22"/>
        </w:rPr>
      </w:pPr>
      <w:bookmarkStart w:id="13" w:name="_Toc113360611"/>
      <w:r w:rsidRPr="00386849">
        <w:rPr>
          <w:b/>
          <w:color w:val="000000"/>
          <w:sz w:val="22"/>
          <w:szCs w:val="22"/>
        </w:rPr>
        <w:t>Evidencia de Alternativas de Solución</w:t>
      </w:r>
      <w:bookmarkEnd w:id="13"/>
    </w:p>
    <w:p w:rsidR="00386849" w:rsidRDefault="00386849"/>
    <w:p w:rsidR="006B3CBE" w:rsidRPr="00D62A0A" w:rsidRDefault="006B3CBE" w:rsidP="006B3CBE">
      <w:pPr>
        <w:pStyle w:val="Ttulo3"/>
        <w:ind w:left="0" w:hanging="11"/>
        <w:rPr>
          <w:b/>
          <w:color w:val="auto"/>
          <w:szCs w:val="23"/>
          <w:u w:val="single"/>
        </w:rPr>
      </w:pPr>
      <w:bookmarkStart w:id="14" w:name="_iv8baohadckw" w:colFirst="0" w:colLast="0"/>
      <w:bookmarkStart w:id="15" w:name="_jf6eh0uyhxp0" w:colFirst="0" w:colLast="0"/>
      <w:bookmarkStart w:id="16" w:name="_Toc113360612"/>
      <w:bookmarkEnd w:id="14"/>
      <w:bookmarkEnd w:id="15"/>
      <w:r w:rsidRPr="00D62A0A">
        <w:rPr>
          <w:b/>
          <w:color w:val="auto"/>
          <w:szCs w:val="23"/>
          <w:u w:val="single"/>
        </w:rPr>
        <w:t>Causa 1: Existencia de informalidad en la economía como factor de riesgo de LA</w:t>
      </w:r>
      <w:bookmarkEnd w:id="16"/>
    </w:p>
    <w:p w:rsidR="006B3CBE" w:rsidRPr="006B3CBE" w:rsidRDefault="006B3CBE" w:rsidP="006B3CBE">
      <w:pPr>
        <w:jc w:val="both"/>
        <w:rPr>
          <w:rFonts w:asciiTheme="majorHAnsi" w:hAnsiTheme="majorHAnsi" w:cstheme="majorHAnsi"/>
          <w:b/>
        </w:rPr>
      </w:pPr>
    </w:p>
    <w:p w:rsidR="006B3CBE" w:rsidRPr="006B3CBE" w:rsidRDefault="00D828C7" w:rsidP="006B3CBE">
      <w:pPr>
        <w:jc w:val="both"/>
        <w:rPr>
          <w:rFonts w:asciiTheme="majorHAnsi" w:hAnsiTheme="majorHAnsi" w:cstheme="majorHAnsi"/>
          <w:b/>
        </w:rPr>
      </w:pPr>
      <w:r>
        <w:rPr>
          <w:rFonts w:asciiTheme="majorHAnsi" w:hAnsiTheme="majorHAnsi" w:cstheme="majorHAnsi"/>
          <w:b/>
        </w:rPr>
        <w:t>1</w:t>
      </w:r>
      <w:r w:rsidR="006B3CBE" w:rsidRPr="006B3CBE">
        <w:rPr>
          <w:rFonts w:asciiTheme="majorHAnsi" w:hAnsiTheme="majorHAnsi" w:cstheme="majorHAnsi"/>
          <w:b/>
        </w:rPr>
        <w:t xml:space="preserve">. </w:t>
      </w:r>
      <w:r w:rsidR="00251B77">
        <w:rPr>
          <w:rFonts w:asciiTheme="majorHAnsi" w:hAnsiTheme="majorHAnsi" w:cstheme="majorHAnsi"/>
          <w:b/>
        </w:rPr>
        <w:t>Desarrollar</w:t>
      </w:r>
      <w:r w:rsidR="006B3CBE" w:rsidRPr="006B3CBE">
        <w:rPr>
          <w:rFonts w:asciiTheme="majorHAnsi" w:hAnsiTheme="majorHAnsi" w:cstheme="majorHAnsi"/>
          <w:b/>
        </w:rPr>
        <w:t xml:space="preserve"> </w:t>
      </w:r>
      <w:r w:rsidR="00251B77">
        <w:rPr>
          <w:rFonts w:asciiTheme="majorHAnsi" w:hAnsiTheme="majorHAnsi" w:cstheme="majorHAnsi"/>
          <w:b/>
        </w:rPr>
        <w:t xml:space="preserve">actividades </w:t>
      </w:r>
      <w:r w:rsidR="006B3CBE" w:rsidRPr="006B3CBE">
        <w:rPr>
          <w:rFonts w:asciiTheme="majorHAnsi" w:hAnsiTheme="majorHAnsi" w:cstheme="majorHAnsi"/>
          <w:b/>
        </w:rPr>
        <w:t xml:space="preserve">educativas para </w:t>
      </w:r>
      <w:r w:rsidR="00DE4B24">
        <w:rPr>
          <w:rFonts w:asciiTheme="majorHAnsi" w:hAnsiTheme="majorHAnsi" w:cstheme="majorHAnsi"/>
          <w:b/>
        </w:rPr>
        <w:t>fortalecer</w:t>
      </w:r>
      <w:r w:rsidR="00251B77">
        <w:rPr>
          <w:rFonts w:asciiTheme="majorHAnsi" w:hAnsiTheme="majorHAnsi" w:cstheme="majorHAnsi"/>
          <w:b/>
        </w:rPr>
        <w:t xml:space="preserve"> las capacidades financieras y </w:t>
      </w:r>
      <w:r w:rsidR="006B3CBE" w:rsidRPr="006B3CBE">
        <w:rPr>
          <w:rFonts w:asciiTheme="majorHAnsi" w:hAnsiTheme="majorHAnsi" w:cstheme="majorHAnsi"/>
          <w:b/>
        </w:rPr>
        <w:t>combatir la informalidad como factor de riesgo de LA</w:t>
      </w:r>
    </w:p>
    <w:p w:rsidR="006B3CBE" w:rsidRPr="006B3CBE" w:rsidRDefault="006B3CBE" w:rsidP="00F265A3">
      <w:pPr>
        <w:jc w:val="both"/>
        <w:rPr>
          <w:rFonts w:asciiTheme="majorHAnsi" w:hAnsiTheme="majorHAnsi" w:cstheme="majorHAnsi"/>
        </w:rPr>
      </w:pPr>
      <w:r w:rsidRPr="006B3CBE">
        <w:rPr>
          <w:rFonts w:asciiTheme="majorHAnsi" w:hAnsiTheme="majorHAnsi" w:cstheme="majorHAnsi"/>
        </w:rPr>
        <w:t>Esta alternativa comprende</w:t>
      </w:r>
      <w:r w:rsidR="00251B77">
        <w:rPr>
          <w:rFonts w:asciiTheme="majorHAnsi" w:hAnsiTheme="majorHAnsi" w:cstheme="majorHAnsi"/>
        </w:rPr>
        <w:t xml:space="preserve"> </w:t>
      </w:r>
      <w:r w:rsidR="00251B77" w:rsidRPr="006B3CBE">
        <w:rPr>
          <w:rFonts w:asciiTheme="majorHAnsi" w:hAnsiTheme="majorHAnsi" w:cstheme="majorHAnsi"/>
        </w:rPr>
        <w:t xml:space="preserve">un proceso de desarrollo de capacidades en la población que fomente el uso de los servicios del sistema </w:t>
      </w:r>
      <w:r w:rsidR="00EC6FE7">
        <w:rPr>
          <w:rFonts w:asciiTheme="majorHAnsi" w:hAnsiTheme="majorHAnsi" w:cstheme="majorHAnsi"/>
        </w:rPr>
        <w:t>financiero, mediante campañas o cursos</w:t>
      </w:r>
      <w:r w:rsidR="00251B77" w:rsidRPr="006B3CBE">
        <w:rPr>
          <w:rFonts w:asciiTheme="majorHAnsi" w:hAnsiTheme="majorHAnsi" w:cstheme="majorHAnsi"/>
        </w:rPr>
        <w:t>, especialmente en zonas alejadas del país y con alto nivel de riesgo de LA.</w:t>
      </w:r>
      <w:r w:rsidR="00251B77">
        <w:rPr>
          <w:rFonts w:asciiTheme="majorHAnsi" w:hAnsiTheme="majorHAnsi" w:cstheme="majorHAnsi"/>
        </w:rPr>
        <w:t xml:space="preserve"> Asimismo, la </w:t>
      </w:r>
      <w:r w:rsidR="00F265A3">
        <w:rPr>
          <w:rFonts w:asciiTheme="majorHAnsi" w:hAnsiTheme="majorHAnsi" w:cstheme="majorHAnsi"/>
        </w:rPr>
        <w:t xml:space="preserve">incorporación de contenido en la currícula nacional alineado con </w:t>
      </w:r>
      <w:r w:rsidR="0069079C">
        <w:rPr>
          <w:rFonts w:asciiTheme="majorHAnsi" w:hAnsiTheme="majorHAnsi" w:cstheme="majorHAnsi"/>
        </w:rPr>
        <w:t>el objetivo de</w:t>
      </w:r>
      <w:r w:rsidRPr="006B3CBE">
        <w:rPr>
          <w:rFonts w:asciiTheme="majorHAnsi" w:hAnsiTheme="majorHAnsi" w:cstheme="majorHAnsi"/>
        </w:rPr>
        <w:t xml:space="preserve"> propiciar la inclusión de la cultura </w:t>
      </w:r>
      <w:r w:rsidR="00251B77">
        <w:rPr>
          <w:rFonts w:asciiTheme="majorHAnsi" w:hAnsiTheme="majorHAnsi" w:cstheme="majorHAnsi"/>
        </w:rPr>
        <w:t xml:space="preserve">financiera y </w:t>
      </w:r>
      <w:r w:rsidRPr="006B3CBE">
        <w:rPr>
          <w:rFonts w:asciiTheme="majorHAnsi" w:hAnsiTheme="majorHAnsi" w:cstheme="majorHAnsi"/>
        </w:rPr>
        <w:t xml:space="preserve">de </w:t>
      </w:r>
      <w:r w:rsidR="00251B77">
        <w:rPr>
          <w:rFonts w:asciiTheme="majorHAnsi" w:hAnsiTheme="majorHAnsi" w:cstheme="majorHAnsi"/>
        </w:rPr>
        <w:t xml:space="preserve">respecto a la </w:t>
      </w:r>
      <w:r w:rsidRPr="006B3CBE">
        <w:rPr>
          <w:rFonts w:asciiTheme="majorHAnsi" w:hAnsiTheme="majorHAnsi" w:cstheme="majorHAnsi"/>
        </w:rPr>
        <w:t>legalidad.</w:t>
      </w:r>
      <w:r w:rsidR="00251B77">
        <w:rPr>
          <w:rFonts w:asciiTheme="majorHAnsi" w:hAnsiTheme="majorHAnsi" w:cstheme="majorHAnsi"/>
        </w:rPr>
        <w:t xml:space="preserve"> </w:t>
      </w:r>
    </w:p>
    <w:p w:rsidR="006B3CBE" w:rsidRPr="00251B77" w:rsidRDefault="00DD0108" w:rsidP="00F265A3">
      <w:pPr>
        <w:jc w:val="both"/>
        <w:rPr>
          <w:rFonts w:asciiTheme="majorHAnsi" w:hAnsiTheme="majorHAnsi" w:cstheme="majorHAnsi"/>
        </w:rPr>
      </w:pPr>
      <w:r>
        <w:rPr>
          <w:rFonts w:asciiTheme="majorHAnsi" w:hAnsiTheme="majorHAnsi" w:cstheme="majorHAnsi"/>
        </w:rPr>
        <w:t>Como antecedente, a</w:t>
      </w:r>
      <w:r w:rsidR="00967911">
        <w:rPr>
          <w:rFonts w:asciiTheme="majorHAnsi" w:hAnsiTheme="majorHAnsi" w:cstheme="majorHAnsi"/>
        </w:rPr>
        <w:t xml:space="preserve"> nivel nacional, e</w:t>
      </w:r>
      <w:r w:rsidR="00F265A3">
        <w:rPr>
          <w:rFonts w:asciiTheme="majorHAnsi" w:hAnsiTheme="majorHAnsi" w:cstheme="majorHAnsi"/>
        </w:rPr>
        <w:t>n</w:t>
      </w:r>
      <w:r w:rsidR="006B3CBE" w:rsidRPr="00251B77">
        <w:rPr>
          <w:rFonts w:asciiTheme="majorHAnsi" w:hAnsiTheme="majorHAnsi" w:cstheme="majorHAnsi"/>
        </w:rPr>
        <w:t xml:space="preserve"> el año 2019, mediante Decreto Supremo N°  255- 2019-EF se </w:t>
      </w:r>
      <w:r w:rsidR="00F265A3">
        <w:rPr>
          <w:rFonts w:asciiTheme="majorHAnsi" w:hAnsiTheme="majorHAnsi" w:cstheme="majorHAnsi"/>
        </w:rPr>
        <w:t>aprobó</w:t>
      </w:r>
      <w:r w:rsidR="006B3CBE" w:rsidRPr="00251B77">
        <w:rPr>
          <w:rFonts w:asciiTheme="majorHAnsi" w:hAnsiTheme="majorHAnsi" w:cstheme="majorHAnsi"/>
        </w:rPr>
        <w:t xml:space="preserve"> la Política Nacional de Inclusión Financiera (PNIF) y</w:t>
      </w:r>
      <w:r w:rsidR="00F265A3">
        <w:rPr>
          <w:rFonts w:asciiTheme="majorHAnsi" w:hAnsiTheme="majorHAnsi" w:cstheme="majorHAnsi"/>
        </w:rPr>
        <w:t>,</w:t>
      </w:r>
      <w:r w:rsidR="006B3CBE" w:rsidRPr="00251B77">
        <w:rPr>
          <w:rFonts w:asciiTheme="majorHAnsi" w:hAnsiTheme="majorHAnsi" w:cstheme="majorHAnsi"/>
        </w:rPr>
        <w:t xml:space="preserve"> en el 2021</w:t>
      </w:r>
      <w:r w:rsidR="00F265A3">
        <w:rPr>
          <w:rFonts w:asciiTheme="majorHAnsi" w:hAnsiTheme="majorHAnsi" w:cstheme="majorHAnsi"/>
        </w:rPr>
        <w:t>,</w:t>
      </w:r>
      <w:r w:rsidR="006B3CBE" w:rsidRPr="00251B77">
        <w:rPr>
          <w:rFonts w:asciiTheme="majorHAnsi" w:hAnsiTheme="majorHAnsi" w:cstheme="majorHAnsi"/>
        </w:rPr>
        <w:t xml:space="preserve"> el Plan Estratégico Multisectorial de la PNIF</w:t>
      </w:r>
      <w:r w:rsidR="00967911">
        <w:rPr>
          <w:rFonts w:asciiTheme="majorHAnsi" w:hAnsiTheme="majorHAnsi" w:cstheme="majorHAnsi"/>
        </w:rPr>
        <w:t>,</w:t>
      </w:r>
      <w:r w:rsidR="006B3CBE" w:rsidRPr="00251B77">
        <w:rPr>
          <w:rFonts w:asciiTheme="majorHAnsi" w:hAnsiTheme="majorHAnsi" w:cstheme="majorHAnsi"/>
        </w:rPr>
        <w:t xml:space="preserve"> documentos </w:t>
      </w:r>
      <w:r w:rsidR="00967911">
        <w:rPr>
          <w:rFonts w:asciiTheme="majorHAnsi" w:hAnsiTheme="majorHAnsi" w:cstheme="majorHAnsi"/>
        </w:rPr>
        <w:t xml:space="preserve">que </w:t>
      </w:r>
      <w:r w:rsidR="006B3CBE" w:rsidRPr="00251B77">
        <w:rPr>
          <w:rFonts w:asciiTheme="majorHAnsi" w:hAnsiTheme="majorHAnsi" w:cstheme="majorHAnsi"/>
        </w:rPr>
        <w:t>consideran a la educación financiera como un medio para mejorar las competencias y capacidades financieras y así generar confianza en el sistema financiero.</w:t>
      </w:r>
    </w:p>
    <w:p w:rsidR="00967911" w:rsidRDefault="00967911" w:rsidP="00C95DFA">
      <w:pPr>
        <w:spacing w:before="240"/>
        <w:jc w:val="both"/>
        <w:rPr>
          <w:rFonts w:asciiTheme="majorHAnsi" w:hAnsiTheme="majorHAnsi" w:cstheme="majorHAnsi"/>
        </w:rPr>
      </w:pPr>
      <w:r>
        <w:rPr>
          <w:rFonts w:asciiTheme="majorHAnsi" w:hAnsiTheme="majorHAnsi" w:cstheme="majorHAnsi"/>
        </w:rPr>
        <w:t>Otra referencia a resaltar es la</w:t>
      </w:r>
      <w:r w:rsidRPr="00251B77">
        <w:rPr>
          <w:rFonts w:asciiTheme="majorHAnsi" w:hAnsiTheme="majorHAnsi" w:cstheme="majorHAnsi"/>
        </w:rPr>
        <w:t xml:space="preserve"> Ley N° 31337, Ley que declara de Interés Nacional la Introducción de contenidos curriculares de estudio de la ciudadanía y de los valores éticos y cívicos para la lucha frontal contra la  corrupción en el Perú e Historia del Perú, </w:t>
      </w:r>
      <w:r>
        <w:rPr>
          <w:rFonts w:asciiTheme="majorHAnsi" w:hAnsiTheme="majorHAnsi" w:cstheme="majorHAnsi"/>
        </w:rPr>
        <w:t>en la cual se</w:t>
      </w:r>
      <w:r w:rsidRPr="00251B77">
        <w:rPr>
          <w:rFonts w:asciiTheme="majorHAnsi" w:hAnsiTheme="majorHAnsi" w:cstheme="majorHAnsi"/>
        </w:rPr>
        <w:t xml:space="preserve"> establece que el Ministerio de Educación deberá establecer los procedimientos para que se implementen los contenidos curriculares dentro del Currículo Nacional Escolar 2021 por parte de las instituciones educativas del país para el nivel secundario.</w:t>
      </w:r>
    </w:p>
    <w:p w:rsidR="00C95DFA" w:rsidRDefault="00C95DFA" w:rsidP="00C95DFA">
      <w:pPr>
        <w:spacing w:before="240"/>
        <w:jc w:val="both"/>
        <w:rPr>
          <w:rFonts w:asciiTheme="majorHAnsi" w:hAnsiTheme="majorHAnsi" w:cstheme="majorHAnsi"/>
        </w:rPr>
      </w:pPr>
      <w:r>
        <w:rPr>
          <w:rFonts w:asciiTheme="majorHAnsi" w:hAnsiTheme="majorHAnsi" w:cstheme="majorHAnsi"/>
        </w:rPr>
        <w:t>C</w:t>
      </w:r>
      <w:r w:rsidRPr="00251B77">
        <w:rPr>
          <w:rFonts w:asciiTheme="majorHAnsi" w:hAnsiTheme="majorHAnsi" w:cstheme="majorHAnsi"/>
        </w:rPr>
        <w:t xml:space="preserve">abe destacar </w:t>
      </w:r>
      <w:r w:rsidR="00DD0108">
        <w:rPr>
          <w:rFonts w:asciiTheme="majorHAnsi" w:hAnsiTheme="majorHAnsi" w:cstheme="majorHAnsi"/>
        </w:rPr>
        <w:t xml:space="preserve">también </w:t>
      </w:r>
      <w:r>
        <w:rPr>
          <w:rFonts w:asciiTheme="majorHAnsi" w:hAnsiTheme="majorHAnsi" w:cstheme="majorHAnsi"/>
        </w:rPr>
        <w:t xml:space="preserve">como antecedente que </w:t>
      </w:r>
      <w:r w:rsidRPr="007A6B5D">
        <w:rPr>
          <w:rFonts w:asciiTheme="majorHAnsi" w:hAnsiTheme="majorHAnsi" w:cstheme="majorHAnsi"/>
        </w:rPr>
        <w:t xml:space="preserve">la Superintendencia de Banca, Seguros y AFP (a través del Departamento de Educación e Inclusión Financiera), tiene experiencia previa en el desarrollo de programas para fomentar la inclusión financiera como por ejemplo el Programa Finanzas en el Cole. Este programa está dirigido a los docentes de centros educativos públicos en el ámbito urbano y rural y se desarrolló en el marco de un convenio suscrito con el Ministerio de Educación. El programa Finanzas en el Cole brinda conocimientos financieros al docente de educación pública para que pueda desarrollar en sus estudiantes competencias que les permitan gestionar adecuadamente sus recursos y en el futuro ser usuarios informados que tomen decisiones responsables sobre productos y servicios financieros. </w:t>
      </w:r>
    </w:p>
    <w:p w:rsidR="006B3CBE" w:rsidRPr="00251B77" w:rsidRDefault="006B3CBE" w:rsidP="006B3CBE">
      <w:pPr>
        <w:jc w:val="both"/>
        <w:rPr>
          <w:rFonts w:asciiTheme="majorHAnsi" w:hAnsiTheme="majorHAnsi" w:cstheme="majorHAnsi"/>
        </w:rPr>
      </w:pPr>
    </w:p>
    <w:p w:rsidR="006B3CBE" w:rsidRPr="00D62A0A" w:rsidRDefault="006B3CBE" w:rsidP="006B3CBE">
      <w:pPr>
        <w:pStyle w:val="Ttulo3"/>
        <w:ind w:left="0" w:hanging="11"/>
        <w:rPr>
          <w:b/>
          <w:color w:val="auto"/>
          <w:szCs w:val="23"/>
          <w:u w:val="single"/>
        </w:rPr>
      </w:pPr>
      <w:bookmarkStart w:id="17" w:name="_ii1gsfeq5mob" w:colFirst="0" w:colLast="0"/>
      <w:bookmarkStart w:id="18" w:name="_Toc113360613"/>
      <w:bookmarkEnd w:id="17"/>
      <w:r w:rsidRPr="00D62A0A">
        <w:rPr>
          <w:b/>
          <w:color w:val="auto"/>
          <w:szCs w:val="23"/>
          <w:u w:val="single"/>
        </w:rPr>
        <w:t>Causa 2: Deficiente prevención de LA por parte de los sujetos obligados</w:t>
      </w:r>
      <w:bookmarkEnd w:id="18"/>
    </w:p>
    <w:p w:rsidR="006B3CBE" w:rsidRPr="006B3CBE" w:rsidRDefault="006B3CBE" w:rsidP="006B3CBE">
      <w:pPr>
        <w:jc w:val="both"/>
        <w:rPr>
          <w:rFonts w:asciiTheme="majorHAnsi" w:eastAsia="Roboto" w:hAnsiTheme="majorHAnsi" w:cstheme="majorHAnsi"/>
          <w:b/>
        </w:rPr>
      </w:pPr>
    </w:p>
    <w:p w:rsidR="006B3CBE" w:rsidRPr="00E63568" w:rsidRDefault="00D828C7" w:rsidP="006B3CBE">
      <w:pPr>
        <w:jc w:val="both"/>
        <w:rPr>
          <w:rFonts w:asciiTheme="majorHAnsi" w:eastAsia="Roboto" w:hAnsiTheme="majorHAnsi" w:cstheme="majorHAnsi"/>
          <w:b/>
        </w:rPr>
      </w:pPr>
      <w:r>
        <w:rPr>
          <w:rFonts w:asciiTheme="majorHAnsi" w:eastAsia="Roboto" w:hAnsiTheme="majorHAnsi" w:cstheme="majorHAnsi"/>
          <w:b/>
        </w:rPr>
        <w:t>2</w:t>
      </w:r>
      <w:r w:rsidR="006B3CBE" w:rsidRPr="00E63568">
        <w:rPr>
          <w:rFonts w:asciiTheme="majorHAnsi" w:eastAsia="Roboto" w:hAnsiTheme="majorHAnsi" w:cstheme="majorHAnsi"/>
          <w:b/>
        </w:rPr>
        <w:t>. Profundizar la c</w:t>
      </w:r>
      <w:r w:rsidR="00991BAA">
        <w:rPr>
          <w:rFonts w:asciiTheme="majorHAnsi" w:eastAsia="Roboto" w:hAnsiTheme="majorHAnsi" w:cstheme="majorHAnsi"/>
          <w:b/>
        </w:rPr>
        <w:t>omprensión de los riesgos de LA</w:t>
      </w:r>
      <w:r w:rsidR="006B3CBE" w:rsidRPr="00E63568">
        <w:rPr>
          <w:rFonts w:asciiTheme="majorHAnsi" w:eastAsia="Roboto" w:hAnsiTheme="majorHAnsi" w:cstheme="majorHAnsi"/>
          <w:b/>
        </w:rPr>
        <w:t xml:space="preserve"> en los sujetos obligados. </w:t>
      </w:r>
    </w:p>
    <w:p w:rsidR="00046518" w:rsidRDefault="006B3CBE" w:rsidP="00046518">
      <w:pPr>
        <w:spacing w:before="240"/>
        <w:jc w:val="both"/>
        <w:rPr>
          <w:rFonts w:asciiTheme="majorHAnsi" w:hAnsiTheme="majorHAnsi" w:cstheme="majorHAnsi"/>
          <w:highlight w:val="white"/>
        </w:rPr>
      </w:pPr>
      <w:r w:rsidRPr="006B3CBE">
        <w:rPr>
          <w:rFonts w:asciiTheme="majorHAnsi" w:hAnsiTheme="majorHAnsi" w:cstheme="majorHAnsi"/>
          <w:highlight w:val="white"/>
        </w:rPr>
        <w:t xml:space="preserve">Esta alternativa se orienta a fortalecer la comprensión de los riesgos de lavado de activos, tanto a nivel nacional como a nivel de cada sector. Ello implica realizar una difusión de los resultados de la Evaluación Nacional de Riesgo, así como de las evaluaciones sectoriales, informe de sentencias o cualquier documento que identifique riesgos de LA, a través de diversos medios de difusión (página web, talleres, cursos de capacitación o campañas). </w:t>
      </w:r>
    </w:p>
    <w:p w:rsidR="006B3CBE" w:rsidRPr="006B3CBE" w:rsidRDefault="00046518" w:rsidP="00046518">
      <w:pPr>
        <w:spacing w:before="240"/>
        <w:jc w:val="both"/>
        <w:rPr>
          <w:rFonts w:asciiTheme="majorHAnsi" w:hAnsiTheme="majorHAnsi" w:cstheme="majorHAnsi"/>
          <w:highlight w:val="white"/>
        </w:rPr>
      </w:pPr>
      <w:r>
        <w:rPr>
          <w:rFonts w:asciiTheme="majorHAnsi" w:hAnsiTheme="majorHAnsi" w:cstheme="majorHAnsi"/>
          <w:highlight w:val="white"/>
        </w:rPr>
        <w:t>Cabe resaltar, que dicha alternativa se enmarca en una de las acciones prioritarias establecidas en el IEM (</w:t>
      </w:r>
      <w:r w:rsidR="006B3CBE" w:rsidRPr="006B3CBE">
        <w:rPr>
          <w:rFonts w:asciiTheme="majorHAnsi" w:hAnsiTheme="majorHAnsi" w:cstheme="majorHAnsi"/>
          <w:highlight w:val="white"/>
        </w:rPr>
        <w:t>implementación de instancias que permitan una comprensión común respecto al riesgo LA/FT en el país, su magnitud e impacto</w:t>
      </w:r>
      <w:r>
        <w:rPr>
          <w:rFonts w:asciiTheme="majorHAnsi" w:hAnsiTheme="majorHAnsi" w:cstheme="majorHAnsi"/>
          <w:highlight w:val="white"/>
        </w:rPr>
        <w:t>)</w:t>
      </w:r>
      <w:r w:rsidR="006B3CBE" w:rsidRPr="006B3CBE">
        <w:rPr>
          <w:rFonts w:asciiTheme="majorHAnsi" w:hAnsiTheme="majorHAnsi" w:cstheme="majorHAnsi"/>
          <w:highlight w:val="white"/>
        </w:rPr>
        <w:t>.</w:t>
      </w:r>
    </w:p>
    <w:p w:rsidR="00E63568" w:rsidRDefault="006B3CBE" w:rsidP="006B3CBE">
      <w:pPr>
        <w:spacing w:before="240"/>
        <w:jc w:val="both"/>
        <w:rPr>
          <w:rFonts w:asciiTheme="majorHAnsi" w:hAnsiTheme="majorHAnsi" w:cstheme="majorHAnsi"/>
          <w:highlight w:val="white"/>
        </w:rPr>
      </w:pPr>
      <w:r w:rsidRPr="006B3CBE">
        <w:rPr>
          <w:rFonts w:asciiTheme="majorHAnsi" w:hAnsiTheme="majorHAnsi" w:cstheme="majorHAnsi"/>
          <w:highlight w:val="white"/>
        </w:rPr>
        <w:t xml:space="preserve">Siguiendo esta línea, se ha podido identificar referencias regionales de aplicación de políticas públicas en temas similares:    </w:t>
      </w:r>
    </w:p>
    <w:tbl>
      <w:tblPr>
        <w:tblW w:w="5032" w:type="pct"/>
        <w:tblBorders>
          <w:top w:val="nil"/>
          <w:left w:val="nil"/>
          <w:bottom w:val="nil"/>
          <w:right w:val="nil"/>
          <w:insideH w:val="nil"/>
          <w:insideV w:val="nil"/>
        </w:tblBorders>
        <w:tblLook w:val="0600" w:firstRow="0" w:lastRow="0" w:firstColumn="0" w:lastColumn="0" w:noHBand="1" w:noVBand="1"/>
      </w:tblPr>
      <w:tblGrid>
        <w:gridCol w:w="1329"/>
        <w:gridCol w:w="7209"/>
      </w:tblGrid>
      <w:tr w:rsidR="00512DB7" w:rsidRPr="00512DB7" w:rsidTr="009026FA">
        <w:trPr>
          <w:trHeight w:val="95"/>
        </w:trPr>
        <w:tc>
          <w:tcPr>
            <w:tcW w:w="778" w:type="pct"/>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tcPr>
          <w:p w:rsidR="00512DB7" w:rsidRPr="00512DB7" w:rsidRDefault="00512DB7" w:rsidP="009026FA">
            <w:pPr>
              <w:spacing w:after="0" w:line="240" w:lineRule="auto"/>
              <w:jc w:val="center"/>
              <w:rPr>
                <w:rFonts w:asciiTheme="majorHAnsi" w:hAnsiTheme="majorHAnsi" w:cstheme="majorHAnsi"/>
                <w:b/>
              </w:rPr>
            </w:pPr>
            <w:r w:rsidRPr="00512DB7">
              <w:rPr>
                <w:rFonts w:asciiTheme="majorHAnsi" w:hAnsiTheme="majorHAnsi" w:cstheme="majorHAnsi"/>
                <w:b/>
              </w:rPr>
              <w:t>País</w:t>
            </w:r>
          </w:p>
        </w:tc>
        <w:tc>
          <w:tcPr>
            <w:tcW w:w="4222" w:type="pct"/>
            <w:tcBorders>
              <w:top w:val="single" w:sz="8" w:space="0" w:color="000000"/>
              <w:left w:val="nil"/>
              <w:bottom w:val="single" w:sz="8" w:space="0" w:color="000000"/>
              <w:right w:val="single" w:sz="8" w:space="0" w:color="000000"/>
            </w:tcBorders>
            <w:shd w:val="clear" w:color="auto" w:fill="BDD6EE"/>
            <w:tcMar>
              <w:top w:w="100" w:type="dxa"/>
              <w:left w:w="100" w:type="dxa"/>
              <w:bottom w:w="100" w:type="dxa"/>
              <w:right w:w="100" w:type="dxa"/>
            </w:tcMar>
          </w:tcPr>
          <w:p w:rsidR="00512DB7" w:rsidRPr="00512DB7" w:rsidRDefault="00C30FF9" w:rsidP="009026FA">
            <w:pPr>
              <w:spacing w:after="0" w:line="240" w:lineRule="auto"/>
              <w:jc w:val="center"/>
              <w:rPr>
                <w:rFonts w:asciiTheme="majorHAnsi" w:hAnsiTheme="majorHAnsi" w:cstheme="majorHAnsi"/>
                <w:b/>
              </w:rPr>
            </w:pPr>
            <w:r>
              <w:rPr>
                <w:rFonts w:asciiTheme="majorHAnsi" w:hAnsiTheme="majorHAnsi" w:cstheme="majorHAnsi"/>
                <w:b/>
              </w:rPr>
              <w:t>Experiencia</w:t>
            </w:r>
          </w:p>
        </w:tc>
      </w:tr>
      <w:tr w:rsidR="00512DB7" w:rsidRPr="00512DB7" w:rsidTr="00537F99">
        <w:trPr>
          <w:trHeight w:val="760"/>
        </w:trPr>
        <w:tc>
          <w:tcPr>
            <w:tcW w:w="778"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12DB7" w:rsidRPr="00512DB7" w:rsidRDefault="00512DB7" w:rsidP="009026FA">
            <w:pPr>
              <w:spacing w:after="0" w:line="240" w:lineRule="auto"/>
              <w:jc w:val="center"/>
              <w:rPr>
                <w:rFonts w:asciiTheme="majorHAnsi" w:eastAsia="Times New Roman" w:hAnsiTheme="majorHAnsi" w:cstheme="majorHAnsi"/>
                <w:b/>
              </w:rPr>
            </w:pPr>
            <w:r w:rsidRPr="00512DB7">
              <w:rPr>
                <w:rFonts w:asciiTheme="majorHAnsi" w:eastAsia="Times New Roman" w:hAnsiTheme="majorHAnsi" w:cstheme="majorHAnsi"/>
                <w:b/>
              </w:rPr>
              <w:t>Chile</w:t>
            </w:r>
          </w:p>
        </w:tc>
        <w:tc>
          <w:tcPr>
            <w:tcW w:w="4222" w:type="pct"/>
            <w:tcBorders>
              <w:top w:val="nil"/>
              <w:left w:val="nil"/>
              <w:bottom w:val="single" w:sz="8" w:space="0" w:color="000000"/>
              <w:right w:val="single" w:sz="8" w:space="0" w:color="000000"/>
            </w:tcBorders>
            <w:tcMar>
              <w:top w:w="100" w:type="dxa"/>
              <w:left w:w="100" w:type="dxa"/>
              <w:bottom w:w="100" w:type="dxa"/>
              <w:right w:w="100" w:type="dxa"/>
            </w:tcMar>
          </w:tcPr>
          <w:p w:rsidR="00512DB7" w:rsidRPr="00512DB7" w:rsidRDefault="00512DB7" w:rsidP="009026FA">
            <w:pPr>
              <w:spacing w:after="0" w:line="240" w:lineRule="auto"/>
              <w:jc w:val="both"/>
              <w:rPr>
                <w:rFonts w:asciiTheme="majorHAnsi" w:hAnsiTheme="majorHAnsi" w:cstheme="majorHAnsi"/>
                <w:highlight w:val="white"/>
              </w:rPr>
            </w:pPr>
            <w:r w:rsidRPr="00512DB7">
              <w:rPr>
                <w:rFonts w:asciiTheme="majorHAnsi" w:hAnsiTheme="majorHAnsi" w:cstheme="majorHAnsi"/>
                <w:highlight w:val="white"/>
              </w:rPr>
              <w:t>Dentro de la Estrategia Nacional para Prevenir y Combatir el Lavado de Activos y el Financiamiento del Terrorismo y Plan de Acción 2018-2020, se planteó como una línea estratégica la capacitación, entendida como el fortalecimiento de las capacidades y habilidades para la prevención y combate del LA/FT. Según se explicita, se busca que los actores del Sistema Nacional ALA/CFT profundicen la comprensión apropiada de sus riesgos en materia de lavado de activos y financiamiento del terrorismo, e integren ese conocimiento en las acciones dirigidas a mitigar esos riesgos.</w:t>
            </w:r>
          </w:p>
          <w:p w:rsidR="00512DB7" w:rsidRPr="00512DB7" w:rsidRDefault="00512DB7" w:rsidP="009026FA">
            <w:pPr>
              <w:spacing w:after="0" w:line="240" w:lineRule="auto"/>
              <w:jc w:val="both"/>
              <w:rPr>
                <w:rFonts w:asciiTheme="majorHAnsi" w:hAnsiTheme="majorHAnsi" w:cstheme="majorHAnsi"/>
                <w:highlight w:val="white"/>
              </w:rPr>
            </w:pPr>
          </w:p>
          <w:p w:rsidR="00512DB7" w:rsidRPr="00512DB7" w:rsidRDefault="00512DB7" w:rsidP="009026FA">
            <w:pPr>
              <w:spacing w:after="0" w:line="240" w:lineRule="auto"/>
              <w:jc w:val="both"/>
              <w:rPr>
                <w:rFonts w:asciiTheme="majorHAnsi" w:hAnsiTheme="majorHAnsi" w:cstheme="majorHAnsi"/>
                <w:highlight w:val="white"/>
              </w:rPr>
            </w:pPr>
            <w:r w:rsidRPr="00512DB7">
              <w:rPr>
                <w:rFonts w:asciiTheme="majorHAnsi" w:hAnsiTheme="majorHAnsi" w:cstheme="majorHAnsi"/>
                <w:highlight w:val="white"/>
              </w:rPr>
              <w:t>Resalta que esta línea de trabajo de capacitación contempla cuatro universos de destinatarios, con sus particulares necesidades y requerimientos: el sector privado en su calidad de sujeto obligado; el sector público en su calidad de sujeto reportante; las instituciones que conforman la Estrategia Nacional, en su calidad de supervisores, fiscalizadores y persecutores del delito de LA/FT; y finalmente, el público general.</w:t>
            </w:r>
          </w:p>
          <w:p w:rsidR="00512DB7" w:rsidRPr="00512DB7" w:rsidRDefault="00512DB7" w:rsidP="009026FA">
            <w:pPr>
              <w:spacing w:after="0" w:line="240" w:lineRule="auto"/>
              <w:jc w:val="both"/>
              <w:rPr>
                <w:rFonts w:asciiTheme="majorHAnsi" w:hAnsiTheme="majorHAnsi" w:cstheme="majorHAnsi"/>
                <w:highlight w:val="white"/>
              </w:rPr>
            </w:pPr>
          </w:p>
          <w:p w:rsidR="00512DB7" w:rsidRPr="00512DB7" w:rsidRDefault="00512DB7" w:rsidP="009026FA">
            <w:pPr>
              <w:spacing w:after="0" w:line="240" w:lineRule="auto"/>
              <w:jc w:val="both"/>
              <w:rPr>
                <w:rFonts w:asciiTheme="majorHAnsi" w:hAnsiTheme="majorHAnsi" w:cstheme="majorHAnsi"/>
                <w:highlight w:val="white"/>
              </w:rPr>
            </w:pPr>
            <w:r w:rsidRPr="00512DB7">
              <w:rPr>
                <w:rFonts w:asciiTheme="majorHAnsi" w:hAnsiTheme="majorHAnsi" w:cstheme="majorHAnsi"/>
                <w:highlight w:val="white"/>
              </w:rPr>
              <w:t xml:space="preserve">Algunas acciones a implementar que se plantearon y que pueden servir como referencia para la presente política son: </w:t>
            </w:r>
          </w:p>
          <w:p w:rsidR="00512DB7" w:rsidRPr="00512DB7" w:rsidRDefault="00512DB7" w:rsidP="009026FA">
            <w:pPr>
              <w:spacing w:after="0" w:line="240" w:lineRule="auto"/>
              <w:jc w:val="both"/>
              <w:rPr>
                <w:rFonts w:asciiTheme="majorHAnsi" w:hAnsiTheme="majorHAnsi" w:cstheme="majorHAnsi"/>
                <w:highlight w:val="white"/>
              </w:rPr>
            </w:pPr>
          </w:p>
          <w:p w:rsidR="00512DB7" w:rsidRPr="00512DB7" w:rsidRDefault="00512DB7" w:rsidP="00512DB7">
            <w:pPr>
              <w:pStyle w:val="Prrafodelista"/>
              <w:numPr>
                <w:ilvl w:val="0"/>
                <w:numId w:val="15"/>
              </w:numPr>
              <w:spacing w:after="0" w:line="240" w:lineRule="auto"/>
              <w:jc w:val="both"/>
              <w:rPr>
                <w:rFonts w:asciiTheme="majorHAnsi" w:hAnsiTheme="majorHAnsi" w:cstheme="majorHAnsi"/>
                <w:highlight w:val="white"/>
              </w:rPr>
            </w:pPr>
            <w:r w:rsidRPr="00512DB7">
              <w:rPr>
                <w:rFonts w:asciiTheme="majorHAnsi" w:hAnsiTheme="majorHAnsi" w:cstheme="majorHAnsi"/>
                <w:highlight w:val="white"/>
              </w:rPr>
              <w:t>Difundir la Evaluación Nacional de Riesgos (ENR) en el sector privado para la incorporación de los riesgos de LA/FT en sus matrices de riesgo y en el cumplimiento de la normativa ALA/CFT (Acción 4.1.1).</w:t>
            </w:r>
          </w:p>
          <w:p w:rsidR="00512DB7" w:rsidRPr="00512DB7" w:rsidRDefault="00512DB7" w:rsidP="00512DB7">
            <w:pPr>
              <w:pStyle w:val="Prrafodelista"/>
              <w:numPr>
                <w:ilvl w:val="0"/>
                <w:numId w:val="15"/>
              </w:numPr>
              <w:spacing w:after="0" w:line="240" w:lineRule="auto"/>
              <w:jc w:val="both"/>
              <w:rPr>
                <w:rFonts w:asciiTheme="majorHAnsi" w:hAnsiTheme="majorHAnsi" w:cstheme="majorHAnsi"/>
                <w:highlight w:val="white"/>
              </w:rPr>
            </w:pPr>
            <w:r w:rsidRPr="00512DB7">
              <w:rPr>
                <w:rFonts w:asciiTheme="majorHAnsi" w:hAnsiTheme="majorHAnsi" w:cstheme="majorHAnsi"/>
                <w:highlight w:val="white"/>
              </w:rPr>
              <w:t>Generar insumos, guías prácticas y materiales de ayuda para la mejor implementación del Enfoque Basado en Riesgos (EBR) por parte de los sujetos obligados en el cumplimiento de la normativa ALA/CFT.</w:t>
            </w:r>
          </w:p>
          <w:p w:rsidR="00512DB7" w:rsidRPr="00512DB7" w:rsidRDefault="00512DB7" w:rsidP="00512DB7">
            <w:pPr>
              <w:pStyle w:val="Prrafodelista"/>
              <w:numPr>
                <w:ilvl w:val="0"/>
                <w:numId w:val="15"/>
              </w:numPr>
              <w:spacing w:after="0" w:line="240" w:lineRule="auto"/>
              <w:jc w:val="both"/>
              <w:rPr>
                <w:rFonts w:asciiTheme="majorHAnsi" w:hAnsiTheme="majorHAnsi" w:cstheme="majorHAnsi"/>
                <w:highlight w:val="white"/>
              </w:rPr>
            </w:pPr>
            <w:r w:rsidRPr="00512DB7">
              <w:rPr>
                <w:rFonts w:asciiTheme="majorHAnsi" w:eastAsia="Roboto" w:hAnsiTheme="majorHAnsi" w:cstheme="majorHAnsi"/>
              </w:rPr>
              <w:t>Fortalecer el diseño y ejecución del programa de capacitación sobre el Sistema Nacional ALA/CFT en el sector privado.</w:t>
            </w:r>
          </w:p>
          <w:p w:rsidR="00512DB7" w:rsidRPr="00512DB7" w:rsidRDefault="00512DB7" w:rsidP="00512DB7">
            <w:pPr>
              <w:pStyle w:val="Prrafodelista"/>
              <w:numPr>
                <w:ilvl w:val="0"/>
                <w:numId w:val="15"/>
              </w:numPr>
              <w:spacing w:after="0" w:line="240" w:lineRule="auto"/>
              <w:jc w:val="both"/>
              <w:rPr>
                <w:rFonts w:asciiTheme="majorHAnsi" w:hAnsiTheme="majorHAnsi" w:cstheme="majorHAnsi"/>
                <w:highlight w:val="white"/>
              </w:rPr>
            </w:pPr>
            <w:r w:rsidRPr="00512DB7">
              <w:rPr>
                <w:rFonts w:asciiTheme="majorHAnsi" w:eastAsia="Roboto" w:hAnsiTheme="majorHAnsi" w:cstheme="majorHAnsi"/>
              </w:rPr>
              <w:lastRenderedPageBreak/>
              <w:t>Fortalecer el diseño y ejecución del programa de capacitación sobre el Sistema Nacional ALA/CFT en el sector privado.</w:t>
            </w:r>
          </w:p>
          <w:p w:rsidR="00512DB7" w:rsidRPr="00512DB7" w:rsidRDefault="00512DB7" w:rsidP="00512DB7">
            <w:pPr>
              <w:pStyle w:val="Prrafodelista"/>
              <w:numPr>
                <w:ilvl w:val="0"/>
                <w:numId w:val="15"/>
              </w:numPr>
              <w:spacing w:after="0" w:line="240" w:lineRule="auto"/>
              <w:jc w:val="both"/>
              <w:rPr>
                <w:rFonts w:asciiTheme="majorHAnsi" w:hAnsiTheme="majorHAnsi" w:cstheme="majorHAnsi"/>
                <w:highlight w:val="white"/>
              </w:rPr>
            </w:pPr>
            <w:r w:rsidRPr="00512DB7">
              <w:rPr>
                <w:rFonts w:asciiTheme="majorHAnsi" w:hAnsiTheme="majorHAnsi" w:cstheme="majorHAnsi"/>
                <w:highlight w:val="white"/>
              </w:rPr>
              <w:t>Fortalecer el diseño y ejecución de una política de mejoramiento de las capacidades de reporte de operaciones sospechosas en el sector privado a partir de la comprensión de sus riesgos.</w:t>
            </w:r>
          </w:p>
        </w:tc>
      </w:tr>
      <w:tr w:rsidR="00512DB7" w:rsidRPr="00512DB7" w:rsidTr="009026FA">
        <w:trPr>
          <w:trHeight w:val="1111"/>
        </w:trPr>
        <w:tc>
          <w:tcPr>
            <w:tcW w:w="778"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12DB7" w:rsidRPr="00512DB7" w:rsidRDefault="00512DB7" w:rsidP="009026FA">
            <w:pPr>
              <w:spacing w:after="0" w:line="240" w:lineRule="auto"/>
              <w:jc w:val="center"/>
              <w:rPr>
                <w:rFonts w:asciiTheme="majorHAnsi" w:eastAsia="Times New Roman" w:hAnsiTheme="majorHAnsi" w:cstheme="majorHAnsi"/>
                <w:b/>
              </w:rPr>
            </w:pPr>
            <w:r w:rsidRPr="00512DB7">
              <w:rPr>
                <w:rFonts w:asciiTheme="majorHAnsi" w:eastAsia="Times New Roman" w:hAnsiTheme="majorHAnsi" w:cstheme="majorHAnsi"/>
                <w:b/>
              </w:rPr>
              <w:lastRenderedPageBreak/>
              <w:t>Uruguay</w:t>
            </w:r>
          </w:p>
        </w:tc>
        <w:tc>
          <w:tcPr>
            <w:tcW w:w="4222" w:type="pct"/>
            <w:tcBorders>
              <w:top w:val="nil"/>
              <w:left w:val="nil"/>
              <w:bottom w:val="single" w:sz="8" w:space="0" w:color="000000"/>
              <w:right w:val="single" w:sz="8" w:space="0" w:color="000000"/>
            </w:tcBorders>
            <w:tcMar>
              <w:top w:w="100" w:type="dxa"/>
              <w:left w:w="100" w:type="dxa"/>
              <w:bottom w:w="100" w:type="dxa"/>
              <w:right w:w="100" w:type="dxa"/>
            </w:tcMar>
          </w:tcPr>
          <w:p w:rsidR="00512DB7" w:rsidRPr="00512DB7" w:rsidRDefault="00512DB7" w:rsidP="009026FA">
            <w:pPr>
              <w:spacing w:after="0" w:line="240" w:lineRule="auto"/>
              <w:jc w:val="both"/>
              <w:rPr>
                <w:rFonts w:asciiTheme="majorHAnsi" w:hAnsiTheme="majorHAnsi" w:cstheme="majorHAnsi"/>
                <w:highlight w:val="white"/>
              </w:rPr>
            </w:pPr>
            <w:r w:rsidRPr="00512DB7">
              <w:rPr>
                <w:rFonts w:asciiTheme="majorHAnsi" w:hAnsiTheme="majorHAnsi" w:cstheme="majorHAnsi"/>
                <w:highlight w:val="white"/>
              </w:rPr>
              <w:t xml:space="preserve">En la Estrategia Nacional contra el LA/FT/FPADM elaborada para el periodo 2017-2020 se contempla las medidas a adoptar por las distintas autoridades competentes del Estado uruguayo. Esta estrategia contiene un plan de acción que establece 16 objetivos, con metas y acciones a desarrollar. </w:t>
            </w:r>
          </w:p>
          <w:p w:rsidR="00512DB7" w:rsidRPr="00512DB7" w:rsidRDefault="00512DB7" w:rsidP="009026FA">
            <w:pPr>
              <w:spacing w:after="0" w:line="240" w:lineRule="auto"/>
              <w:jc w:val="both"/>
              <w:rPr>
                <w:rFonts w:asciiTheme="majorHAnsi" w:hAnsiTheme="majorHAnsi" w:cstheme="majorHAnsi"/>
                <w:highlight w:val="white"/>
              </w:rPr>
            </w:pPr>
            <w:r w:rsidRPr="00512DB7">
              <w:rPr>
                <w:rFonts w:asciiTheme="majorHAnsi" w:hAnsiTheme="majorHAnsi" w:cstheme="majorHAnsi"/>
                <w:highlight w:val="white"/>
              </w:rPr>
              <w:t>Uno de los objetivos vinculados al fortalecimiento general del sistema ALA/CFT se dirige a fortalecer el conocimiento de los riesgos de LA/FT a los que se encuentra expuesto el país, así como las políticas y medidas diseñadas para mitigarlos.</w:t>
            </w:r>
          </w:p>
        </w:tc>
      </w:tr>
      <w:tr w:rsidR="00512DB7" w:rsidRPr="00512DB7" w:rsidTr="009026FA">
        <w:trPr>
          <w:trHeight w:val="13"/>
        </w:trPr>
        <w:tc>
          <w:tcPr>
            <w:tcW w:w="778"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12DB7" w:rsidRPr="00512DB7" w:rsidRDefault="00512DB7" w:rsidP="009026FA">
            <w:pPr>
              <w:spacing w:after="0" w:line="240" w:lineRule="auto"/>
              <w:jc w:val="center"/>
              <w:rPr>
                <w:rFonts w:asciiTheme="majorHAnsi" w:eastAsia="Times New Roman" w:hAnsiTheme="majorHAnsi" w:cstheme="majorHAnsi"/>
                <w:b/>
              </w:rPr>
            </w:pPr>
            <w:r w:rsidRPr="00512DB7">
              <w:rPr>
                <w:rFonts w:asciiTheme="majorHAnsi" w:eastAsia="Times New Roman" w:hAnsiTheme="majorHAnsi" w:cstheme="majorHAnsi"/>
                <w:b/>
              </w:rPr>
              <w:t>Colombia</w:t>
            </w:r>
          </w:p>
        </w:tc>
        <w:tc>
          <w:tcPr>
            <w:tcW w:w="4222" w:type="pct"/>
            <w:tcBorders>
              <w:top w:val="nil"/>
              <w:left w:val="nil"/>
              <w:bottom w:val="single" w:sz="8" w:space="0" w:color="000000"/>
              <w:right w:val="single" w:sz="8" w:space="0" w:color="000000"/>
            </w:tcBorders>
            <w:tcMar>
              <w:top w:w="100" w:type="dxa"/>
              <w:left w:w="100" w:type="dxa"/>
              <w:bottom w:w="100" w:type="dxa"/>
              <w:right w:w="100" w:type="dxa"/>
            </w:tcMar>
          </w:tcPr>
          <w:p w:rsidR="00512DB7" w:rsidRDefault="00512DB7" w:rsidP="009026FA">
            <w:pPr>
              <w:spacing w:after="0" w:line="240" w:lineRule="auto"/>
              <w:jc w:val="both"/>
              <w:rPr>
                <w:rFonts w:asciiTheme="majorHAnsi" w:hAnsiTheme="majorHAnsi" w:cstheme="majorHAnsi"/>
                <w:highlight w:val="white"/>
              </w:rPr>
            </w:pPr>
            <w:r w:rsidRPr="00512DB7">
              <w:rPr>
                <w:rFonts w:asciiTheme="majorHAnsi" w:hAnsiTheme="majorHAnsi" w:cstheme="majorHAnsi"/>
                <w:highlight w:val="white"/>
              </w:rPr>
              <w:t>La nueva Política Nacional Antilavado de Activos, Contra la Financiación del Terrorismo y Contra la Financiación de la Proliferación de Armas de Destrucción Masiva, está contenida en el documento del Consejo Nacional de Política Económica y Social -CONPES- 4042 del 2021.</w:t>
            </w:r>
          </w:p>
          <w:p w:rsidR="00512DB7" w:rsidRPr="00512DB7" w:rsidRDefault="00512DB7" w:rsidP="009026FA">
            <w:pPr>
              <w:spacing w:after="0" w:line="240" w:lineRule="auto"/>
              <w:jc w:val="both"/>
              <w:rPr>
                <w:rFonts w:asciiTheme="majorHAnsi" w:hAnsiTheme="majorHAnsi" w:cstheme="majorHAnsi"/>
                <w:highlight w:val="white"/>
              </w:rPr>
            </w:pPr>
          </w:p>
          <w:p w:rsidR="00512DB7" w:rsidRPr="00512DB7" w:rsidRDefault="00512DB7" w:rsidP="009026FA">
            <w:pPr>
              <w:spacing w:after="0" w:line="240" w:lineRule="auto"/>
              <w:jc w:val="both"/>
              <w:rPr>
                <w:rFonts w:asciiTheme="majorHAnsi" w:hAnsiTheme="majorHAnsi" w:cstheme="majorHAnsi"/>
                <w:highlight w:val="white"/>
              </w:rPr>
            </w:pPr>
            <w:r w:rsidRPr="00512DB7">
              <w:rPr>
                <w:rFonts w:asciiTheme="majorHAnsi" w:hAnsiTheme="majorHAnsi" w:cstheme="majorHAnsi"/>
                <w:highlight w:val="white"/>
              </w:rPr>
              <w:t>En este último se planteó como una línea de acción promover planes de capacitación que contribuyan a cerrar las brechas en el entendimiento de los fenómenos de LA/FT/FPADM. Con el propósito de disminuir las asimetrías en el entendimiento de estos fenómenos la UIAF, con el apoyo de las demás entidades que conforman dicho sistema, desarrollará e implementará una Plataforma de Entrenamiento Multidimensional (PEM). El cual comprende un modelo pedagógico y una certificación académica. Aunado a ello, la PEM conseguirá que todos los actores profundicen sobre su propio rol dentro de la cadena de prevención, detección, investigación y judicialización, así como sobre el rol y las necesidades de información de los otros componentes del Sistema ALA/CFT de las que directamente no hace parte. Esta acción iniciará en el mes de agosto de 2021 y se desarrollará hasta diciembre de 2024.</w:t>
            </w:r>
          </w:p>
        </w:tc>
      </w:tr>
    </w:tbl>
    <w:p w:rsidR="00512DB7" w:rsidRDefault="00512DB7">
      <w:pPr>
        <w:rPr>
          <w:rFonts w:asciiTheme="majorHAnsi" w:hAnsiTheme="majorHAnsi" w:cstheme="majorHAnsi"/>
          <w:highlight w:val="white"/>
        </w:rPr>
      </w:pPr>
    </w:p>
    <w:p w:rsidR="00E22D7A" w:rsidRPr="006B3CBE" w:rsidRDefault="00E22D7A" w:rsidP="006B3CBE">
      <w:pPr>
        <w:jc w:val="both"/>
        <w:rPr>
          <w:rFonts w:asciiTheme="majorHAnsi" w:eastAsia="Roboto" w:hAnsiTheme="majorHAnsi" w:cstheme="majorHAnsi"/>
        </w:rPr>
      </w:pPr>
    </w:p>
    <w:p w:rsidR="006B3CBE" w:rsidRPr="00234B7D" w:rsidRDefault="00D828C7" w:rsidP="006B3CBE">
      <w:pPr>
        <w:jc w:val="both"/>
        <w:rPr>
          <w:rFonts w:asciiTheme="majorHAnsi" w:eastAsia="Roboto" w:hAnsiTheme="majorHAnsi" w:cstheme="majorHAnsi"/>
          <w:b/>
        </w:rPr>
      </w:pPr>
      <w:r>
        <w:rPr>
          <w:rFonts w:asciiTheme="majorHAnsi" w:eastAsia="Roboto" w:hAnsiTheme="majorHAnsi" w:cstheme="majorHAnsi"/>
          <w:b/>
        </w:rPr>
        <w:t>3</w:t>
      </w:r>
      <w:r w:rsidR="006B3CBE" w:rsidRPr="00234B7D">
        <w:rPr>
          <w:rFonts w:asciiTheme="majorHAnsi" w:eastAsia="Roboto" w:hAnsiTheme="majorHAnsi" w:cstheme="majorHAnsi"/>
          <w:b/>
        </w:rPr>
        <w:t xml:space="preserve">. Diseño de </w:t>
      </w:r>
      <w:r w:rsidR="003655D7">
        <w:rPr>
          <w:rFonts w:asciiTheme="majorHAnsi" w:eastAsia="Roboto" w:hAnsiTheme="majorHAnsi" w:cstheme="majorHAnsi"/>
          <w:b/>
        </w:rPr>
        <w:t>herramientas</w:t>
      </w:r>
      <w:r w:rsidR="006B3CBE" w:rsidRPr="00234B7D">
        <w:rPr>
          <w:rFonts w:asciiTheme="majorHAnsi" w:eastAsia="Roboto" w:hAnsiTheme="majorHAnsi" w:cstheme="majorHAnsi"/>
          <w:b/>
        </w:rPr>
        <w:t xml:space="preserve"> que ayuden</w:t>
      </w:r>
      <w:r w:rsidR="0034645F">
        <w:rPr>
          <w:rFonts w:asciiTheme="majorHAnsi" w:eastAsia="Roboto" w:hAnsiTheme="majorHAnsi" w:cstheme="majorHAnsi"/>
          <w:b/>
        </w:rPr>
        <w:t xml:space="preserve"> </w:t>
      </w:r>
      <w:r w:rsidR="0034645F" w:rsidRPr="0034645F">
        <w:rPr>
          <w:rFonts w:asciiTheme="majorHAnsi" w:eastAsia="Roboto" w:hAnsiTheme="majorHAnsi" w:cstheme="majorHAnsi"/>
          <w:b/>
          <w:highlight w:val="yellow"/>
        </w:rPr>
        <w:t>a los SO</w:t>
      </w:r>
      <w:r w:rsidR="006B3CBE" w:rsidRPr="00234B7D">
        <w:rPr>
          <w:rFonts w:asciiTheme="majorHAnsi" w:eastAsia="Roboto" w:hAnsiTheme="majorHAnsi" w:cstheme="majorHAnsi"/>
          <w:b/>
        </w:rPr>
        <w:t xml:space="preserve"> a fortalecer la implementación del SPLAFT con un EBR </w:t>
      </w:r>
    </w:p>
    <w:p w:rsidR="006B3CBE" w:rsidRPr="006B3CBE" w:rsidRDefault="006B3CBE" w:rsidP="006B3CBE">
      <w:pPr>
        <w:spacing w:before="240"/>
        <w:jc w:val="both"/>
        <w:rPr>
          <w:rFonts w:asciiTheme="majorHAnsi" w:hAnsiTheme="majorHAnsi" w:cstheme="majorHAnsi"/>
          <w:highlight w:val="white"/>
        </w:rPr>
      </w:pPr>
      <w:r w:rsidRPr="006B3CBE">
        <w:rPr>
          <w:rFonts w:asciiTheme="majorHAnsi" w:hAnsiTheme="majorHAnsi" w:cstheme="majorHAnsi"/>
          <w:highlight w:val="white"/>
        </w:rPr>
        <w:t>Esta alternativa implica la preparación de herramientas que faciliten a los sujetos obligados</w:t>
      </w:r>
      <w:r w:rsidR="005B0F57">
        <w:rPr>
          <w:rFonts w:asciiTheme="majorHAnsi" w:hAnsiTheme="majorHAnsi" w:cstheme="majorHAnsi"/>
          <w:highlight w:val="white"/>
        </w:rPr>
        <w:t xml:space="preserve"> </w:t>
      </w:r>
      <w:r w:rsidR="005B0F57" w:rsidRPr="005B0F57">
        <w:rPr>
          <w:rFonts w:asciiTheme="majorHAnsi" w:hAnsiTheme="majorHAnsi" w:cstheme="majorHAnsi"/>
          <w:highlight w:val="yellow"/>
        </w:rPr>
        <w:t>(en general)</w:t>
      </w:r>
      <w:r w:rsidRPr="006B3CBE">
        <w:rPr>
          <w:rFonts w:asciiTheme="majorHAnsi" w:hAnsiTheme="majorHAnsi" w:cstheme="majorHAnsi"/>
          <w:highlight w:val="white"/>
        </w:rPr>
        <w:t xml:space="preserve"> el diseño, la planeación e implementación de los sistemas de prevención de lavado de activos con EBR en sus respectivos sectores. Esta alternativa debe contemplar un público diferenciado de acuerdo a las características de los SO, los sectores de los que provienen, su naturaleza (persona jurídica o persona natural) y sus recursos disponibles (diferencia entre grandes, medianas y pequeñas empresas). Asimismo, estas herramientas deberán considerar modelos con enfoque práctico que faciliten la implementación de un sistema de prevención.</w:t>
      </w:r>
    </w:p>
    <w:p w:rsidR="006B3CBE" w:rsidRPr="006B3CBE" w:rsidRDefault="006B3CBE" w:rsidP="006B3CBE">
      <w:pPr>
        <w:spacing w:before="240"/>
        <w:jc w:val="both"/>
        <w:rPr>
          <w:rFonts w:asciiTheme="majorHAnsi" w:hAnsiTheme="majorHAnsi" w:cstheme="majorHAnsi"/>
          <w:b/>
        </w:rPr>
      </w:pPr>
      <w:r w:rsidRPr="006B3CBE">
        <w:rPr>
          <w:rFonts w:asciiTheme="majorHAnsi" w:hAnsiTheme="majorHAnsi" w:cstheme="majorHAnsi"/>
          <w:highlight w:val="white"/>
        </w:rPr>
        <w:t xml:space="preserve">Siguiendo esta línea, se ha podido identificar referencias regionales que buscan fortalecer la implementación de un SPLAFT con EBR en temas similares: </w:t>
      </w:r>
      <w:r w:rsidRPr="006B3CBE">
        <w:rPr>
          <w:rFonts w:asciiTheme="majorHAnsi" w:hAnsiTheme="majorHAnsi" w:cstheme="majorHAnsi"/>
          <w:b/>
        </w:rPr>
        <w:t xml:space="preserve">  </w:t>
      </w:r>
    </w:p>
    <w:tbl>
      <w:tblPr>
        <w:tblW w:w="5000" w:type="pct"/>
        <w:tblBorders>
          <w:top w:val="nil"/>
          <w:left w:val="nil"/>
          <w:bottom w:val="nil"/>
          <w:right w:val="nil"/>
          <w:insideH w:val="nil"/>
          <w:insideV w:val="nil"/>
        </w:tblBorders>
        <w:tblLook w:val="0600" w:firstRow="0" w:lastRow="0" w:firstColumn="0" w:lastColumn="0" w:noHBand="1" w:noVBand="1"/>
      </w:tblPr>
      <w:tblGrid>
        <w:gridCol w:w="1320"/>
        <w:gridCol w:w="7164"/>
      </w:tblGrid>
      <w:tr w:rsidR="006B3CBE" w:rsidRPr="006B3CBE" w:rsidTr="00C30FF9">
        <w:trPr>
          <w:trHeight w:val="360"/>
        </w:trPr>
        <w:tc>
          <w:tcPr>
            <w:tcW w:w="778" w:type="pct"/>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tcPr>
          <w:p w:rsidR="006B3CBE" w:rsidRPr="006B3CBE" w:rsidRDefault="006B3CBE" w:rsidP="00C30FF9">
            <w:pPr>
              <w:spacing w:after="0" w:line="240" w:lineRule="auto"/>
              <w:jc w:val="center"/>
              <w:rPr>
                <w:rFonts w:asciiTheme="majorHAnsi" w:hAnsiTheme="majorHAnsi" w:cstheme="majorHAnsi"/>
                <w:b/>
              </w:rPr>
            </w:pPr>
            <w:r w:rsidRPr="006B3CBE">
              <w:rPr>
                <w:rFonts w:asciiTheme="majorHAnsi" w:hAnsiTheme="majorHAnsi" w:cstheme="majorHAnsi"/>
                <w:b/>
              </w:rPr>
              <w:lastRenderedPageBreak/>
              <w:t>País</w:t>
            </w:r>
          </w:p>
        </w:tc>
        <w:tc>
          <w:tcPr>
            <w:tcW w:w="4222" w:type="pct"/>
            <w:tcBorders>
              <w:top w:val="single" w:sz="8" w:space="0" w:color="000000"/>
              <w:left w:val="nil"/>
              <w:bottom w:val="single" w:sz="8" w:space="0" w:color="000000"/>
              <w:right w:val="single" w:sz="8" w:space="0" w:color="000000"/>
            </w:tcBorders>
            <w:shd w:val="clear" w:color="auto" w:fill="BDD6EE"/>
            <w:tcMar>
              <w:top w:w="100" w:type="dxa"/>
              <w:left w:w="100" w:type="dxa"/>
              <w:bottom w:w="100" w:type="dxa"/>
              <w:right w:w="100" w:type="dxa"/>
            </w:tcMar>
          </w:tcPr>
          <w:p w:rsidR="006B3CBE" w:rsidRPr="006B3CBE" w:rsidRDefault="00C30FF9" w:rsidP="00C30FF9">
            <w:pPr>
              <w:spacing w:after="0" w:line="240" w:lineRule="auto"/>
              <w:jc w:val="center"/>
              <w:rPr>
                <w:rFonts w:asciiTheme="majorHAnsi" w:hAnsiTheme="majorHAnsi" w:cstheme="majorHAnsi"/>
                <w:b/>
              </w:rPr>
            </w:pPr>
            <w:r>
              <w:rPr>
                <w:rFonts w:asciiTheme="majorHAnsi" w:hAnsiTheme="majorHAnsi" w:cstheme="majorHAnsi"/>
                <w:b/>
              </w:rPr>
              <w:t>Experiencia</w:t>
            </w:r>
          </w:p>
        </w:tc>
      </w:tr>
      <w:tr w:rsidR="006B3CBE" w:rsidRPr="006B3CBE" w:rsidTr="00512DB7">
        <w:trPr>
          <w:trHeight w:val="1370"/>
        </w:trPr>
        <w:tc>
          <w:tcPr>
            <w:tcW w:w="778"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B3CBE" w:rsidRPr="006B3CBE" w:rsidRDefault="006B3CBE" w:rsidP="00512DB7">
            <w:pPr>
              <w:spacing w:after="0" w:line="240" w:lineRule="auto"/>
              <w:jc w:val="both"/>
              <w:rPr>
                <w:rFonts w:asciiTheme="majorHAnsi" w:hAnsiTheme="majorHAnsi" w:cstheme="majorHAnsi"/>
                <w:b/>
              </w:rPr>
            </w:pPr>
            <w:r w:rsidRPr="006B3CBE">
              <w:rPr>
                <w:rFonts w:asciiTheme="majorHAnsi" w:hAnsiTheme="majorHAnsi" w:cstheme="majorHAnsi"/>
                <w:b/>
              </w:rPr>
              <w:t>Chile</w:t>
            </w:r>
          </w:p>
        </w:tc>
        <w:tc>
          <w:tcPr>
            <w:tcW w:w="4222" w:type="pct"/>
            <w:tcBorders>
              <w:top w:val="nil"/>
              <w:left w:val="nil"/>
              <w:bottom w:val="single" w:sz="8" w:space="0" w:color="000000"/>
              <w:right w:val="single" w:sz="8" w:space="0" w:color="000000"/>
            </w:tcBorders>
            <w:tcMar>
              <w:top w:w="100" w:type="dxa"/>
              <w:left w:w="100" w:type="dxa"/>
              <w:bottom w:w="100" w:type="dxa"/>
              <w:right w:w="100" w:type="dxa"/>
            </w:tcMar>
          </w:tcPr>
          <w:p w:rsidR="006B3CBE" w:rsidRDefault="006B3CBE" w:rsidP="00512DB7">
            <w:pPr>
              <w:spacing w:after="0" w:line="240" w:lineRule="auto"/>
              <w:jc w:val="both"/>
              <w:rPr>
                <w:rFonts w:asciiTheme="majorHAnsi" w:hAnsiTheme="majorHAnsi" w:cstheme="majorHAnsi"/>
                <w:highlight w:val="white"/>
              </w:rPr>
            </w:pPr>
            <w:r w:rsidRPr="006B3CBE">
              <w:rPr>
                <w:rFonts w:asciiTheme="majorHAnsi" w:hAnsiTheme="majorHAnsi" w:cstheme="majorHAnsi"/>
                <w:highlight w:val="white"/>
              </w:rPr>
              <w:t>Dentro de la Estrategia Nacional para Prevenir y Combatir el Lavado de Activos y el Financiamiento del Terrorismo y Plan de Acción 2018-2020, se planteó como una acción el: Generar insumos, guías prácticas y materiales de ayuda para la mejor implementación del Enfoque Basado en Riesgos (EBR) por parte de los sujetos obligados en el cumplimiento de la normativa ALA/CFT.</w:t>
            </w:r>
          </w:p>
          <w:p w:rsidR="00905345" w:rsidRDefault="00905345" w:rsidP="00512DB7">
            <w:pPr>
              <w:spacing w:after="0" w:line="240" w:lineRule="auto"/>
              <w:jc w:val="both"/>
              <w:rPr>
                <w:rFonts w:asciiTheme="majorHAnsi" w:hAnsiTheme="majorHAnsi" w:cstheme="majorHAnsi"/>
                <w:highlight w:val="white"/>
              </w:rPr>
            </w:pPr>
          </w:p>
          <w:p w:rsidR="00905345" w:rsidRPr="006B3CBE" w:rsidRDefault="00905345" w:rsidP="00905345">
            <w:pPr>
              <w:spacing w:after="0" w:line="240" w:lineRule="auto"/>
              <w:jc w:val="both"/>
              <w:rPr>
                <w:rFonts w:asciiTheme="majorHAnsi" w:hAnsiTheme="majorHAnsi" w:cstheme="majorHAnsi"/>
                <w:highlight w:val="white"/>
              </w:rPr>
            </w:pPr>
            <w:r>
              <w:rPr>
                <w:rFonts w:asciiTheme="majorHAnsi" w:hAnsiTheme="majorHAnsi" w:cstheme="majorHAnsi"/>
                <w:highlight w:val="white"/>
              </w:rPr>
              <w:t>Asimismo</w:t>
            </w:r>
            <w:r w:rsidRPr="006B3CBE">
              <w:rPr>
                <w:rFonts w:asciiTheme="majorHAnsi" w:hAnsiTheme="majorHAnsi" w:cstheme="majorHAnsi"/>
                <w:highlight w:val="white"/>
              </w:rPr>
              <w:t>, consideramos una buena práctica el</w:t>
            </w:r>
            <w:r>
              <w:rPr>
                <w:rFonts w:asciiTheme="majorHAnsi" w:hAnsiTheme="majorHAnsi" w:cstheme="majorHAnsi"/>
                <w:highlight w:val="white"/>
              </w:rPr>
              <w:t xml:space="preserve"> </w:t>
            </w:r>
            <w:r w:rsidRPr="006B3CBE">
              <w:rPr>
                <w:rFonts w:asciiTheme="majorHAnsi" w:hAnsiTheme="majorHAnsi" w:cstheme="majorHAnsi"/>
                <w:highlight w:val="white"/>
              </w:rPr>
              <w:t>Modelo para Formular e Implementar un Sistema de Prevención de Lavado de Activos, Financiamiento del Terrorismo y Delitos Funcionarios elaborado por la Unidad de Análisis Financiero de Chile. El propósito de dicho documento es servir de modelo para la formulación e implementación de un Sistema de Prevención de Lavado de Activos, entre otros, en las instituciones y órganos públicos. Este documento propone que cada organización deberá analizar los componentes del Modelo para implementar el sistema de prevención, de acuerdo a la naturaleza, características y sector en el cual se desarrollan.</w:t>
            </w:r>
          </w:p>
        </w:tc>
      </w:tr>
      <w:tr w:rsidR="006B3CBE" w:rsidRPr="006B3CBE" w:rsidTr="00905345">
        <w:trPr>
          <w:trHeight w:val="525"/>
        </w:trPr>
        <w:tc>
          <w:tcPr>
            <w:tcW w:w="778" w:type="pct"/>
            <w:tcBorders>
              <w:top w:val="nil"/>
              <w:left w:val="single" w:sz="8" w:space="0" w:color="000000"/>
              <w:bottom w:val="nil"/>
              <w:right w:val="single" w:sz="8" w:space="0" w:color="000000"/>
            </w:tcBorders>
            <w:tcMar>
              <w:top w:w="100" w:type="dxa"/>
              <w:left w:w="100" w:type="dxa"/>
              <w:bottom w:w="100" w:type="dxa"/>
              <w:right w:w="100" w:type="dxa"/>
            </w:tcMar>
          </w:tcPr>
          <w:p w:rsidR="006B3CBE" w:rsidRPr="006B3CBE" w:rsidRDefault="006B3CBE" w:rsidP="00512DB7">
            <w:pPr>
              <w:spacing w:after="0" w:line="240" w:lineRule="auto"/>
              <w:rPr>
                <w:rFonts w:asciiTheme="majorHAnsi" w:hAnsiTheme="majorHAnsi" w:cstheme="majorHAnsi"/>
                <w:b/>
              </w:rPr>
            </w:pPr>
            <w:r w:rsidRPr="006B3CBE">
              <w:rPr>
                <w:rFonts w:asciiTheme="majorHAnsi" w:hAnsiTheme="majorHAnsi" w:cstheme="majorHAnsi"/>
                <w:b/>
              </w:rPr>
              <w:t>República Dominicana</w:t>
            </w:r>
          </w:p>
        </w:tc>
        <w:tc>
          <w:tcPr>
            <w:tcW w:w="4222" w:type="pct"/>
            <w:tcBorders>
              <w:top w:val="nil"/>
              <w:left w:val="nil"/>
              <w:bottom w:val="single" w:sz="4" w:space="0" w:color="auto"/>
              <w:right w:val="single" w:sz="8" w:space="0" w:color="000000"/>
            </w:tcBorders>
            <w:tcMar>
              <w:top w:w="100" w:type="dxa"/>
              <w:left w:w="100" w:type="dxa"/>
              <w:bottom w:w="100" w:type="dxa"/>
              <w:right w:w="100" w:type="dxa"/>
            </w:tcMar>
          </w:tcPr>
          <w:p w:rsidR="006B3CBE" w:rsidRPr="006B3CBE" w:rsidRDefault="006B3CBE" w:rsidP="00512DB7">
            <w:pPr>
              <w:spacing w:after="0" w:line="240" w:lineRule="auto"/>
              <w:jc w:val="both"/>
              <w:rPr>
                <w:rFonts w:asciiTheme="majorHAnsi" w:hAnsiTheme="majorHAnsi" w:cstheme="majorHAnsi"/>
                <w:highlight w:val="white"/>
              </w:rPr>
            </w:pPr>
            <w:r w:rsidRPr="006B3CBE">
              <w:rPr>
                <w:rFonts w:asciiTheme="majorHAnsi" w:hAnsiTheme="majorHAnsi" w:cstheme="majorHAnsi"/>
                <w:highlight w:val="white"/>
              </w:rPr>
              <w:t>El Comité Nacional contra el Lavado de Activos y Financiamiento del Terrorismo (CONCLAFIT) de la República Dominicana emitió una Guía para la imple</w:t>
            </w:r>
            <w:r w:rsidR="00512DB7">
              <w:rPr>
                <w:rFonts w:asciiTheme="majorHAnsi" w:hAnsiTheme="majorHAnsi" w:cstheme="majorHAnsi"/>
                <w:highlight w:val="white"/>
              </w:rPr>
              <w:t>me</w:t>
            </w:r>
            <w:r w:rsidRPr="006B3CBE">
              <w:rPr>
                <w:rFonts w:asciiTheme="majorHAnsi" w:hAnsiTheme="majorHAnsi" w:cstheme="majorHAnsi"/>
                <w:highlight w:val="white"/>
              </w:rPr>
              <w:t>ntación de un Sistema de Administración de Riesgo de Prevención de Lavado de Activos y Financiamiento del Terrorismo. Esta guía contiene los elementos básicos para la implementación de un sistema de administración de riesgo de prevención de Lavado de Activos. Fue elaborada tomando en consideración los estándares internacionales de la materia y las regulaciones locales, con el fin de facilitar la identificación, medición, control, mitigación y monitoreo de los riesgos de lavado de activos y financiamiento del terrorismo a los que se pueden exponer los sujetos obligados durante el desarrollo de sus actividades comerciales. Este documento tiene por propósito trazar las pautas generales para el proceso de gestión de riesgos de LA/FT y contiene elementos básicos para orientar a los sujetos obligados que se encuentran en una etapa inicial de desarrollo de su sistema.</w:t>
            </w:r>
          </w:p>
        </w:tc>
      </w:tr>
      <w:tr w:rsidR="00905345" w:rsidRPr="006B3CBE" w:rsidTr="00905345">
        <w:trPr>
          <w:trHeight w:val="525"/>
        </w:trPr>
        <w:tc>
          <w:tcPr>
            <w:tcW w:w="778" w:type="pct"/>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905345" w:rsidRPr="006B3CBE" w:rsidRDefault="00905345" w:rsidP="00512DB7">
            <w:pPr>
              <w:spacing w:after="0" w:line="240" w:lineRule="auto"/>
              <w:rPr>
                <w:rFonts w:asciiTheme="majorHAnsi" w:hAnsiTheme="majorHAnsi" w:cstheme="majorHAnsi"/>
                <w:b/>
              </w:rPr>
            </w:pPr>
            <w:r>
              <w:rPr>
                <w:rFonts w:asciiTheme="majorHAnsi" w:hAnsiTheme="majorHAnsi" w:cstheme="majorHAnsi"/>
                <w:b/>
              </w:rPr>
              <w:t>Colombia</w:t>
            </w:r>
          </w:p>
        </w:tc>
        <w:tc>
          <w:tcPr>
            <w:tcW w:w="4222" w:type="pct"/>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905345" w:rsidRPr="006B3CBE" w:rsidRDefault="00905345" w:rsidP="00905345">
            <w:pPr>
              <w:spacing w:before="240"/>
              <w:jc w:val="both"/>
              <w:rPr>
                <w:rFonts w:asciiTheme="majorHAnsi" w:hAnsiTheme="majorHAnsi" w:cstheme="majorHAnsi"/>
                <w:highlight w:val="white"/>
              </w:rPr>
            </w:pPr>
            <w:r>
              <w:rPr>
                <w:rFonts w:asciiTheme="majorHAnsi" w:hAnsiTheme="majorHAnsi" w:cstheme="majorHAnsi"/>
                <w:highlight w:val="white"/>
              </w:rPr>
              <w:t>La</w:t>
            </w:r>
            <w:r w:rsidRPr="006B3CBE">
              <w:rPr>
                <w:rFonts w:asciiTheme="majorHAnsi" w:hAnsiTheme="majorHAnsi" w:cstheme="majorHAnsi"/>
                <w:highlight w:val="white"/>
              </w:rPr>
              <w:t xml:space="preserve"> Cámara de Comercio de Bogotá junto con la Oficina de las Naciones Unidas contra la Droga y el Delito (UNODC) publicaron un Modelo de Gestión de Riesgos de LA/FT para el sector real. El propósito de esta guía es la adopción de un Sistema de Gestión de Riesgo de LA y FT para el sector real, recoge criterios y métodos uniformes para el desarrollo e implementación de un Sistema de Gestión del Riesgo de LA/FT, y reconoce el riesgo de cada empresa.</w:t>
            </w:r>
          </w:p>
          <w:p w:rsidR="00905345" w:rsidRPr="006B3CBE" w:rsidRDefault="00905345" w:rsidP="00512DB7">
            <w:pPr>
              <w:spacing w:after="0" w:line="240" w:lineRule="auto"/>
              <w:jc w:val="both"/>
              <w:rPr>
                <w:rFonts w:asciiTheme="majorHAnsi" w:hAnsiTheme="majorHAnsi" w:cstheme="majorHAnsi"/>
                <w:highlight w:val="white"/>
              </w:rPr>
            </w:pPr>
          </w:p>
        </w:tc>
      </w:tr>
    </w:tbl>
    <w:p w:rsidR="006B3CBE" w:rsidRPr="006B3CBE" w:rsidRDefault="006B3CBE" w:rsidP="006B3CBE">
      <w:pPr>
        <w:spacing w:before="240"/>
        <w:jc w:val="both"/>
        <w:rPr>
          <w:rFonts w:asciiTheme="majorHAnsi" w:hAnsiTheme="majorHAnsi" w:cstheme="majorHAnsi"/>
          <w:highlight w:val="white"/>
        </w:rPr>
      </w:pPr>
      <w:r w:rsidRPr="006B3CBE">
        <w:rPr>
          <w:rFonts w:asciiTheme="majorHAnsi" w:hAnsiTheme="majorHAnsi" w:cstheme="majorHAnsi"/>
          <w:highlight w:val="white"/>
        </w:rPr>
        <w:t>Cabe mencionar que, en el ámbito nacional, la UIF ha publicado en su portal web una serie de guías con el objeto de que sirvan de instrumentos de apoyo para el cumplimiento de las obligaciones del SPLAFT de los sujetos obligados supervisados por la UIF, entre las cuales destacan:</w:t>
      </w:r>
    </w:p>
    <w:p w:rsidR="006B3CBE" w:rsidRPr="006B3CBE" w:rsidRDefault="006B3CBE" w:rsidP="00234B7D">
      <w:pPr>
        <w:numPr>
          <w:ilvl w:val="0"/>
          <w:numId w:val="8"/>
        </w:numPr>
        <w:spacing w:after="0" w:line="240" w:lineRule="auto"/>
        <w:ind w:left="714" w:hanging="357"/>
        <w:jc w:val="both"/>
        <w:rPr>
          <w:rFonts w:asciiTheme="majorHAnsi" w:hAnsiTheme="majorHAnsi" w:cstheme="majorHAnsi"/>
          <w:highlight w:val="white"/>
        </w:rPr>
      </w:pPr>
      <w:r w:rsidRPr="006B3CBE">
        <w:rPr>
          <w:rFonts w:asciiTheme="majorHAnsi" w:hAnsiTheme="majorHAnsi" w:cstheme="majorHAnsi"/>
          <w:highlight w:val="white"/>
        </w:rPr>
        <w:t>Guía para la debida diligencia en el conocimiento del cliente con un enfoque basado en riesgos, con énfasis en el régimen reforzado, dirigida al sector notarial.</w:t>
      </w:r>
    </w:p>
    <w:p w:rsidR="006B3CBE" w:rsidRPr="006B3CBE" w:rsidRDefault="006B3CBE" w:rsidP="00234B7D">
      <w:pPr>
        <w:numPr>
          <w:ilvl w:val="0"/>
          <w:numId w:val="8"/>
        </w:numPr>
        <w:spacing w:after="0" w:line="240" w:lineRule="auto"/>
        <w:ind w:left="714" w:hanging="357"/>
        <w:jc w:val="both"/>
        <w:rPr>
          <w:rFonts w:asciiTheme="majorHAnsi" w:hAnsiTheme="majorHAnsi" w:cstheme="majorHAnsi"/>
          <w:highlight w:val="white"/>
        </w:rPr>
      </w:pPr>
      <w:r w:rsidRPr="006B3CBE">
        <w:rPr>
          <w:rFonts w:asciiTheme="majorHAnsi" w:hAnsiTheme="majorHAnsi" w:cstheme="majorHAnsi"/>
          <w:highlight w:val="white"/>
        </w:rPr>
        <w:lastRenderedPageBreak/>
        <w:t>Guía para la aplicación de la debida diligencia en el conocimiento del cliente con un enfoque basado en riesgos dirigida a la actividad de compraventa de vehículos nuevos.</w:t>
      </w:r>
    </w:p>
    <w:p w:rsidR="006B3CBE" w:rsidRPr="006B3CBE" w:rsidRDefault="006B3CBE" w:rsidP="00234B7D">
      <w:pPr>
        <w:numPr>
          <w:ilvl w:val="0"/>
          <w:numId w:val="8"/>
        </w:numPr>
        <w:spacing w:after="0" w:line="240" w:lineRule="auto"/>
        <w:ind w:left="714" w:hanging="357"/>
        <w:jc w:val="both"/>
        <w:rPr>
          <w:rFonts w:asciiTheme="majorHAnsi" w:hAnsiTheme="majorHAnsi" w:cstheme="majorHAnsi"/>
          <w:highlight w:val="white"/>
        </w:rPr>
      </w:pPr>
      <w:r w:rsidRPr="000B6C33">
        <w:rPr>
          <w:rFonts w:asciiTheme="majorHAnsi" w:hAnsiTheme="majorHAnsi" w:cstheme="majorHAnsi"/>
          <w:highlight w:val="white"/>
        </w:rPr>
        <w:t>Guía para la aplicación de la debida diligencia en el conocimiento del cliente con un enfoque basado en riesgos, dirigida al sector construcción y/o inmobiliario.</w:t>
      </w:r>
    </w:p>
    <w:p w:rsidR="006B3CBE" w:rsidRPr="006B3CBE" w:rsidRDefault="006B3CBE" w:rsidP="00234B7D">
      <w:pPr>
        <w:numPr>
          <w:ilvl w:val="0"/>
          <w:numId w:val="8"/>
        </w:numPr>
        <w:spacing w:after="0" w:line="240" w:lineRule="auto"/>
        <w:ind w:left="714" w:hanging="357"/>
        <w:jc w:val="both"/>
        <w:rPr>
          <w:rFonts w:asciiTheme="majorHAnsi" w:hAnsiTheme="majorHAnsi" w:cstheme="majorHAnsi"/>
          <w:highlight w:val="white"/>
        </w:rPr>
      </w:pPr>
      <w:r w:rsidRPr="000B6C33">
        <w:rPr>
          <w:rFonts w:asciiTheme="majorHAnsi" w:hAnsiTheme="majorHAnsi" w:cstheme="majorHAnsi"/>
          <w:highlight w:val="white"/>
        </w:rPr>
        <w:t>Guía para la implementación del Sistema de Prevención del Lavado de Activos y de Financiamiento del Terrorismo con Enfoque Basado en Riesgos en el Sector de Compraventa de Divisas.</w:t>
      </w:r>
    </w:p>
    <w:p w:rsidR="006B3CBE" w:rsidRDefault="006B3CBE" w:rsidP="00234B7D">
      <w:pPr>
        <w:spacing w:before="120" w:after="120" w:line="240" w:lineRule="auto"/>
        <w:jc w:val="both"/>
        <w:rPr>
          <w:rFonts w:asciiTheme="majorHAnsi" w:hAnsiTheme="majorHAnsi" w:cstheme="majorHAnsi"/>
          <w:highlight w:val="white"/>
        </w:rPr>
      </w:pPr>
    </w:p>
    <w:p w:rsidR="006B3CBE" w:rsidRPr="00D62A0A" w:rsidRDefault="006B3CBE" w:rsidP="006F1BDA">
      <w:pPr>
        <w:pStyle w:val="Ttulo3"/>
        <w:ind w:left="0" w:hanging="11"/>
        <w:rPr>
          <w:b/>
          <w:color w:val="auto"/>
          <w:szCs w:val="23"/>
          <w:u w:val="single"/>
        </w:rPr>
      </w:pPr>
      <w:bookmarkStart w:id="19" w:name="_s80s5amfk4jy" w:colFirst="0" w:colLast="0"/>
      <w:bookmarkStart w:id="20" w:name="_Toc113360614"/>
      <w:bookmarkEnd w:id="19"/>
      <w:r w:rsidRPr="00D62A0A">
        <w:rPr>
          <w:b/>
          <w:color w:val="auto"/>
          <w:szCs w:val="23"/>
          <w:u w:val="single"/>
        </w:rPr>
        <w:t xml:space="preserve">Causa 3: </w:t>
      </w:r>
      <w:r w:rsidR="0002572F" w:rsidRPr="0002572F">
        <w:rPr>
          <w:b/>
          <w:color w:val="auto"/>
          <w:szCs w:val="23"/>
          <w:u w:val="single"/>
        </w:rPr>
        <w:t>Debilidad del Estado para combatir el LA</w:t>
      </w:r>
      <w:bookmarkEnd w:id="20"/>
    </w:p>
    <w:p w:rsidR="006B3CBE" w:rsidRPr="006B3CBE" w:rsidRDefault="006B3CBE" w:rsidP="00234B7D">
      <w:pPr>
        <w:spacing w:before="120" w:after="120" w:line="240" w:lineRule="auto"/>
        <w:jc w:val="both"/>
        <w:rPr>
          <w:rFonts w:asciiTheme="majorHAnsi" w:eastAsia="Roboto" w:hAnsiTheme="majorHAnsi" w:cstheme="majorHAnsi"/>
          <w:b/>
        </w:rPr>
      </w:pPr>
    </w:p>
    <w:p w:rsidR="006B3CBE" w:rsidRDefault="00D94538" w:rsidP="00234B7D">
      <w:pPr>
        <w:spacing w:before="120" w:after="120" w:line="240" w:lineRule="auto"/>
        <w:jc w:val="both"/>
        <w:rPr>
          <w:rFonts w:asciiTheme="majorHAnsi" w:eastAsia="Roboto" w:hAnsiTheme="majorHAnsi" w:cstheme="majorHAnsi"/>
          <w:b/>
        </w:rPr>
      </w:pPr>
      <w:r>
        <w:rPr>
          <w:rFonts w:asciiTheme="majorHAnsi" w:eastAsia="Roboto" w:hAnsiTheme="majorHAnsi" w:cstheme="majorHAnsi"/>
          <w:b/>
        </w:rPr>
        <w:t>4</w:t>
      </w:r>
      <w:r w:rsidR="006B3CBE" w:rsidRPr="006B3CBE">
        <w:rPr>
          <w:rFonts w:asciiTheme="majorHAnsi" w:eastAsia="Roboto" w:hAnsiTheme="majorHAnsi" w:cstheme="majorHAnsi"/>
          <w:b/>
        </w:rPr>
        <w:t xml:space="preserve">. Generar un marco normativo </w:t>
      </w:r>
      <w:r w:rsidR="00CE33CB" w:rsidRPr="00CE33CB">
        <w:rPr>
          <w:rFonts w:asciiTheme="majorHAnsi" w:eastAsia="Roboto" w:hAnsiTheme="majorHAnsi" w:cstheme="majorHAnsi"/>
          <w:b/>
          <w:highlight w:val="yellow"/>
        </w:rPr>
        <w:t>integral</w:t>
      </w:r>
      <w:r w:rsidR="00CE33CB">
        <w:rPr>
          <w:rFonts w:asciiTheme="majorHAnsi" w:eastAsia="Roboto" w:hAnsiTheme="majorHAnsi" w:cstheme="majorHAnsi"/>
          <w:b/>
        </w:rPr>
        <w:t xml:space="preserve"> </w:t>
      </w:r>
      <w:r w:rsidR="006B3CBE" w:rsidRPr="006B3CBE">
        <w:rPr>
          <w:rFonts w:asciiTheme="majorHAnsi" w:eastAsia="Roboto" w:hAnsiTheme="majorHAnsi" w:cstheme="majorHAnsi"/>
          <w:b/>
        </w:rPr>
        <w:t>para regular los proveedores de</w:t>
      </w:r>
      <w:r w:rsidR="00C30FF9">
        <w:rPr>
          <w:rFonts w:asciiTheme="majorHAnsi" w:eastAsia="Roboto" w:hAnsiTheme="majorHAnsi" w:cstheme="majorHAnsi"/>
          <w:b/>
        </w:rPr>
        <w:t xml:space="preserve"> servicios de activos virtuales</w:t>
      </w:r>
    </w:p>
    <w:p w:rsidR="00C30FF9" w:rsidRPr="006B3CBE" w:rsidRDefault="00C30FF9" w:rsidP="00234B7D">
      <w:pPr>
        <w:spacing w:before="120" w:after="120" w:line="240" w:lineRule="auto"/>
        <w:jc w:val="both"/>
        <w:rPr>
          <w:rFonts w:asciiTheme="majorHAnsi" w:eastAsia="Roboto" w:hAnsiTheme="majorHAnsi" w:cstheme="majorHAnsi"/>
          <w:b/>
        </w:rPr>
      </w:pPr>
    </w:p>
    <w:p w:rsidR="00CE33CB" w:rsidRDefault="006B3CBE" w:rsidP="00234B7D">
      <w:pPr>
        <w:spacing w:before="120" w:after="120" w:line="240" w:lineRule="auto"/>
        <w:jc w:val="both"/>
        <w:rPr>
          <w:rFonts w:asciiTheme="majorHAnsi" w:hAnsiTheme="majorHAnsi" w:cstheme="majorHAnsi"/>
        </w:rPr>
      </w:pPr>
      <w:r w:rsidRPr="006B3CBE">
        <w:rPr>
          <w:rFonts w:asciiTheme="majorHAnsi" w:hAnsiTheme="majorHAnsi" w:cstheme="majorHAnsi"/>
        </w:rPr>
        <w:t>Esta alternativa</w:t>
      </w:r>
      <w:r w:rsidR="00AF1AD4">
        <w:rPr>
          <w:rFonts w:asciiTheme="majorHAnsi" w:hAnsiTheme="majorHAnsi" w:cstheme="majorHAnsi"/>
        </w:rPr>
        <w:t>, conforme a la modificación de la Recomendación 15 del GAFI (octubre, 2018) y su Nota Interpretativa (junio 2019),</w:t>
      </w:r>
      <w:r w:rsidRPr="006B3CBE">
        <w:rPr>
          <w:rFonts w:asciiTheme="majorHAnsi" w:hAnsiTheme="majorHAnsi" w:cstheme="majorHAnsi"/>
        </w:rPr>
        <w:t xml:space="preserve"> tiene como objetivo generar los instrumentos jurídicos necesarios para regular a los proveedores de servicios de activos virtuales. La regulación no sólo debe apuntar a incluirlos como sujetos obligados, sino también a especificar los temas relacionados a supervisión, así como lineamientos </w:t>
      </w:r>
      <w:r w:rsidR="00CE33CB">
        <w:rPr>
          <w:rFonts w:asciiTheme="majorHAnsi" w:hAnsiTheme="majorHAnsi" w:cstheme="majorHAnsi"/>
        </w:rPr>
        <w:t>para investigaciones que involucren el uso de AV,</w:t>
      </w:r>
      <w:r w:rsidR="00CE33CB" w:rsidRPr="00CE33CB">
        <w:rPr>
          <w:rFonts w:asciiTheme="majorHAnsi" w:hAnsiTheme="majorHAnsi" w:cstheme="majorHAnsi"/>
        </w:rPr>
        <w:t xml:space="preserve"> </w:t>
      </w:r>
      <w:r w:rsidR="00CE33CB">
        <w:rPr>
          <w:rFonts w:asciiTheme="majorHAnsi" w:hAnsiTheme="majorHAnsi" w:cstheme="majorHAnsi"/>
        </w:rPr>
        <w:t>disponer su</w:t>
      </w:r>
      <w:r w:rsidR="00CE33CB" w:rsidRPr="006B3CBE">
        <w:rPr>
          <w:rFonts w:asciiTheme="majorHAnsi" w:hAnsiTheme="majorHAnsi" w:cstheme="majorHAnsi"/>
        </w:rPr>
        <w:t xml:space="preserve"> incautación</w:t>
      </w:r>
      <w:r w:rsidR="00CE33CB">
        <w:rPr>
          <w:rFonts w:asciiTheme="majorHAnsi" w:hAnsiTheme="majorHAnsi" w:cstheme="majorHAnsi"/>
        </w:rPr>
        <w:t xml:space="preserve"> y decomiso</w:t>
      </w:r>
    </w:p>
    <w:p w:rsidR="006B3CBE" w:rsidRDefault="00AF1AD4" w:rsidP="00234B7D">
      <w:pPr>
        <w:spacing w:before="120" w:after="120" w:line="240" w:lineRule="auto"/>
        <w:jc w:val="both"/>
        <w:rPr>
          <w:rFonts w:asciiTheme="majorHAnsi" w:hAnsiTheme="majorHAnsi" w:cstheme="majorHAnsi"/>
        </w:rPr>
      </w:pPr>
      <w:r>
        <w:rPr>
          <w:rFonts w:asciiTheme="majorHAnsi" w:hAnsiTheme="majorHAnsi" w:cstheme="majorHAnsi"/>
        </w:rPr>
        <w:t>Mediante</w:t>
      </w:r>
      <w:r w:rsidR="006B3CBE" w:rsidRPr="006B3CBE">
        <w:rPr>
          <w:rFonts w:asciiTheme="majorHAnsi" w:hAnsiTheme="majorHAnsi" w:cstheme="majorHAnsi"/>
        </w:rPr>
        <w:t xml:space="preserve"> la </w:t>
      </w:r>
      <w:r w:rsidR="006B3CBE" w:rsidRPr="006B3CBE">
        <w:rPr>
          <w:rFonts w:asciiTheme="majorHAnsi" w:hAnsiTheme="majorHAnsi" w:cstheme="majorHAnsi"/>
          <w:i/>
        </w:rPr>
        <w:t xml:space="preserve">Guía actualizada para un enfoque basado en el riesgo a los activos virtuales y proveedores de servicios de activos </w:t>
      </w:r>
      <w:r w:rsidR="006B3CBE" w:rsidRPr="006B3CBE">
        <w:rPr>
          <w:rFonts w:asciiTheme="majorHAnsi" w:hAnsiTheme="majorHAnsi" w:cstheme="majorHAnsi"/>
        </w:rPr>
        <w:t>(2021), el GAFI busca ayudar a las autoridades nacionales a entender y desarrollar respuestas regulatorias a las actividades de AV y PSAV cubiertos, incluyendo la modificación de las leyes nacionales, cuando sea aplicable, en sus respectivas jurisdicciones con el fin de abordar los riesgos de LA/FT asociados a estas actividades. En la misma guía se precisan, como referencia las medidas tomadas por otros países en la aplicación del enfoque basado en el riesgo aplicado a los AV y PSAV:</w:t>
      </w:r>
    </w:p>
    <w:p w:rsidR="002F2AA2" w:rsidRDefault="002F2AA2" w:rsidP="00234B7D">
      <w:pPr>
        <w:spacing w:before="120" w:after="120" w:line="240" w:lineRule="auto"/>
        <w:jc w:val="both"/>
        <w:rPr>
          <w:rFonts w:asciiTheme="majorHAnsi" w:hAnsiTheme="majorHAnsi" w:cstheme="majorHAnsi"/>
        </w:rPr>
      </w:pPr>
    </w:p>
    <w:p w:rsidR="00521694" w:rsidRPr="006B3CBE" w:rsidRDefault="00521694" w:rsidP="00234B7D">
      <w:pPr>
        <w:spacing w:before="120" w:after="120" w:line="240" w:lineRule="auto"/>
        <w:jc w:val="both"/>
        <w:rPr>
          <w:rFonts w:asciiTheme="majorHAnsi" w:hAnsiTheme="majorHAnsi" w:cstheme="majorHAnsi"/>
        </w:rPr>
      </w:pPr>
    </w:p>
    <w:p w:rsidR="006B3CBE" w:rsidRPr="006B3CBE" w:rsidRDefault="006B3CBE" w:rsidP="006B3CBE">
      <w:pPr>
        <w:spacing w:before="240" w:after="240"/>
        <w:jc w:val="center"/>
        <w:rPr>
          <w:rFonts w:asciiTheme="majorHAnsi" w:hAnsiTheme="majorHAnsi" w:cstheme="majorHAnsi"/>
          <w:b/>
        </w:rPr>
      </w:pPr>
      <w:r w:rsidRPr="006B3CBE">
        <w:rPr>
          <w:rFonts w:asciiTheme="majorHAnsi" w:hAnsiTheme="majorHAnsi" w:cstheme="majorHAnsi"/>
          <w:b/>
        </w:rPr>
        <w:t>Resumen de enfoques jurisdiccionales a la regulación y supervisión de actividades de AV y PSAV</w:t>
      </w:r>
    </w:p>
    <w:tbl>
      <w:tblPr>
        <w:tblW w:w="5000" w:type="pct"/>
        <w:tblBorders>
          <w:top w:val="nil"/>
          <w:left w:val="nil"/>
          <w:bottom w:val="nil"/>
          <w:right w:val="nil"/>
          <w:insideH w:val="nil"/>
          <w:insideV w:val="nil"/>
        </w:tblBorders>
        <w:tblLook w:val="0600" w:firstRow="0" w:lastRow="0" w:firstColumn="0" w:lastColumn="0" w:noHBand="1" w:noVBand="1"/>
      </w:tblPr>
      <w:tblGrid>
        <w:gridCol w:w="1268"/>
        <w:gridCol w:w="7216"/>
      </w:tblGrid>
      <w:tr w:rsidR="006B3CBE" w:rsidRPr="006B3CBE" w:rsidTr="002F2AA2">
        <w:trPr>
          <w:trHeight w:val="22"/>
        </w:trPr>
        <w:tc>
          <w:tcPr>
            <w:tcW w:w="747" w:type="pct"/>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tcPr>
          <w:p w:rsidR="006B3CBE" w:rsidRPr="006B3CBE" w:rsidRDefault="006B3CBE" w:rsidP="002F2AA2">
            <w:pPr>
              <w:spacing w:after="0" w:line="240" w:lineRule="auto"/>
              <w:jc w:val="center"/>
              <w:rPr>
                <w:rFonts w:asciiTheme="majorHAnsi" w:hAnsiTheme="majorHAnsi" w:cstheme="majorHAnsi"/>
                <w:b/>
              </w:rPr>
            </w:pPr>
            <w:r w:rsidRPr="006B3CBE">
              <w:rPr>
                <w:rFonts w:asciiTheme="majorHAnsi" w:hAnsiTheme="majorHAnsi" w:cstheme="majorHAnsi"/>
                <w:b/>
              </w:rPr>
              <w:t>País</w:t>
            </w:r>
          </w:p>
        </w:tc>
        <w:tc>
          <w:tcPr>
            <w:tcW w:w="4253" w:type="pct"/>
            <w:tcBorders>
              <w:top w:val="single" w:sz="8" w:space="0" w:color="000000"/>
              <w:left w:val="nil"/>
              <w:bottom w:val="single" w:sz="8" w:space="0" w:color="000000"/>
              <w:right w:val="single" w:sz="8" w:space="0" w:color="000000"/>
            </w:tcBorders>
            <w:shd w:val="clear" w:color="auto" w:fill="BDD6EE"/>
            <w:tcMar>
              <w:top w:w="100" w:type="dxa"/>
              <w:left w:w="100" w:type="dxa"/>
              <w:bottom w:w="100" w:type="dxa"/>
              <w:right w:w="100" w:type="dxa"/>
            </w:tcMar>
          </w:tcPr>
          <w:p w:rsidR="006B3CBE" w:rsidRPr="006B3CBE" w:rsidRDefault="00C42124" w:rsidP="002F2AA2">
            <w:pPr>
              <w:spacing w:after="0" w:line="240" w:lineRule="auto"/>
              <w:jc w:val="center"/>
              <w:rPr>
                <w:rFonts w:asciiTheme="majorHAnsi" w:hAnsiTheme="majorHAnsi" w:cstheme="majorHAnsi"/>
                <w:b/>
              </w:rPr>
            </w:pPr>
            <w:r>
              <w:rPr>
                <w:rFonts w:asciiTheme="majorHAnsi" w:hAnsiTheme="majorHAnsi" w:cstheme="majorHAnsi"/>
                <w:b/>
              </w:rPr>
              <w:t>Experiencia</w:t>
            </w:r>
          </w:p>
        </w:tc>
      </w:tr>
      <w:tr w:rsidR="006B3CBE" w:rsidRPr="006B3CBE" w:rsidTr="00B94D1B">
        <w:trPr>
          <w:trHeight w:val="5580"/>
        </w:trPr>
        <w:tc>
          <w:tcPr>
            <w:tcW w:w="74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B3CBE" w:rsidRPr="006B3CBE" w:rsidRDefault="006B3CBE" w:rsidP="00234B7D">
            <w:pPr>
              <w:spacing w:before="120" w:after="120" w:line="240" w:lineRule="auto"/>
              <w:jc w:val="both"/>
              <w:rPr>
                <w:rFonts w:asciiTheme="majorHAnsi" w:hAnsiTheme="majorHAnsi" w:cstheme="majorHAnsi"/>
              </w:rPr>
            </w:pPr>
            <w:r w:rsidRPr="006B3CBE">
              <w:rPr>
                <w:rFonts w:asciiTheme="majorHAnsi" w:hAnsiTheme="majorHAnsi" w:cstheme="majorHAnsi"/>
              </w:rPr>
              <w:lastRenderedPageBreak/>
              <w:t>Italia</w:t>
            </w:r>
          </w:p>
        </w:tc>
        <w:tc>
          <w:tcPr>
            <w:tcW w:w="4253" w:type="pct"/>
            <w:tcBorders>
              <w:top w:val="nil"/>
              <w:left w:val="nil"/>
              <w:bottom w:val="single" w:sz="8" w:space="0" w:color="000000"/>
              <w:right w:val="single" w:sz="8" w:space="0" w:color="000000"/>
            </w:tcBorders>
            <w:tcMar>
              <w:top w:w="100" w:type="dxa"/>
              <w:left w:w="100" w:type="dxa"/>
              <w:bottom w:w="100" w:type="dxa"/>
              <w:right w:w="100" w:type="dxa"/>
            </w:tcMar>
          </w:tcPr>
          <w:p w:rsidR="006B3CBE" w:rsidRPr="00234B7D" w:rsidRDefault="006B3CBE" w:rsidP="00234B7D">
            <w:pPr>
              <w:pStyle w:val="Prrafodelista"/>
              <w:numPr>
                <w:ilvl w:val="0"/>
                <w:numId w:val="16"/>
              </w:numPr>
              <w:spacing w:before="120" w:after="120" w:line="240" w:lineRule="auto"/>
              <w:ind w:left="607"/>
              <w:jc w:val="both"/>
              <w:rPr>
                <w:rFonts w:asciiTheme="majorHAnsi" w:hAnsiTheme="majorHAnsi" w:cstheme="majorHAnsi"/>
              </w:rPr>
            </w:pPr>
            <w:r w:rsidRPr="00234B7D">
              <w:rPr>
                <w:rFonts w:asciiTheme="majorHAnsi" w:hAnsiTheme="majorHAnsi" w:cstheme="majorHAnsi"/>
              </w:rPr>
              <w:t>Los proveedores de servicios relacionados con los AV deben estar inscritos en una sección especial del registro que lleva el “Organismo degli Agenti e dei Mediatori” (OAM). El registro es una condición previa para que los proveedores de servicios relacionados con los AV puedan llevar a cabo su actividad en Italia. Actualmente se está trabajando en la implantación del registro.</w:t>
            </w:r>
          </w:p>
          <w:p w:rsidR="006B3CBE" w:rsidRPr="00234B7D" w:rsidRDefault="006B3CBE" w:rsidP="00234B7D">
            <w:pPr>
              <w:pStyle w:val="Prrafodelista"/>
              <w:numPr>
                <w:ilvl w:val="0"/>
                <w:numId w:val="16"/>
              </w:numPr>
              <w:spacing w:before="120" w:after="120" w:line="240" w:lineRule="auto"/>
              <w:ind w:left="607"/>
              <w:jc w:val="both"/>
              <w:rPr>
                <w:rFonts w:asciiTheme="majorHAnsi" w:hAnsiTheme="majorHAnsi" w:cstheme="majorHAnsi"/>
              </w:rPr>
            </w:pPr>
            <w:r w:rsidRPr="00234B7D">
              <w:rPr>
                <w:rFonts w:asciiTheme="majorHAnsi" w:hAnsiTheme="majorHAnsi" w:cstheme="majorHAnsi"/>
              </w:rPr>
              <w:t>Los PSAV se consideran sujetos obligados y están sujetos a todo el conjunto de medidas ALA/CFT.</w:t>
            </w:r>
          </w:p>
          <w:p w:rsidR="006B3CBE" w:rsidRPr="00234B7D" w:rsidRDefault="006B3CBE" w:rsidP="00234B7D">
            <w:pPr>
              <w:pStyle w:val="Prrafodelista"/>
              <w:numPr>
                <w:ilvl w:val="0"/>
                <w:numId w:val="16"/>
              </w:numPr>
              <w:spacing w:before="120" w:after="120" w:line="240" w:lineRule="auto"/>
              <w:ind w:left="607"/>
              <w:jc w:val="both"/>
              <w:rPr>
                <w:rFonts w:asciiTheme="majorHAnsi" w:hAnsiTheme="majorHAnsi" w:cstheme="majorHAnsi"/>
              </w:rPr>
            </w:pPr>
            <w:r w:rsidRPr="00234B7D">
              <w:rPr>
                <w:rFonts w:asciiTheme="majorHAnsi" w:hAnsiTheme="majorHAnsi" w:cstheme="majorHAnsi"/>
              </w:rPr>
              <w:t>El 21 de marzo de 2019, Italia adoptó la actualización de la Evaluación Nacional de Riesgos (ENR). Incluye una evaluación de los riesgos de LA/FT que emanan de los AV.</w:t>
            </w:r>
          </w:p>
          <w:p w:rsidR="006B3CBE" w:rsidRPr="00234B7D" w:rsidRDefault="006B3CBE" w:rsidP="00234B7D">
            <w:pPr>
              <w:pStyle w:val="Prrafodelista"/>
              <w:numPr>
                <w:ilvl w:val="0"/>
                <w:numId w:val="16"/>
              </w:numPr>
              <w:spacing w:before="120" w:after="120" w:line="240" w:lineRule="auto"/>
              <w:ind w:left="607"/>
              <w:jc w:val="both"/>
              <w:rPr>
                <w:rFonts w:asciiTheme="majorHAnsi" w:hAnsiTheme="majorHAnsi" w:cstheme="majorHAnsi"/>
              </w:rPr>
            </w:pPr>
            <w:r w:rsidRPr="00234B7D">
              <w:rPr>
                <w:rFonts w:asciiTheme="majorHAnsi" w:hAnsiTheme="majorHAnsi" w:cstheme="majorHAnsi"/>
              </w:rPr>
              <w:t>Los ROS y el análisis posterior realizado por la UIF italiana le permiten recopilar información sobre: i) PSAV que operan en Italia, incluidos los datos empresariales o datos sobre el beneficiario final; ii) información detallada sobre cuentas bancarias y el detalle de las transacciones; iii) datos sobre el perfil personal y económico del cliente o del titular del monedero;  iv) información sobre el monedero o la cuenta; y v) tipo y características principales de los AV.</w:t>
            </w:r>
          </w:p>
          <w:p w:rsidR="006B3CBE" w:rsidRPr="00234B7D" w:rsidRDefault="006B3CBE" w:rsidP="00234B7D">
            <w:pPr>
              <w:pStyle w:val="Prrafodelista"/>
              <w:numPr>
                <w:ilvl w:val="0"/>
                <w:numId w:val="16"/>
              </w:numPr>
              <w:spacing w:before="120" w:after="120" w:line="240" w:lineRule="auto"/>
              <w:ind w:left="607"/>
              <w:jc w:val="both"/>
              <w:rPr>
                <w:rFonts w:asciiTheme="majorHAnsi" w:hAnsiTheme="majorHAnsi" w:cstheme="majorHAnsi"/>
              </w:rPr>
            </w:pPr>
            <w:r w:rsidRPr="00234B7D">
              <w:rPr>
                <w:rFonts w:asciiTheme="majorHAnsi" w:hAnsiTheme="majorHAnsi" w:cstheme="majorHAnsi"/>
              </w:rPr>
              <w:t>En diciembre de 2016 y julio de 2018, la UIF publicó recopilaciones de casos de LA/FT que surgieron en el curso de los análisis financieros, incluyendo tipologías relacionadas con el uso anómalo de AV.</w:t>
            </w:r>
          </w:p>
        </w:tc>
      </w:tr>
      <w:tr w:rsidR="006B3CBE" w:rsidRPr="006B3CBE" w:rsidTr="00234B7D">
        <w:trPr>
          <w:trHeight w:val="604"/>
        </w:trPr>
        <w:tc>
          <w:tcPr>
            <w:tcW w:w="74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B3CBE" w:rsidRPr="006B3CBE" w:rsidRDefault="006B3CBE" w:rsidP="00234B7D">
            <w:pPr>
              <w:spacing w:before="120" w:after="120" w:line="240" w:lineRule="auto"/>
              <w:jc w:val="both"/>
              <w:rPr>
                <w:rFonts w:asciiTheme="majorHAnsi" w:hAnsiTheme="majorHAnsi" w:cstheme="majorHAnsi"/>
              </w:rPr>
            </w:pPr>
            <w:r w:rsidRPr="006B3CBE">
              <w:rPr>
                <w:rFonts w:asciiTheme="majorHAnsi" w:hAnsiTheme="majorHAnsi" w:cstheme="majorHAnsi"/>
              </w:rPr>
              <w:t>Finlandia</w:t>
            </w:r>
          </w:p>
        </w:tc>
        <w:tc>
          <w:tcPr>
            <w:tcW w:w="4253" w:type="pct"/>
            <w:tcBorders>
              <w:top w:val="nil"/>
              <w:left w:val="nil"/>
              <w:bottom w:val="single" w:sz="8" w:space="0" w:color="000000"/>
              <w:right w:val="single" w:sz="8" w:space="0" w:color="000000"/>
            </w:tcBorders>
            <w:tcMar>
              <w:top w:w="100" w:type="dxa"/>
              <w:left w:w="100" w:type="dxa"/>
              <w:bottom w:w="100" w:type="dxa"/>
              <w:right w:w="100" w:type="dxa"/>
            </w:tcMar>
          </w:tcPr>
          <w:p w:rsidR="006B3CBE" w:rsidRPr="006B3CBE" w:rsidRDefault="006B3CBE" w:rsidP="00234B7D">
            <w:pPr>
              <w:pStyle w:val="Prrafodelista"/>
              <w:numPr>
                <w:ilvl w:val="0"/>
                <w:numId w:val="16"/>
              </w:numPr>
              <w:spacing w:before="120" w:after="120" w:line="240" w:lineRule="auto"/>
              <w:ind w:left="607"/>
              <w:jc w:val="both"/>
              <w:rPr>
                <w:rFonts w:asciiTheme="majorHAnsi" w:hAnsiTheme="majorHAnsi" w:cstheme="majorHAnsi"/>
              </w:rPr>
            </w:pPr>
            <w:r w:rsidRPr="006B3CBE">
              <w:rPr>
                <w:rFonts w:asciiTheme="majorHAnsi" w:hAnsiTheme="majorHAnsi" w:cstheme="majorHAnsi"/>
              </w:rPr>
              <w:t>La Ley de Proveedores de Moneda Virtual (572/2019) entró en vigor el 1 de mayo de 2019. Los PSAV deben registrarse (autorización) en la Autoridad de Supervisión Financiera de Finlandia (FIN-FSA).</w:t>
            </w:r>
          </w:p>
          <w:p w:rsidR="006B3CBE" w:rsidRPr="006B3CBE" w:rsidRDefault="006B3CBE" w:rsidP="00234B7D">
            <w:pPr>
              <w:pStyle w:val="Prrafodelista"/>
              <w:numPr>
                <w:ilvl w:val="0"/>
                <w:numId w:val="16"/>
              </w:numPr>
              <w:spacing w:before="120" w:after="120" w:line="240" w:lineRule="auto"/>
              <w:ind w:left="607"/>
              <w:jc w:val="both"/>
              <w:rPr>
                <w:rFonts w:asciiTheme="majorHAnsi" w:hAnsiTheme="majorHAnsi" w:cstheme="majorHAnsi"/>
              </w:rPr>
            </w:pPr>
            <w:r w:rsidRPr="006B3CBE">
              <w:rPr>
                <w:rFonts w:asciiTheme="majorHAnsi" w:hAnsiTheme="majorHAnsi" w:cstheme="majorHAnsi"/>
              </w:rPr>
              <w:t>Los PSAV son sujetos obligados según la definición de la Ley de ALA (444/2017) y debían cumplir con las obligaciones ALA/CFT a partir del 1 de diciembre de 2019.</w:t>
            </w:r>
          </w:p>
          <w:p w:rsidR="006B3CBE" w:rsidRPr="006B3CBE" w:rsidRDefault="006B3CBE" w:rsidP="00234B7D">
            <w:pPr>
              <w:pStyle w:val="Prrafodelista"/>
              <w:numPr>
                <w:ilvl w:val="0"/>
                <w:numId w:val="16"/>
              </w:numPr>
              <w:spacing w:before="120" w:after="120" w:line="240" w:lineRule="auto"/>
              <w:ind w:left="607"/>
              <w:jc w:val="both"/>
              <w:rPr>
                <w:rFonts w:asciiTheme="majorHAnsi" w:hAnsiTheme="majorHAnsi" w:cstheme="majorHAnsi"/>
              </w:rPr>
            </w:pPr>
            <w:r w:rsidRPr="006B3CBE">
              <w:rPr>
                <w:rFonts w:asciiTheme="majorHAnsi" w:hAnsiTheme="majorHAnsi" w:cstheme="majorHAnsi"/>
              </w:rPr>
              <w:t>La FIN-FSA recibió facultades para emitir reglamentos y directrices sobre determinadas partes de la actividad de los PSAV. Los reglamentos y directrices de la FIN-FSA entraron en vigor el 1 de julio de 2019.60 Los reglamentos contienen la regulación sobre la tenencia y protección del dinero de los clientes y la segregación del dinero de los clientes y los fondos propios. Las directrices se refieren al cumplimiento de la legislación ALA/CFT.</w:t>
            </w:r>
          </w:p>
        </w:tc>
      </w:tr>
      <w:tr w:rsidR="006B3CBE" w:rsidRPr="006B3CBE" w:rsidTr="00234B7D">
        <w:trPr>
          <w:trHeight w:val="4745"/>
        </w:trPr>
        <w:tc>
          <w:tcPr>
            <w:tcW w:w="74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B3CBE" w:rsidRPr="006B3CBE" w:rsidRDefault="006B3CBE" w:rsidP="00234B7D">
            <w:pPr>
              <w:spacing w:before="120" w:after="120" w:line="240" w:lineRule="auto"/>
              <w:jc w:val="both"/>
              <w:rPr>
                <w:rFonts w:asciiTheme="majorHAnsi" w:hAnsiTheme="majorHAnsi" w:cstheme="majorHAnsi"/>
              </w:rPr>
            </w:pPr>
            <w:r w:rsidRPr="006B3CBE">
              <w:rPr>
                <w:rFonts w:asciiTheme="majorHAnsi" w:hAnsiTheme="majorHAnsi" w:cstheme="majorHAnsi"/>
              </w:rPr>
              <w:lastRenderedPageBreak/>
              <w:t>México</w:t>
            </w:r>
          </w:p>
        </w:tc>
        <w:tc>
          <w:tcPr>
            <w:tcW w:w="4253" w:type="pct"/>
            <w:tcBorders>
              <w:top w:val="nil"/>
              <w:left w:val="nil"/>
              <w:bottom w:val="single" w:sz="8" w:space="0" w:color="000000"/>
              <w:right w:val="single" w:sz="8" w:space="0" w:color="000000"/>
            </w:tcBorders>
            <w:tcMar>
              <w:top w:w="100" w:type="dxa"/>
              <w:left w:w="100" w:type="dxa"/>
              <w:bottom w:w="100" w:type="dxa"/>
              <w:right w:w="100" w:type="dxa"/>
            </w:tcMar>
          </w:tcPr>
          <w:p w:rsidR="006B3CBE" w:rsidRPr="00234B7D" w:rsidRDefault="006B3CBE" w:rsidP="00234B7D">
            <w:pPr>
              <w:pStyle w:val="Prrafodelista"/>
              <w:numPr>
                <w:ilvl w:val="0"/>
                <w:numId w:val="18"/>
              </w:numPr>
              <w:spacing w:before="120" w:after="120" w:line="240" w:lineRule="auto"/>
              <w:ind w:left="607"/>
              <w:jc w:val="both"/>
              <w:rPr>
                <w:rFonts w:asciiTheme="majorHAnsi" w:hAnsiTheme="majorHAnsi" w:cstheme="majorHAnsi"/>
              </w:rPr>
            </w:pPr>
            <w:r w:rsidRPr="00234B7D">
              <w:rPr>
                <w:rFonts w:asciiTheme="majorHAnsi" w:hAnsiTheme="majorHAnsi" w:cstheme="majorHAnsi"/>
              </w:rPr>
              <w:t>En México, la Ley Federal para la Prevención e Identificación de Operaciones con Recursos de Procedencia Ilícita fue reformada en marzo de 2018 para establecer como Actividad Vulnerable el intercambio de AV realizado por entidades distintas a las Instituciones de Tecnología Financiera y a las Instituciones de Crédito.</w:t>
            </w:r>
          </w:p>
          <w:p w:rsidR="006B3CBE" w:rsidRPr="00234B7D" w:rsidRDefault="006B3CBE" w:rsidP="00234B7D">
            <w:pPr>
              <w:pStyle w:val="Prrafodelista"/>
              <w:numPr>
                <w:ilvl w:val="0"/>
                <w:numId w:val="18"/>
              </w:numPr>
              <w:spacing w:before="120" w:after="120" w:line="240" w:lineRule="auto"/>
              <w:ind w:left="607"/>
              <w:jc w:val="both"/>
              <w:rPr>
                <w:rFonts w:asciiTheme="majorHAnsi" w:hAnsiTheme="majorHAnsi" w:cstheme="majorHAnsi"/>
              </w:rPr>
            </w:pPr>
            <w:r w:rsidRPr="00234B7D">
              <w:rPr>
                <w:rFonts w:asciiTheme="majorHAnsi" w:hAnsiTheme="majorHAnsi" w:cstheme="majorHAnsi"/>
              </w:rPr>
              <w:t>Asimismo, en marzo de 2018, México publicó la Ley para Regular las Instituciones de Tecnología Financiera, la cual señala que las Instituciones de Tecnología Financiera podrán operar con los AV siempre y cuando cuenten con la autorización de Banco de México y operen con los AV que éste determine.</w:t>
            </w:r>
          </w:p>
          <w:p w:rsidR="006B3CBE" w:rsidRPr="00234B7D" w:rsidRDefault="006B3CBE" w:rsidP="00234B7D">
            <w:pPr>
              <w:pStyle w:val="Prrafodelista"/>
              <w:numPr>
                <w:ilvl w:val="0"/>
                <w:numId w:val="18"/>
              </w:numPr>
              <w:spacing w:before="120" w:after="120" w:line="240" w:lineRule="auto"/>
              <w:ind w:left="607"/>
              <w:jc w:val="both"/>
              <w:rPr>
                <w:rFonts w:asciiTheme="majorHAnsi" w:hAnsiTheme="majorHAnsi" w:cstheme="majorHAnsi"/>
              </w:rPr>
            </w:pPr>
            <w:r w:rsidRPr="00234B7D">
              <w:rPr>
                <w:rFonts w:asciiTheme="majorHAnsi" w:hAnsiTheme="majorHAnsi" w:cstheme="majorHAnsi"/>
              </w:rPr>
              <w:t>En marzo de 2019, el Banco Central publicó las normas para definir las operaciones internas que las Instituciones de Crédito y las Instituciones de Tecnología Financiera pretenden realizar, directa o indirectamente, con los AV.</w:t>
            </w:r>
          </w:p>
          <w:p w:rsidR="006B3CBE" w:rsidRPr="00234B7D" w:rsidRDefault="006B3CBE" w:rsidP="00234B7D">
            <w:pPr>
              <w:pStyle w:val="Prrafodelista"/>
              <w:numPr>
                <w:ilvl w:val="0"/>
                <w:numId w:val="18"/>
              </w:numPr>
              <w:spacing w:before="120" w:after="120" w:line="240" w:lineRule="auto"/>
              <w:ind w:left="607"/>
              <w:jc w:val="both"/>
              <w:rPr>
                <w:rFonts w:asciiTheme="majorHAnsi" w:hAnsiTheme="majorHAnsi" w:cstheme="majorHAnsi"/>
              </w:rPr>
            </w:pPr>
            <w:r w:rsidRPr="00234B7D">
              <w:rPr>
                <w:rFonts w:asciiTheme="majorHAnsi" w:hAnsiTheme="majorHAnsi" w:cstheme="majorHAnsi"/>
              </w:rPr>
              <w:t>Finalmente, posteriormente en marzo de 2019, se reformaron las Disposiciones de carácter general a que se refiere el Artículo 115 de la Ley de Instituciones Crédito, estableciendo las medidas y procedimientos que deben seguir las instituciones de crédito para cumplir con las obligaciones en materia ALA/CFT relacionadas con los AV.</w:t>
            </w:r>
          </w:p>
        </w:tc>
      </w:tr>
      <w:tr w:rsidR="006B3CBE" w:rsidRPr="006B3CBE" w:rsidTr="00234B7D">
        <w:trPr>
          <w:trHeight w:val="3815"/>
        </w:trPr>
        <w:tc>
          <w:tcPr>
            <w:tcW w:w="74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B3CBE" w:rsidRPr="006B3CBE" w:rsidRDefault="006B3CBE" w:rsidP="00234B7D">
            <w:pPr>
              <w:spacing w:before="120" w:after="120" w:line="240" w:lineRule="auto"/>
              <w:jc w:val="both"/>
              <w:rPr>
                <w:rFonts w:asciiTheme="majorHAnsi" w:hAnsiTheme="majorHAnsi" w:cstheme="majorHAnsi"/>
              </w:rPr>
            </w:pPr>
            <w:r w:rsidRPr="006B3CBE">
              <w:rPr>
                <w:rFonts w:asciiTheme="majorHAnsi" w:hAnsiTheme="majorHAnsi" w:cstheme="majorHAnsi"/>
              </w:rPr>
              <w:t>Colombia</w:t>
            </w:r>
          </w:p>
        </w:tc>
        <w:tc>
          <w:tcPr>
            <w:tcW w:w="4253" w:type="pct"/>
            <w:tcBorders>
              <w:top w:val="nil"/>
              <w:left w:val="nil"/>
              <w:bottom w:val="single" w:sz="8" w:space="0" w:color="000000"/>
              <w:right w:val="single" w:sz="8" w:space="0" w:color="000000"/>
            </w:tcBorders>
            <w:tcMar>
              <w:top w:w="100" w:type="dxa"/>
              <w:left w:w="100" w:type="dxa"/>
              <w:bottom w:w="100" w:type="dxa"/>
              <w:right w:w="100" w:type="dxa"/>
            </w:tcMar>
          </w:tcPr>
          <w:p w:rsidR="006B3CBE" w:rsidRPr="00234B7D" w:rsidRDefault="006B3CBE" w:rsidP="00234B7D">
            <w:pPr>
              <w:pStyle w:val="Prrafodelista"/>
              <w:numPr>
                <w:ilvl w:val="0"/>
                <w:numId w:val="19"/>
              </w:numPr>
              <w:spacing w:before="120" w:after="120" w:line="240" w:lineRule="auto"/>
              <w:ind w:left="607"/>
              <w:jc w:val="both"/>
              <w:rPr>
                <w:rFonts w:asciiTheme="majorHAnsi" w:eastAsia="Times New Roman" w:hAnsiTheme="majorHAnsi" w:cstheme="majorHAnsi"/>
                <w:color w:val="3C3C3B"/>
                <w:shd w:val="clear" w:color="auto" w:fill="EDF0F9"/>
              </w:rPr>
            </w:pPr>
            <w:r w:rsidRPr="00234B7D">
              <w:rPr>
                <w:rFonts w:asciiTheme="majorHAnsi" w:hAnsiTheme="majorHAnsi" w:cstheme="majorHAnsi"/>
              </w:rPr>
              <w:t xml:space="preserve">En diciembre del 2021, la Unidad de Información y Análisis Financiero (UIAF) expidió la </w:t>
            </w:r>
            <w:hyperlink r:id="rId17">
              <w:r w:rsidRPr="00234B7D">
                <w:rPr>
                  <w:rFonts w:asciiTheme="majorHAnsi" w:hAnsiTheme="majorHAnsi" w:cstheme="majorHAnsi"/>
                  <w:b/>
                  <w:color w:val="1155CC"/>
                </w:rPr>
                <w:t>Resolución 314</w:t>
              </w:r>
              <w:r w:rsidRPr="00234B7D">
                <w:rPr>
                  <w:rFonts w:asciiTheme="majorHAnsi" w:hAnsiTheme="majorHAnsi" w:cstheme="majorHAnsi"/>
                  <w:color w:val="1155CC"/>
                </w:rPr>
                <w:t xml:space="preserve"> </w:t>
              </w:r>
            </w:hyperlink>
            <w:r w:rsidRPr="00234B7D">
              <w:rPr>
                <w:rFonts w:asciiTheme="majorHAnsi" w:hAnsiTheme="majorHAnsi" w:cstheme="majorHAnsi"/>
              </w:rPr>
              <w:t>por medio de la cual las personas naturales y jurídicas que provean servicios de activos virtuales tienen la obligación de enviar Reportes de Operaciones Sospechosas (ROS) a la Unidad cuando adviertan posibles operaciones de lavado de activos y/o financiamiento del terrorismo en las transacciones o actividades.</w:t>
            </w:r>
            <w:r w:rsidRPr="00234B7D">
              <w:rPr>
                <w:rFonts w:asciiTheme="majorHAnsi" w:eastAsia="Times New Roman" w:hAnsiTheme="majorHAnsi" w:cstheme="majorHAnsi"/>
                <w:color w:val="3C3C3B"/>
                <w:shd w:val="clear" w:color="auto" w:fill="EDF0F9"/>
              </w:rPr>
              <w:t xml:space="preserve"> </w:t>
            </w:r>
          </w:p>
          <w:p w:rsidR="006B3CBE" w:rsidRPr="00234B7D" w:rsidRDefault="006B3CBE" w:rsidP="00234B7D">
            <w:pPr>
              <w:pStyle w:val="Prrafodelista"/>
              <w:numPr>
                <w:ilvl w:val="0"/>
                <w:numId w:val="19"/>
              </w:numPr>
              <w:spacing w:before="120" w:after="120" w:line="240" w:lineRule="auto"/>
              <w:ind w:left="607"/>
              <w:jc w:val="both"/>
              <w:rPr>
                <w:rFonts w:asciiTheme="majorHAnsi" w:hAnsiTheme="majorHAnsi" w:cstheme="majorHAnsi"/>
              </w:rPr>
            </w:pPr>
            <w:r w:rsidRPr="00234B7D">
              <w:rPr>
                <w:rFonts w:asciiTheme="majorHAnsi" w:hAnsiTheme="majorHAnsi" w:cstheme="majorHAnsi"/>
              </w:rPr>
              <w:t>Concretamente la UIAF solicita el envío de ROS a las personas o empresas que realicen (para o en nombre de otra persona natural o jurídica) actividades u operaciones, sin importar el monto, relacionadas con: 1) intercambio entre activos virtuales y monedas fiat; 2) intercambio entre una o más formas de activos virtuales; 3) transferencias de activos virtuales; 4) custodia o administración de activos virtuales o instrumentos que permitan el control sobre activos virtuales; 5) participación y provisión de servicios financieros relacionados con la oferta de un emisor o venta de un activo virtual</w:t>
            </w:r>
          </w:p>
        </w:tc>
      </w:tr>
    </w:tbl>
    <w:p w:rsidR="006B3CBE" w:rsidRPr="006B3CBE" w:rsidRDefault="006B3CBE" w:rsidP="006B3CBE">
      <w:pPr>
        <w:spacing w:before="240" w:after="240"/>
        <w:jc w:val="both"/>
        <w:rPr>
          <w:rFonts w:asciiTheme="majorHAnsi" w:hAnsiTheme="majorHAnsi" w:cstheme="majorHAnsi"/>
        </w:rPr>
      </w:pPr>
      <w:r w:rsidRPr="006B3CBE">
        <w:rPr>
          <w:rFonts w:asciiTheme="majorHAnsi" w:hAnsiTheme="majorHAnsi" w:cstheme="majorHAnsi"/>
        </w:rPr>
        <w:t>Fuente: GAFI (2021), UIAF (2021)</w:t>
      </w:r>
    </w:p>
    <w:p w:rsidR="006B3CBE" w:rsidRPr="006B3CBE" w:rsidRDefault="006B3CBE" w:rsidP="00234B7D">
      <w:pPr>
        <w:spacing w:before="120" w:after="120" w:line="240" w:lineRule="auto"/>
        <w:jc w:val="both"/>
        <w:rPr>
          <w:rFonts w:asciiTheme="majorHAnsi" w:hAnsiTheme="majorHAnsi" w:cstheme="majorHAnsi"/>
        </w:rPr>
      </w:pPr>
      <w:r w:rsidRPr="006B3CBE">
        <w:rPr>
          <w:rFonts w:asciiTheme="majorHAnsi" w:hAnsiTheme="majorHAnsi" w:cstheme="majorHAnsi"/>
        </w:rPr>
        <w:t>En esa línea, existen experiencias de la aplicación de esta recomendación en otros países, fuera y dentro de la región. De acuerdo a lo señalado en el Informe realizado por la Secretaría Ejecutiva del GAFILAT en el Pleno Virtual del GAFI en junio del 2021, se mencionó que 58 de las 128 jurisdicciones informantes comunicaron que han implementado los estándares del GAFI, 52 han regulado a los PSAV y 6 los prohibieron (se resaltó que en el Perú aún no se aplicado la recomendación del GAFI).</w:t>
      </w:r>
    </w:p>
    <w:p w:rsidR="006B3CBE" w:rsidRPr="006B3CBE" w:rsidRDefault="006B3CBE" w:rsidP="00234B7D">
      <w:pPr>
        <w:spacing w:before="120" w:after="120" w:line="240" w:lineRule="auto"/>
        <w:jc w:val="both"/>
        <w:rPr>
          <w:rFonts w:asciiTheme="majorHAnsi" w:hAnsiTheme="majorHAnsi" w:cstheme="majorHAnsi"/>
        </w:rPr>
      </w:pPr>
      <w:r w:rsidRPr="006B3CBE">
        <w:rPr>
          <w:rFonts w:asciiTheme="majorHAnsi" w:hAnsiTheme="majorHAnsi" w:cstheme="majorHAnsi"/>
        </w:rPr>
        <w:lastRenderedPageBreak/>
        <w:t>Asimismo, en un reciente informe del GAFI (junio 2022), se identificó que 29 jurisdicciones han reportado que han aprobado la legislación sobre la regla de viaje (Travel Rule</w:t>
      </w:r>
      <w:r w:rsidR="00973BB6">
        <w:rPr>
          <w:rStyle w:val="Refdenotaalpie"/>
          <w:rFonts w:asciiTheme="majorHAnsi" w:hAnsiTheme="majorHAnsi" w:cstheme="majorHAnsi"/>
        </w:rPr>
        <w:footnoteReference w:id="6"/>
      </w:r>
      <w:r w:rsidRPr="006B3CBE">
        <w:rPr>
          <w:rFonts w:asciiTheme="majorHAnsi" w:hAnsiTheme="majorHAnsi" w:cstheme="majorHAnsi"/>
        </w:rPr>
        <w:t>). Esto permite que las instituciones financieras y los VASP realicen controles de sanciones y detecten transacciones sospechosas.</w:t>
      </w:r>
    </w:p>
    <w:p w:rsidR="006B3CBE" w:rsidRPr="006B3CBE" w:rsidRDefault="006B3CBE" w:rsidP="00234B7D">
      <w:pPr>
        <w:spacing w:before="120" w:after="120" w:line="240" w:lineRule="auto"/>
        <w:jc w:val="both"/>
        <w:rPr>
          <w:rFonts w:asciiTheme="majorHAnsi" w:hAnsiTheme="majorHAnsi" w:cstheme="majorHAnsi"/>
        </w:rPr>
      </w:pPr>
      <w:r w:rsidRPr="006B3CBE">
        <w:rPr>
          <w:rFonts w:asciiTheme="majorHAnsi" w:hAnsiTheme="majorHAnsi" w:cstheme="majorHAnsi"/>
        </w:rPr>
        <w:t>En el caso peruano, a finales del 2021, la UIF presentó ante el MINJUS, el informe técnico y la propuesta de Decreto Supremo para designar a los PSAV como SO. Ello en atención a lo dispuesto en el numeral 3.3 del artículo 3 de la Ley N° 29038, según la cual, mediante Decreto Supremo, a propuesta de la SBS y refrendado por el MINJUS y el MEF, se puede ampliar la lista de SO a informar a la UIF.</w:t>
      </w:r>
    </w:p>
    <w:p w:rsidR="006B3CBE" w:rsidRPr="006B3CBE" w:rsidRDefault="006B3CBE" w:rsidP="00234B7D">
      <w:pPr>
        <w:spacing w:before="120" w:after="120" w:line="240" w:lineRule="auto"/>
        <w:jc w:val="both"/>
        <w:rPr>
          <w:rFonts w:asciiTheme="majorHAnsi" w:hAnsiTheme="majorHAnsi" w:cstheme="majorHAnsi"/>
        </w:rPr>
      </w:pPr>
      <w:r w:rsidRPr="006B3CBE">
        <w:rPr>
          <w:rFonts w:asciiTheme="majorHAnsi" w:eastAsia="Roboto" w:hAnsiTheme="majorHAnsi" w:cstheme="majorHAnsi"/>
        </w:rPr>
        <w:t xml:space="preserve">Finalmente, con relación a los </w:t>
      </w:r>
      <w:r w:rsidRPr="006B3CBE">
        <w:rPr>
          <w:rFonts w:asciiTheme="majorHAnsi" w:hAnsiTheme="majorHAnsi" w:cstheme="majorHAnsi"/>
        </w:rPr>
        <w:t xml:space="preserve">lineamientos para el manejo de AV en procesos de investigación e incautación, la Guía sobre Aspectos Relevantes y Pasos Apropiados para la Investigación, Identificación, Incautación y Decomiso de Activos Virtuales del GAFILAT (2021), se recomienda que las agencias que puedan tener que ejecutar esta clase de medidas establezcan de antemano </w:t>
      </w:r>
      <w:r w:rsidR="00234B7D" w:rsidRPr="006B3CBE">
        <w:rPr>
          <w:rFonts w:asciiTheme="majorHAnsi" w:hAnsiTheme="majorHAnsi" w:cstheme="majorHAnsi"/>
        </w:rPr>
        <w:t>políticas</w:t>
      </w:r>
      <w:r w:rsidRPr="006B3CBE">
        <w:rPr>
          <w:rFonts w:asciiTheme="majorHAnsi" w:hAnsiTheme="majorHAnsi" w:cstheme="majorHAnsi"/>
        </w:rPr>
        <w:t xml:space="preserve"> o protocolos internos que regulen la </w:t>
      </w:r>
      <w:r w:rsidR="00234B7D" w:rsidRPr="006B3CBE">
        <w:rPr>
          <w:rFonts w:asciiTheme="majorHAnsi" w:hAnsiTheme="majorHAnsi" w:cstheme="majorHAnsi"/>
        </w:rPr>
        <w:t>incautación</w:t>
      </w:r>
      <w:r w:rsidRPr="006B3CBE">
        <w:rPr>
          <w:rFonts w:asciiTheme="majorHAnsi" w:hAnsiTheme="majorHAnsi" w:cstheme="majorHAnsi"/>
        </w:rPr>
        <w:t xml:space="preserve"> de AV y su tratamiento posterior. </w:t>
      </w:r>
    </w:p>
    <w:p w:rsidR="006B3CBE" w:rsidRDefault="006B3CBE" w:rsidP="00234B7D">
      <w:pPr>
        <w:spacing w:after="0" w:line="240" w:lineRule="auto"/>
        <w:jc w:val="both"/>
        <w:rPr>
          <w:rFonts w:asciiTheme="majorHAnsi" w:hAnsiTheme="majorHAnsi" w:cstheme="majorHAnsi"/>
        </w:rPr>
      </w:pPr>
      <w:r w:rsidRPr="006B3CBE">
        <w:rPr>
          <w:rFonts w:asciiTheme="majorHAnsi" w:hAnsiTheme="majorHAnsi" w:cstheme="majorHAnsi"/>
        </w:rPr>
        <w:t xml:space="preserve">En tal sentido, la Guía precisa que </w:t>
      </w:r>
      <w:r w:rsidR="00234B7D" w:rsidRPr="006B3CBE">
        <w:rPr>
          <w:rFonts w:asciiTheme="majorHAnsi" w:hAnsiTheme="majorHAnsi" w:cstheme="majorHAnsi"/>
        </w:rPr>
        <w:t>debería</w:t>
      </w:r>
      <w:r w:rsidRPr="006B3CBE">
        <w:rPr>
          <w:rFonts w:asciiTheme="majorHAnsi" w:hAnsiTheme="majorHAnsi" w:cstheme="majorHAnsi"/>
        </w:rPr>
        <w:t xml:space="preserve"> preverse, como </w:t>
      </w:r>
      <w:r w:rsidR="00234B7D" w:rsidRPr="006B3CBE">
        <w:rPr>
          <w:rFonts w:asciiTheme="majorHAnsi" w:hAnsiTheme="majorHAnsi" w:cstheme="majorHAnsi"/>
        </w:rPr>
        <w:t>mínimo</w:t>
      </w:r>
      <w:r w:rsidRPr="006B3CBE">
        <w:rPr>
          <w:rFonts w:asciiTheme="majorHAnsi" w:hAnsiTheme="majorHAnsi" w:cstheme="majorHAnsi"/>
        </w:rPr>
        <w:t>:</w:t>
      </w:r>
    </w:p>
    <w:p w:rsidR="00B979E8" w:rsidRPr="006B3CBE" w:rsidRDefault="00B979E8" w:rsidP="00234B7D">
      <w:pPr>
        <w:spacing w:after="0" w:line="240" w:lineRule="auto"/>
        <w:jc w:val="both"/>
        <w:rPr>
          <w:rFonts w:asciiTheme="majorHAnsi" w:hAnsiTheme="majorHAnsi" w:cstheme="majorHAnsi"/>
        </w:rPr>
      </w:pPr>
    </w:p>
    <w:p w:rsidR="006B3CBE" w:rsidRPr="006B3CBE" w:rsidRDefault="006B3CBE" w:rsidP="00234B7D">
      <w:pPr>
        <w:numPr>
          <w:ilvl w:val="0"/>
          <w:numId w:val="7"/>
        </w:numPr>
        <w:spacing w:after="0" w:line="240" w:lineRule="auto"/>
        <w:jc w:val="both"/>
        <w:rPr>
          <w:rFonts w:asciiTheme="majorHAnsi" w:hAnsiTheme="majorHAnsi" w:cstheme="majorHAnsi"/>
        </w:rPr>
      </w:pPr>
      <w:r w:rsidRPr="006B3CBE">
        <w:rPr>
          <w:rFonts w:asciiTheme="majorHAnsi" w:hAnsiTheme="majorHAnsi" w:cstheme="majorHAnsi"/>
        </w:rPr>
        <w:t xml:space="preserve">La </w:t>
      </w:r>
      <w:r w:rsidR="00234B7D" w:rsidRPr="006B3CBE">
        <w:rPr>
          <w:rFonts w:asciiTheme="majorHAnsi" w:hAnsiTheme="majorHAnsi" w:cstheme="majorHAnsi"/>
        </w:rPr>
        <w:t>identificación</w:t>
      </w:r>
      <w:r w:rsidRPr="006B3CBE">
        <w:rPr>
          <w:rFonts w:asciiTheme="majorHAnsi" w:hAnsiTheme="majorHAnsi" w:cstheme="majorHAnsi"/>
        </w:rPr>
        <w:t xml:space="preserve"> de los/las funcionarios/as autorizados/as a llevar a cabo incautaciones o transacciones con AV.</w:t>
      </w:r>
    </w:p>
    <w:p w:rsidR="006B3CBE" w:rsidRPr="006B3CBE" w:rsidRDefault="006B3CBE" w:rsidP="00234B7D">
      <w:pPr>
        <w:numPr>
          <w:ilvl w:val="0"/>
          <w:numId w:val="7"/>
        </w:numPr>
        <w:spacing w:after="0" w:line="240" w:lineRule="auto"/>
        <w:jc w:val="both"/>
        <w:rPr>
          <w:rFonts w:asciiTheme="majorHAnsi" w:hAnsiTheme="majorHAnsi" w:cstheme="majorHAnsi"/>
        </w:rPr>
      </w:pPr>
      <w:r w:rsidRPr="006B3CBE">
        <w:rPr>
          <w:rFonts w:asciiTheme="majorHAnsi" w:hAnsiTheme="majorHAnsi" w:cstheme="majorHAnsi"/>
        </w:rPr>
        <w:t>El detalle de las notificaciones internas y externas que es preciso efectuar cuando un caso involucra AV.</w:t>
      </w:r>
    </w:p>
    <w:p w:rsidR="006B3CBE" w:rsidRPr="006B3CBE" w:rsidRDefault="006B3CBE" w:rsidP="00234B7D">
      <w:pPr>
        <w:numPr>
          <w:ilvl w:val="0"/>
          <w:numId w:val="7"/>
        </w:numPr>
        <w:spacing w:after="0" w:line="240" w:lineRule="auto"/>
        <w:jc w:val="both"/>
        <w:rPr>
          <w:rFonts w:asciiTheme="majorHAnsi" w:hAnsiTheme="majorHAnsi" w:cstheme="majorHAnsi"/>
        </w:rPr>
      </w:pPr>
      <w:r w:rsidRPr="006B3CBE">
        <w:rPr>
          <w:rFonts w:asciiTheme="majorHAnsi" w:hAnsiTheme="majorHAnsi" w:cstheme="majorHAnsi"/>
        </w:rPr>
        <w:t xml:space="preserve">Los procedimientos </w:t>
      </w:r>
      <w:r w:rsidR="00234B7D" w:rsidRPr="006B3CBE">
        <w:rPr>
          <w:rFonts w:asciiTheme="majorHAnsi" w:hAnsiTheme="majorHAnsi" w:cstheme="majorHAnsi"/>
        </w:rPr>
        <w:t>estándar</w:t>
      </w:r>
      <w:r w:rsidRPr="006B3CBE">
        <w:rPr>
          <w:rFonts w:asciiTheme="majorHAnsi" w:hAnsiTheme="majorHAnsi" w:cstheme="majorHAnsi"/>
        </w:rPr>
        <w:t xml:space="preserve"> para recolectar y preservar evidencia </w:t>
      </w:r>
      <w:r w:rsidR="00234B7D" w:rsidRPr="006B3CBE">
        <w:rPr>
          <w:rFonts w:asciiTheme="majorHAnsi" w:hAnsiTheme="majorHAnsi" w:cstheme="majorHAnsi"/>
        </w:rPr>
        <w:t>electrónica</w:t>
      </w:r>
      <w:r w:rsidRPr="006B3CBE">
        <w:rPr>
          <w:rFonts w:asciiTheme="majorHAnsi" w:hAnsiTheme="majorHAnsi" w:cstheme="majorHAnsi"/>
        </w:rPr>
        <w:t>.</w:t>
      </w:r>
    </w:p>
    <w:p w:rsidR="006B3CBE" w:rsidRPr="006B3CBE" w:rsidRDefault="006B3CBE" w:rsidP="00234B7D">
      <w:pPr>
        <w:numPr>
          <w:ilvl w:val="0"/>
          <w:numId w:val="7"/>
        </w:numPr>
        <w:spacing w:after="0" w:line="240" w:lineRule="auto"/>
        <w:jc w:val="both"/>
        <w:rPr>
          <w:rFonts w:asciiTheme="majorHAnsi" w:hAnsiTheme="majorHAnsi" w:cstheme="majorHAnsi"/>
        </w:rPr>
      </w:pPr>
      <w:r w:rsidRPr="006B3CBE">
        <w:rPr>
          <w:rFonts w:asciiTheme="majorHAnsi" w:hAnsiTheme="majorHAnsi" w:cstheme="majorHAnsi"/>
        </w:rPr>
        <w:t xml:space="preserve">Los protocolos de cadena de custodia que deben regir para todos los dispositivos que puedan contener evidencia </w:t>
      </w:r>
      <w:r w:rsidR="00234B7D" w:rsidRPr="006B3CBE">
        <w:rPr>
          <w:rFonts w:asciiTheme="majorHAnsi" w:hAnsiTheme="majorHAnsi" w:cstheme="majorHAnsi"/>
        </w:rPr>
        <w:t>electrónica</w:t>
      </w:r>
      <w:r w:rsidRPr="006B3CBE">
        <w:rPr>
          <w:rFonts w:asciiTheme="majorHAnsi" w:hAnsiTheme="majorHAnsi" w:cstheme="majorHAnsi"/>
        </w:rPr>
        <w:t>.</w:t>
      </w:r>
    </w:p>
    <w:p w:rsidR="006B3CBE" w:rsidRPr="006B3CBE" w:rsidRDefault="006B3CBE" w:rsidP="006B3CBE">
      <w:pPr>
        <w:jc w:val="both"/>
        <w:rPr>
          <w:rFonts w:asciiTheme="majorHAnsi" w:hAnsiTheme="majorHAnsi" w:cstheme="majorHAnsi"/>
        </w:rPr>
      </w:pPr>
    </w:p>
    <w:p w:rsidR="006B3CBE" w:rsidRPr="006B3CBE" w:rsidRDefault="00D94538" w:rsidP="006B3CBE">
      <w:pPr>
        <w:jc w:val="both"/>
        <w:rPr>
          <w:rFonts w:asciiTheme="majorHAnsi" w:eastAsia="Roboto" w:hAnsiTheme="majorHAnsi" w:cstheme="majorHAnsi"/>
          <w:b/>
        </w:rPr>
      </w:pPr>
      <w:r>
        <w:rPr>
          <w:rFonts w:asciiTheme="majorHAnsi" w:eastAsia="Roboto" w:hAnsiTheme="majorHAnsi" w:cstheme="majorHAnsi"/>
          <w:b/>
        </w:rPr>
        <w:t>5</w:t>
      </w:r>
      <w:r w:rsidR="006B3CBE" w:rsidRPr="006B3CBE">
        <w:rPr>
          <w:rFonts w:asciiTheme="majorHAnsi" w:eastAsia="Roboto" w:hAnsiTheme="majorHAnsi" w:cstheme="majorHAnsi"/>
          <w:b/>
        </w:rPr>
        <w:t xml:space="preserve">. </w:t>
      </w:r>
      <w:r w:rsidR="006B3CBE" w:rsidRPr="00DA1EA9">
        <w:rPr>
          <w:rFonts w:asciiTheme="majorHAnsi" w:eastAsia="Roboto" w:hAnsiTheme="majorHAnsi" w:cstheme="majorHAnsi"/>
          <w:b/>
          <w:highlight w:val="yellow"/>
        </w:rPr>
        <w:t xml:space="preserve">Potenciar </w:t>
      </w:r>
      <w:r w:rsidR="00DA1EA9" w:rsidRPr="00DA1EA9">
        <w:rPr>
          <w:rFonts w:asciiTheme="majorHAnsi" w:eastAsia="Roboto" w:hAnsiTheme="majorHAnsi" w:cstheme="majorHAnsi"/>
          <w:b/>
          <w:highlight w:val="yellow"/>
        </w:rPr>
        <w:t>la</w:t>
      </w:r>
      <w:r w:rsidR="006B3CBE" w:rsidRPr="00DA1EA9">
        <w:rPr>
          <w:rFonts w:asciiTheme="majorHAnsi" w:eastAsia="Roboto" w:hAnsiTheme="majorHAnsi" w:cstheme="majorHAnsi"/>
          <w:b/>
          <w:highlight w:val="yellow"/>
        </w:rPr>
        <w:t xml:space="preserve"> supervisión con un EBR (sectores de valores, casinos y tragamonedas, abogados, contadores y remesas postales)</w:t>
      </w:r>
    </w:p>
    <w:p w:rsidR="006B3CBE" w:rsidRDefault="006B3CBE" w:rsidP="006B3CBE">
      <w:pPr>
        <w:jc w:val="both"/>
        <w:rPr>
          <w:rFonts w:asciiTheme="majorHAnsi" w:eastAsia="Roboto" w:hAnsiTheme="majorHAnsi" w:cstheme="majorHAnsi"/>
          <w:color w:val="333333"/>
        </w:rPr>
      </w:pPr>
      <w:r w:rsidRPr="006B3CBE">
        <w:rPr>
          <w:rFonts w:asciiTheme="majorHAnsi" w:eastAsia="Roboto" w:hAnsiTheme="majorHAnsi" w:cstheme="majorHAnsi"/>
          <w:color w:val="333333"/>
        </w:rPr>
        <w:t>Esta alternativa propone el diseño y ejecución de acciones que fortalezcan los procesos de supervisión de prevención de LA/FT con un enfoque basado en riesgos. Ello implica desarrollar herramientas tales como planes, manuales y guías</w:t>
      </w:r>
      <w:r w:rsidR="009A3045">
        <w:rPr>
          <w:rFonts w:asciiTheme="majorHAnsi" w:eastAsia="Roboto" w:hAnsiTheme="majorHAnsi" w:cstheme="majorHAnsi"/>
          <w:color w:val="333333"/>
        </w:rPr>
        <w:t xml:space="preserve"> para fortalecer la supervisión</w:t>
      </w:r>
      <w:r w:rsidRPr="006B3CBE">
        <w:rPr>
          <w:rFonts w:asciiTheme="majorHAnsi" w:eastAsia="Roboto" w:hAnsiTheme="majorHAnsi" w:cstheme="majorHAnsi"/>
          <w:color w:val="333333"/>
        </w:rPr>
        <w:t xml:space="preserve"> en aquellos sectores especificados</w:t>
      </w:r>
      <w:r w:rsidR="00CE18AF" w:rsidRPr="00761457">
        <w:rPr>
          <w:rFonts w:asciiTheme="majorHAnsi" w:eastAsia="Roboto" w:hAnsiTheme="majorHAnsi" w:cstheme="majorHAnsi"/>
          <w:color w:val="333333"/>
        </w:rPr>
        <w:t>.</w:t>
      </w:r>
    </w:p>
    <w:p w:rsidR="002E5929" w:rsidRPr="006B3CBE" w:rsidRDefault="002E5929" w:rsidP="002E5929">
      <w:pPr>
        <w:jc w:val="both"/>
        <w:rPr>
          <w:rFonts w:asciiTheme="majorHAnsi" w:eastAsia="Roboto" w:hAnsiTheme="majorHAnsi" w:cstheme="majorHAnsi"/>
          <w:color w:val="333333"/>
        </w:rPr>
      </w:pPr>
      <w:r>
        <w:rPr>
          <w:rFonts w:asciiTheme="majorHAnsi" w:eastAsia="Roboto" w:hAnsiTheme="majorHAnsi" w:cstheme="majorHAnsi"/>
          <w:color w:val="333333"/>
        </w:rPr>
        <w:t>Como antecedente se puede resaltar que, p</w:t>
      </w:r>
      <w:r w:rsidRPr="006B3CBE">
        <w:rPr>
          <w:rFonts w:asciiTheme="majorHAnsi" w:eastAsia="Roboto" w:hAnsiTheme="majorHAnsi" w:cstheme="majorHAnsi"/>
          <w:color w:val="333333"/>
        </w:rPr>
        <w:t>or parte del GAFI</w:t>
      </w:r>
      <w:r>
        <w:rPr>
          <w:rFonts w:asciiTheme="majorHAnsi" w:eastAsia="Roboto" w:hAnsiTheme="majorHAnsi" w:cstheme="majorHAnsi"/>
          <w:color w:val="333333"/>
        </w:rPr>
        <w:t>,</w:t>
      </w:r>
      <w:r w:rsidRPr="006B3CBE">
        <w:rPr>
          <w:rFonts w:asciiTheme="majorHAnsi" w:eastAsia="Roboto" w:hAnsiTheme="majorHAnsi" w:cstheme="majorHAnsi"/>
          <w:color w:val="333333"/>
        </w:rPr>
        <w:t xml:space="preserve"> se han impulsado este tipo de herramientas para fortalecer las capacidades de los supervisores y su</w:t>
      </w:r>
      <w:r>
        <w:rPr>
          <w:rFonts w:asciiTheme="majorHAnsi" w:eastAsia="Roboto" w:hAnsiTheme="majorHAnsi" w:cstheme="majorHAnsi"/>
          <w:color w:val="333333"/>
        </w:rPr>
        <w:t>jetos obligados a nivel mundial,</w:t>
      </w:r>
      <w:r w:rsidRPr="006B3CBE">
        <w:rPr>
          <w:rFonts w:asciiTheme="majorHAnsi" w:eastAsia="Roboto" w:hAnsiTheme="majorHAnsi" w:cstheme="majorHAnsi"/>
          <w:color w:val="333333"/>
        </w:rPr>
        <w:t xml:space="preserve"> como es el caso del documento: “</w:t>
      </w:r>
      <w:r w:rsidRPr="006B3CBE">
        <w:rPr>
          <w:rFonts w:asciiTheme="majorHAnsi" w:hAnsiTheme="majorHAnsi" w:cstheme="majorHAnsi"/>
          <w:color w:val="333333"/>
          <w:highlight w:val="white"/>
        </w:rPr>
        <w:t>Orientación del GAFI sobre la supervisión basada en el riesgo”, de marzo de 2021.</w:t>
      </w:r>
      <w:r>
        <w:rPr>
          <w:rFonts w:asciiTheme="majorHAnsi" w:hAnsiTheme="majorHAnsi" w:cstheme="majorHAnsi"/>
          <w:color w:val="333333"/>
        </w:rPr>
        <w:t xml:space="preserve"> </w:t>
      </w:r>
      <w:r w:rsidR="00B06B16">
        <w:rPr>
          <w:rFonts w:asciiTheme="majorHAnsi" w:eastAsia="Roboto" w:hAnsiTheme="majorHAnsi" w:cstheme="majorHAnsi"/>
          <w:color w:val="333333"/>
        </w:rPr>
        <w:t>Asimismo</w:t>
      </w:r>
      <w:r w:rsidRPr="006B3CBE">
        <w:rPr>
          <w:rFonts w:asciiTheme="majorHAnsi" w:eastAsia="Roboto" w:hAnsiTheme="majorHAnsi" w:cstheme="majorHAnsi"/>
          <w:color w:val="333333"/>
        </w:rPr>
        <w:t>, a nivel de Latinoamérica el GAFILAT ha desarrollado también diversos manuales y guías como por ejemplo el documento denominado “Supervisión con enfoque basado en riesgos de las APNFD sin regulación prudencial”, publicado en febrero de 2020.</w:t>
      </w:r>
    </w:p>
    <w:p w:rsidR="006B3CBE" w:rsidRPr="002E5929" w:rsidRDefault="006B3CBE" w:rsidP="00913EB3">
      <w:pPr>
        <w:jc w:val="both"/>
        <w:rPr>
          <w:rFonts w:asciiTheme="majorHAnsi" w:eastAsia="Roboto" w:hAnsiTheme="majorHAnsi" w:cstheme="majorHAnsi"/>
          <w:color w:val="333333"/>
        </w:rPr>
      </w:pPr>
      <w:r w:rsidRPr="002E5929">
        <w:rPr>
          <w:rFonts w:asciiTheme="majorHAnsi" w:eastAsia="Roboto" w:hAnsiTheme="majorHAnsi" w:cstheme="majorHAnsi"/>
          <w:color w:val="333333"/>
        </w:rPr>
        <w:t xml:space="preserve">Al respecto, </w:t>
      </w:r>
      <w:r w:rsidR="000E5061">
        <w:rPr>
          <w:rFonts w:asciiTheme="majorHAnsi" w:eastAsia="Roboto" w:hAnsiTheme="majorHAnsi" w:cstheme="majorHAnsi"/>
          <w:color w:val="333333"/>
        </w:rPr>
        <w:t xml:space="preserve">a nivel nacional, </w:t>
      </w:r>
      <w:r w:rsidR="00913EB3" w:rsidRPr="002E5929">
        <w:rPr>
          <w:rFonts w:asciiTheme="majorHAnsi" w:eastAsia="Roboto" w:hAnsiTheme="majorHAnsi" w:cstheme="majorHAnsi"/>
          <w:color w:val="333333"/>
        </w:rPr>
        <w:t xml:space="preserve">los antecedentes de esta alternativa se encuentran en las acciones 1.3.1 </w:t>
      </w:r>
      <w:r w:rsidR="002E5929">
        <w:rPr>
          <w:rFonts w:asciiTheme="majorHAnsi" w:eastAsia="Roboto" w:hAnsiTheme="majorHAnsi" w:cstheme="majorHAnsi"/>
          <w:color w:val="333333"/>
        </w:rPr>
        <w:t>(</w:t>
      </w:r>
      <w:r w:rsidR="002E5929" w:rsidRPr="000E5061">
        <w:rPr>
          <w:rFonts w:asciiTheme="majorHAnsi" w:eastAsia="Roboto" w:hAnsiTheme="majorHAnsi" w:cstheme="majorHAnsi"/>
          <w:color w:val="333333"/>
        </w:rPr>
        <w:t>potenciar la planificación de la supervisión anual en materia de LA/FT con un enfoque basado en riesg</w:t>
      </w:r>
      <w:r w:rsidR="002E5929">
        <w:rPr>
          <w:rFonts w:asciiTheme="majorHAnsi" w:eastAsia="Roboto" w:hAnsiTheme="majorHAnsi" w:cstheme="majorHAnsi"/>
          <w:color w:val="333333"/>
        </w:rPr>
        <w:t xml:space="preserve">os) </w:t>
      </w:r>
      <w:r w:rsidR="00913EB3" w:rsidRPr="002E5929">
        <w:rPr>
          <w:rFonts w:asciiTheme="majorHAnsi" w:eastAsia="Roboto" w:hAnsiTheme="majorHAnsi" w:cstheme="majorHAnsi"/>
          <w:color w:val="333333"/>
        </w:rPr>
        <w:t>y 4.3.1</w:t>
      </w:r>
      <w:r w:rsidR="002E5929">
        <w:rPr>
          <w:rFonts w:asciiTheme="majorHAnsi" w:eastAsia="Roboto" w:hAnsiTheme="majorHAnsi" w:cstheme="majorHAnsi"/>
          <w:color w:val="333333"/>
        </w:rPr>
        <w:t xml:space="preserve"> (</w:t>
      </w:r>
      <w:r w:rsidR="002E5929" w:rsidRPr="000E5061">
        <w:rPr>
          <w:rFonts w:asciiTheme="majorHAnsi" w:eastAsia="Roboto" w:hAnsiTheme="majorHAnsi" w:cstheme="majorHAnsi"/>
          <w:color w:val="333333"/>
        </w:rPr>
        <w:t>promover la cultura de la prevención LA/FT entre los sujetos obligados y ejecución de acciones de concientización y apoyo</w:t>
      </w:r>
      <w:r w:rsidR="002E5929">
        <w:rPr>
          <w:rFonts w:asciiTheme="majorHAnsi" w:eastAsia="Roboto" w:hAnsiTheme="majorHAnsi" w:cstheme="majorHAnsi"/>
          <w:color w:val="333333"/>
        </w:rPr>
        <w:t>)</w:t>
      </w:r>
      <w:r w:rsidR="00913EB3" w:rsidRPr="002E5929">
        <w:rPr>
          <w:rFonts w:asciiTheme="majorHAnsi" w:eastAsia="Roboto" w:hAnsiTheme="majorHAnsi" w:cstheme="majorHAnsi"/>
          <w:color w:val="333333"/>
        </w:rPr>
        <w:t xml:space="preserve"> d</w:t>
      </w:r>
      <w:r w:rsidRPr="002E5929">
        <w:rPr>
          <w:rFonts w:asciiTheme="majorHAnsi" w:eastAsia="Roboto" w:hAnsiTheme="majorHAnsi" w:cstheme="majorHAnsi"/>
          <w:color w:val="333333"/>
        </w:rPr>
        <w:t xml:space="preserve">el Plan Nacional contra el LA/FT </w:t>
      </w:r>
      <w:r w:rsidRPr="002E5929">
        <w:rPr>
          <w:rFonts w:asciiTheme="majorHAnsi" w:eastAsia="Roboto" w:hAnsiTheme="majorHAnsi" w:cstheme="majorHAnsi"/>
          <w:color w:val="333333"/>
        </w:rPr>
        <w:lastRenderedPageBreak/>
        <w:t>2018-2021</w:t>
      </w:r>
      <w:r w:rsidR="002E5929">
        <w:rPr>
          <w:rFonts w:asciiTheme="majorHAnsi" w:eastAsia="Roboto" w:hAnsiTheme="majorHAnsi" w:cstheme="majorHAnsi"/>
          <w:color w:val="333333"/>
        </w:rPr>
        <w:t xml:space="preserve">. </w:t>
      </w:r>
      <w:r w:rsidRPr="002E5929">
        <w:rPr>
          <w:rFonts w:asciiTheme="majorHAnsi" w:eastAsia="Roboto" w:hAnsiTheme="majorHAnsi" w:cstheme="majorHAnsi"/>
          <w:color w:val="333333"/>
        </w:rPr>
        <w:t xml:space="preserve"> </w:t>
      </w:r>
      <w:r w:rsidR="002E5929">
        <w:rPr>
          <w:rFonts w:asciiTheme="majorHAnsi" w:eastAsia="Roboto" w:hAnsiTheme="majorHAnsi" w:cstheme="majorHAnsi"/>
          <w:color w:val="333333"/>
        </w:rPr>
        <w:t xml:space="preserve">Respecto a esta última, </w:t>
      </w:r>
      <w:r w:rsidR="000E5061">
        <w:rPr>
          <w:rFonts w:asciiTheme="majorHAnsi" w:eastAsia="Roboto" w:hAnsiTheme="majorHAnsi" w:cstheme="majorHAnsi"/>
          <w:color w:val="333333"/>
        </w:rPr>
        <w:t xml:space="preserve">por ejemplo, </w:t>
      </w:r>
      <w:r w:rsidR="002E5929">
        <w:rPr>
          <w:rFonts w:asciiTheme="majorHAnsi" w:eastAsia="Roboto" w:hAnsiTheme="majorHAnsi" w:cstheme="majorHAnsi"/>
          <w:color w:val="333333"/>
        </w:rPr>
        <w:t xml:space="preserve">se emitió </w:t>
      </w:r>
      <w:r w:rsidR="002E5929" w:rsidRPr="000E5061">
        <w:rPr>
          <w:rFonts w:asciiTheme="majorHAnsi" w:eastAsia="Roboto" w:hAnsiTheme="majorHAnsi" w:cstheme="majorHAnsi"/>
          <w:color w:val="333333"/>
        </w:rPr>
        <w:t>la  “Guía para la implementación de la supervisión basada en riesgos, para los sectores supervisados por la UIF-Perú”.</w:t>
      </w:r>
    </w:p>
    <w:p w:rsidR="006B3CBE" w:rsidRPr="006B3CBE" w:rsidRDefault="00D94538" w:rsidP="006B3CBE">
      <w:pPr>
        <w:pBdr>
          <w:top w:val="nil"/>
          <w:left w:val="nil"/>
          <w:bottom w:val="nil"/>
          <w:right w:val="nil"/>
          <w:between w:val="nil"/>
        </w:pBdr>
        <w:jc w:val="both"/>
        <w:rPr>
          <w:rFonts w:asciiTheme="majorHAnsi" w:eastAsia="Roboto" w:hAnsiTheme="majorHAnsi" w:cstheme="majorHAnsi"/>
          <w:b/>
        </w:rPr>
      </w:pPr>
      <w:r>
        <w:rPr>
          <w:rFonts w:asciiTheme="majorHAnsi" w:eastAsia="Roboto" w:hAnsiTheme="majorHAnsi" w:cstheme="majorHAnsi"/>
          <w:b/>
        </w:rPr>
        <w:t>6</w:t>
      </w:r>
      <w:r w:rsidR="006B3CBE" w:rsidRPr="006B3CBE">
        <w:rPr>
          <w:rFonts w:asciiTheme="majorHAnsi" w:eastAsia="Roboto" w:hAnsiTheme="majorHAnsi" w:cstheme="majorHAnsi"/>
          <w:b/>
        </w:rPr>
        <w:t>. Diseñar e implementar mecanismos que provean la información suficiente a los supervisores sobre los SO</w:t>
      </w:r>
    </w:p>
    <w:p w:rsidR="006B3CBE" w:rsidRPr="006B3CBE" w:rsidRDefault="006B3CBE" w:rsidP="006B3CBE">
      <w:pPr>
        <w:pBdr>
          <w:top w:val="nil"/>
          <w:left w:val="nil"/>
          <w:bottom w:val="nil"/>
          <w:right w:val="nil"/>
          <w:between w:val="nil"/>
        </w:pBdr>
        <w:jc w:val="both"/>
        <w:rPr>
          <w:rFonts w:asciiTheme="majorHAnsi" w:eastAsia="Roboto" w:hAnsiTheme="majorHAnsi" w:cstheme="majorHAnsi"/>
        </w:rPr>
      </w:pPr>
      <w:r w:rsidRPr="006B3CBE">
        <w:rPr>
          <w:rFonts w:asciiTheme="majorHAnsi" w:eastAsia="Roboto" w:hAnsiTheme="majorHAnsi" w:cstheme="majorHAnsi"/>
        </w:rPr>
        <w:t xml:space="preserve">Esta alternativa </w:t>
      </w:r>
      <w:r w:rsidR="00EE765B">
        <w:rPr>
          <w:rFonts w:asciiTheme="majorHAnsi" w:eastAsia="Roboto" w:hAnsiTheme="majorHAnsi" w:cstheme="majorHAnsi"/>
        </w:rPr>
        <w:t xml:space="preserve">busca </w:t>
      </w:r>
      <w:r w:rsidRPr="006B3CBE">
        <w:rPr>
          <w:rFonts w:asciiTheme="majorHAnsi" w:eastAsia="Roboto" w:hAnsiTheme="majorHAnsi" w:cstheme="majorHAnsi"/>
        </w:rPr>
        <w:t xml:space="preserve">establecer mecanismos para la obtención de información sobre quiénes serían los </w:t>
      </w:r>
      <w:r w:rsidR="00EE765B">
        <w:rPr>
          <w:rFonts w:asciiTheme="majorHAnsi" w:eastAsia="Roboto" w:hAnsiTheme="majorHAnsi" w:cstheme="majorHAnsi"/>
        </w:rPr>
        <w:t>SO</w:t>
      </w:r>
      <w:r w:rsidRPr="006B3CBE">
        <w:rPr>
          <w:rFonts w:asciiTheme="majorHAnsi" w:eastAsia="Roboto" w:hAnsiTheme="majorHAnsi" w:cstheme="majorHAnsi"/>
        </w:rPr>
        <w:t xml:space="preserve"> que deben ser supervisados a pesar que no se encuentran registrados en alguna institución que los licencie (como sucede por ejemplo con el sector de compraventa de divisas, préstamos y/o empeños). </w:t>
      </w:r>
    </w:p>
    <w:p w:rsidR="006B3CBE" w:rsidRPr="006B3CBE" w:rsidRDefault="00386620" w:rsidP="006B3CBE">
      <w:pPr>
        <w:pBdr>
          <w:top w:val="nil"/>
          <w:left w:val="nil"/>
          <w:bottom w:val="nil"/>
          <w:right w:val="nil"/>
          <w:between w:val="nil"/>
        </w:pBdr>
        <w:jc w:val="both"/>
        <w:rPr>
          <w:rFonts w:asciiTheme="majorHAnsi" w:eastAsia="Roboto" w:hAnsiTheme="majorHAnsi" w:cstheme="majorHAnsi"/>
          <w:highlight w:val="white"/>
        </w:rPr>
      </w:pPr>
      <w:r>
        <w:rPr>
          <w:rFonts w:asciiTheme="majorHAnsi" w:eastAsia="Roboto" w:hAnsiTheme="majorHAnsi" w:cstheme="majorHAnsi"/>
          <w:highlight w:val="white"/>
        </w:rPr>
        <w:t xml:space="preserve">Un antecedente </w:t>
      </w:r>
      <w:r w:rsidR="006B3CBE" w:rsidRPr="006B3CBE">
        <w:rPr>
          <w:rFonts w:asciiTheme="majorHAnsi" w:eastAsia="Roboto" w:hAnsiTheme="majorHAnsi" w:cstheme="majorHAnsi"/>
          <w:highlight w:val="white"/>
        </w:rPr>
        <w:t>sobre el particular lo encontramos en Chile, quienes vienen celebrando convenios con su autoridad tributaria a fin de que pueda ayudarlos a acceder a información sobre los datos de las personas naturales o jurídicas que son contribuyentes en los sectores que agrupan a los sujetos obligados, pudiendo así ampliar el ámbito de supervisión. En el Informe de Evaluación Mutua de Chile del año 2021 se señaló lo siguiente:</w:t>
      </w:r>
    </w:p>
    <w:p w:rsidR="006B3CBE" w:rsidRPr="006B3CBE" w:rsidRDefault="006B3CBE" w:rsidP="006B3CBE">
      <w:pPr>
        <w:pBdr>
          <w:top w:val="nil"/>
          <w:left w:val="nil"/>
          <w:bottom w:val="nil"/>
          <w:right w:val="nil"/>
          <w:between w:val="nil"/>
        </w:pBdr>
        <w:ind w:left="1275"/>
        <w:jc w:val="both"/>
        <w:rPr>
          <w:rFonts w:asciiTheme="majorHAnsi" w:eastAsia="Roboto" w:hAnsiTheme="majorHAnsi" w:cstheme="majorHAnsi"/>
          <w:i/>
          <w:highlight w:val="white"/>
        </w:rPr>
      </w:pPr>
      <w:r w:rsidRPr="006B3CBE">
        <w:rPr>
          <w:rFonts w:asciiTheme="majorHAnsi" w:eastAsia="Roboto" w:hAnsiTheme="majorHAnsi" w:cstheme="majorHAnsi"/>
          <w:i/>
          <w:highlight w:val="white"/>
        </w:rPr>
        <w:t>“492. La UAF también cuenta con procedimientos para la identificación de instituciones, actividades y profesiones que se encuentran en las categorías de SO pendientes de registro. Por ejemplo, a través del Convenio de colaboración con el SII cuentan con información respecto de las entidades registradas en materia tributaria que aún no se han registrado ante la UAF. De esa manera, la UAF les notifica su obligación de registro. “</w:t>
      </w:r>
    </w:p>
    <w:p w:rsidR="006B3CBE" w:rsidRDefault="006B3CBE" w:rsidP="006B3CBE">
      <w:pPr>
        <w:pBdr>
          <w:top w:val="nil"/>
          <w:left w:val="nil"/>
          <w:bottom w:val="nil"/>
          <w:right w:val="nil"/>
          <w:between w:val="nil"/>
        </w:pBdr>
        <w:jc w:val="both"/>
        <w:rPr>
          <w:rFonts w:asciiTheme="majorHAnsi" w:eastAsia="Roboto" w:hAnsiTheme="majorHAnsi" w:cstheme="majorHAnsi"/>
          <w:highlight w:val="white"/>
        </w:rPr>
      </w:pPr>
      <w:r w:rsidRPr="006B3CBE">
        <w:rPr>
          <w:rFonts w:asciiTheme="majorHAnsi" w:eastAsia="Roboto" w:hAnsiTheme="majorHAnsi" w:cstheme="majorHAnsi"/>
          <w:highlight w:val="white"/>
        </w:rPr>
        <w:t xml:space="preserve">Por lo señalado, se puede evidenciar que </w:t>
      </w:r>
      <w:r w:rsidR="009275BE">
        <w:rPr>
          <w:rFonts w:asciiTheme="majorHAnsi" w:eastAsia="Roboto" w:hAnsiTheme="majorHAnsi" w:cstheme="majorHAnsi"/>
          <w:highlight w:val="white"/>
        </w:rPr>
        <w:t>existen otros países en la región</w:t>
      </w:r>
      <w:r w:rsidRPr="006B3CBE">
        <w:rPr>
          <w:rFonts w:asciiTheme="majorHAnsi" w:eastAsia="Roboto" w:hAnsiTheme="majorHAnsi" w:cstheme="majorHAnsi"/>
          <w:highlight w:val="white"/>
        </w:rPr>
        <w:t xml:space="preserve"> que debe trabajar en establecer mecanismos para lograr agrupar al número real de sujetos obligados de los sectores designados; por lo que, urge poder implementar estas medidas a fin de que el sistema de prevención de LA funcione adecuadamente y complete la cadena de valor del Sistema Nacional contra el LA.</w:t>
      </w:r>
    </w:p>
    <w:p w:rsidR="006B3CBE" w:rsidRPr="006B3CBE" w:rsidRDefault="00D94538" w:rsidP="006B3CBE">
      <w:pPr>
        <w:pBdr>
          <w:top w:val="nil"/>
          <w:left w:val="nil"/>
          <w:bottom w:val="nil"/>
          <w:right w:val="nil"/>
          <w:between w:val="nil"/>
        </w:pBdr>
        <w:jc w:val="both"/>
        <w:rPr>
          <w:rFonts w:asciiTheme="majorHAnsi" w:eastAsia="Roboto" w:hAnsiTheme="majorHAnsi" w:cstheme="majorHAnsi"/>
          <w:b/>
        </w:rPr>
      </w:pPr>
      <w:r>
        <w:rPr>
          <w:rFonts w:asciiTheme="majorHAnsi" w:eastAsia="Roboto" w:hAnsiTheme="majorHAnsi" w:cstheme="majorHAnsi"/>
          <w:b/>
        </w:rPr>
        <w:t>7</w:t>
      </w:r>
      <w:r w:rsidR="006B3CBE" w:rsidRPr="006B3CBE">
        <w:rPr>
          <w:rFonts w:asciiTheme="majorHAnsi" w:eastAsia="Roboto" w:hAnsiTheme="majorHAnsi" w:cstheme="majorHAnsi"/>
          <w:b/>
        </w:rPr>
        <w:t xml:space="preserve">. Fortalecer los controles en zonas de alto riesgo (frontera, puerto, aeropuertos, </w:t>
      </w:r>
      <w:r w:rsidR="007C798E">
        <w:rPr>
          <w:rFonts w:asciiTheme="majorHAnsi" w:eastAsia="Roboto" w:hAnsiTheme="majorHAnsi" w:cstheme="majorHAnsi"/>
          <w:b/>
        </w:rPr>
        <w:t>entre otros</w:t>
      </w:r>
      <w:r w:rsidR="006B3CBE" w:rsidRPr="006B3CBE">
        <w:rPr>
          <w:rFonts w:asciiTheme="majorHAnsi" w:eastAsia="Roboto" w:hAnsiTheme="majorHAnsi" w:cstheme="majorHAnsi"/>
          <w:b/>
        </w:rPr>
        <w:t>) para evitar el transporte de dinero en efectivo de origen ilícito</w:t>
      </w:r>
    </w:p>
    <w:p w:rsidR="001C61D5" w:rsidRDefault="006B3CBE" w:rsidP="006B3CBE">
      <w:pPr>
        <w:jc w:val="both"/>
        <w:rPr>
          <w:rFonts w:asciiTheme="majorHAnsi" w:eastAsia="Roboto" w:hAnsiTheme="majorHAnsi" w:cstheme="majorHAnsi"/>
        </w:rPr>
      </w:pPr>
      <w:r w:rsidRPr="00060A5A">
        <w:rPr>
          <w:rFonts w:asciiTheme="majorHAnsi" w:eastAsia="Roboto" w:hAnsiTheme="majorHAnsi" w:cstheme="majorHAnsi"/>
          <w:highlight w:val="yellow"/>
        </w:rPr>
        <w:t xml:space="preserve">Esta alternativa busca </w:t>
      </w:r>
      <w:r w:rsidR="001C61D5" w:rsidRPr="00060A5A">
        <w:rPr>
          <w:rFonts w:asciiTheme="majorHAnsi" w:eastAsia="Roboto" w:hAnsiTheme="majorHAnsi" w:cstheme="majorHAnsi"/>
          <w:highlight w:val="yellow"/>
        </w:rPr>
        <w:t>mejorar la regulación y normativa existente, incrementar el recurso humano y tecnológico a la SUNAT</w:t>
      </w:r>
      <w:r w:rsidR="00060A5A" w:rsidRPr="00060A5A">
        <w:rPr>
          <w:rFonts w:asciiTheme="majorHAnsi" w:eastAsia="Roboto" w:hAnsiTheme="majorHAnsi" w:cstheme="majorHAnsi"/>
          <w:highlight w:val="yellow"/>
        </w:rPr>
        <w:t xml:space="preserve"> y </w:t>
      </w:r>
      <w:r w:rsidR="001C61D5" w:rsidRPr="00060A5A">
        <w:rPr>
          <w:rFonts w:asciiTheme="majorHAnsi" w:eastAsia="Roboto" w:hAnsiTheme="majorHAnsi" w:cstheme="majorHAnsi"/>
          <w:highlight w:val="yellow"/>
        </w:rPr>
        <w:t xml:space="preserve">fortalecer la coordinación interinstitucional, entre </w:t>
      </w:r>
      <w:r w:rsidR="00060A5A" w:rsidRPr="00060A5A">
        <w:rPr>
          <w:rFonts w:asciiTheme="majorHAnsi" w:eastAsia="Roboto" w:hAnsiTheme="majorHAnsi" w:cstheme="majorHAnsi"/>
          <w:highlight w:val="yellow"/>
        </w:rPr>
        <w:t>aquella</w:t>
      </w:r>
      <w:r w:rsidR="001C61D5" w:rsidRPr="00060A5A">
        <w:rPr>
          <w:rFonts w:asciiTheme="majorHAnsi" w:eastAsia="Roboto" w:hAnsiTheme="majorHAnsi" w:cstheme="majorHAnsi"/>
          <w:highlight w:val="yellow"/>
        </w:rPr>
        <w:t xml:space="preserve"> y demás autoridades intervinientes, en las acciones de control de dinero en efectivo de origen ilícito en frontera.</w:t>
      </w:r>
      <w:r w:rsidR="001C61D5">
        <w:rPr>
          <w:rFonts w:asciiTheme="majorHAnsi" w:eastAsia="Roboto" w:hAnsiTheme="majorHAnsi" w:cstheme="majorHAnsi"/>
        </w:rPr>
        <w:t xml:space="preserve"> </w:t>
      </w:r>
    </w:p>
    <w:p w:rsidR="0069409B" w:rsidRPr="00352FC4" w:rsidRDefault="0069409B" w:rsidP="006B3CBE">
      <w:pPr>
        <w:jc w:val="both"/>
        <w:rPr>
          <w:rFonts w:asciiTheme="majorHAnsi" w:eastAsia="Roboto" w:hAnsiTheme="majorHAnsi" w:cstheme="majorHAnsi"/>
        </w:rPr>
      </w:pPr>
      <w:r w:rsidRPr="00352FC4">
        <w:rPr>
          <w:rFonts w:asciiTheme="majorHAnsi" w:eastAsia="Roboto" w:hAnsiTheme="majorHAnsi" w:cstheme="majorHAnsi"/>
        </w:rPr>
        <w:t>Algunos antecedentes a nivel de la región pueden ser:</w:t>
      </w:r>
    </w:p>
    <w:tbl>
      <w:tblPr>
        <w:tblW w:w="5019" w:type="pct"/>
        <w:tblBorders>
          <w:top w:val="nil"/>
          <w:left w:val="nil"/>
          <w:bottom w:val="nil"/>
          <w:right w:val="nil"/>
          <w:insideH w:val="nil"/>
          <w:insideV w:val="nil"/>
        </w:tblBorders>
        <w:tblLook w:val="0600" w:firstRow="0" w:lastRow="0" w:firstColumn="0" w:lastColumn="0" w:noHBand="1" w:noVBand="1"/>
      </w:tblPr>
      <w:tblGrid>
        <w:gridCol w:w="1272"/>
        <w:gridCol w:w="7244"/>
      </w:tblGrid>
      <w:tr w:rsidR="0069409B" w:rsidRPr="006B3CBE" w:rsidTr="0069409B">
        <w:trPr>
          <w:trHeight w:val="14"/>
        </w:trPr>
        <w:tc>
          <w:tcPr>
            <w:tcW w:w="747" w:type="pct"/>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tcPr>
          <w:p w:rsidR="0069409B" w:rsidRPr="006B3CBE" w:rsidRDefault="0069409B" w:rsidP="00FB09F0">
            <w:pPr>
              <w:spacing w:after="0" w:line="240" w:lineRule="auto"/>
              <w:jc w:val="center"/>
              <w:rPr>
                <w:rFonts w:asciiTheme="majorHAnsi" w:hAnsiTheme="majorHAnsi" w:cstheme="majorHAnsi"/>
                <w:b/>
              </w:rPr>
            </w:pPr>
            <w:r w:rsidRPr="006B3CBE">
              <w:rPr>
                <w:rFonts w:asciiTheme="majorHAnsi" w:hAnsiTheme="majorHAnsi" w:cstheme="majorHAnsi"/>
                <w:b/>
              </w:rPr>
              <w:t>País</w:t>
            </w:r>
          </w:p>
        </w:tc>
        <w:tc>
          <w:tcPr>
            <w:tcW w:w="4253" w:type="pct"/>
            <w:tcBorders>
              <w:top w:val="single" w:sz="8" w:space="0" w:color="000000"/>
              <w:left w:val="nil"/>
              <w:bottom w:val="single" w:sz="8" w:space="0" w:color="000000"/>
              <w:right w:val="single" w:sz="8" w:space="0" w:color="000000"/>
            </w:tcBorders>
            <w:shd w:val="clear" w:color="auto" w:fill="BDD6EE"/>
            <w:tcMar>
              <w:top w:w="100" w:type="dxa"/>
              <w:left w:w="100" w:type="dxa"/>
              <w:bottom w:w="100" w:type="dxa"/>
              <w:right w:w="100" w:type="dxa"/>
            </w:tcMar>
          </w:tcPr>
          <w:p w:rsidR="0069409B" w:rsidRPr="006B3CBE" w:rsidRDefault="00C42124" w:rsidP="00FB09F0">
            <w:pPr>
              <w:spacing w:after="0" w:line="240" w:lineRule="auto"/>
              <w:jc w:val="center"/>
              <w:rPr>
                <w:rFonts w:asciiTheme="majorHAnsi" w:hAnsiTheme="majorHAnsi" w:cstheme="majorHAnsi"/>
                <w:b/>
              </w:rPr>
            </w:pPr>
            <w:r>
              <w:rPr>
                <w:rFonts w:asciiTheme="majorHAnsi" w:hAnsiTheme="majorHAnsi" w:cstheme="majorHAnsi"/>
                <w:b/>
              </w:rPr>
              <w:t>Experiencia</w:t>
            </w:r>
          </w:p>
        </w:tc>
      </w:tr>
      <w:tr w:rsidR="0069409B" w:rsidRPr="00234B7D" w:rsidTr="00C00230">
        <w:trPr>
          <w:trHeight w:val="560"/>
        </w:trPr>
        <w:tc>
          <w:tcPr>
            <w:tcW w:w="747" w:type="pct"/>
            <w:tcBorders>
              <w:top w:val="nil"/>
              <w:left w:val="single" w:sz="8" w:space="0" w:color="000000"/>
              <w:bottom w:val="single" w:sz="4" w:space="0" w:color="auto"/>
              <w:right w:val="single" w:sz="8" w:space="0" w:color="000000"/>
            </w:tcBorders>
            <w:tcMar>
              <w:top w:w="100" w:type="dxa"/>
              <w:left w:w="100" w:type="dxa"/>
              <w:bottom w:w="100" w:type="dxa"/>
              <w:right w:w="100" w:type="dxa"/>
            </w:tcMar>
            <w:vAlign w:val="center"/>
          </w:tcPr>
          <w:p w:rsidR="0069409B" w:rsidRPr="00C00230" w:rsidRDefault="0069409B" w:rsidP="00C00230">
            <w:pPr>
              <w:spacing w:before="120" w:after="120" w:line="240" w:lineRule="auto"/>
              <w:jc w:val="center"/>
              <w:rPr>
                <w:rFonts w:asciiTheme="majorHAnsi" w:hAnsiTheme="majorHAnsi" w:cstheme="majorHAnsi"/>
                <w:b/>
              </w:rPr>
            </w:pPr>
            <w:r w:rsidRPr="00C00230">
              <w:rPr>
                <w:rFonts w:asciiTheme="majorHAnsi" w:hAnsiTheme="majorHAnsi" w:cstheme="majorHAnsi"/>
                <w:b/>
              </w:rPr>
              <w:t>Chile</w:t>
            </w:r>
          </w:p>
        </w:tc>
        <w:tc>
          <w:tcPr>
            <w:tcW w:w="4253" w:type="pct"/>
            <w:tcBorders>
              <w:top w:val="nil"/>
              <w:left w:val="nil"/>
              <w:bottom w:val="single" w:sz="4" w:space="0" w:color="auto"/>
              <w:right w:val="single" w:sz="8" w:space="0" w:color="000000"/>
            </w:tcBorders>
            <w:tcMar>
              <w:top w:w="100" w:type="dxa"/>
              <w:left w:w="100" w:type="dxa"/>
              <w:bottom w:w="100" w:type="dxa"/>
              <w:right w:w="100" w:type="dxa"/>
            </w:tcMar>
          </w:tcPr>
          <w:p w:rsidR="0069409B" w:rsidRPr="00352FC4" w:rsidRDefault="0069409B" w:rsidP="0069409B">
            <w:pPr>
              <w:jc w:val="both"/>
              <w:rPr>
                <w:rFonts w:asciiTheme="majorHAnsi" w:eastAsia="Roboto" w:hAnsiTheme="majorHAnsi" w:cstheme="majorHAnsi"/>
              </w:rPr>
            </w:pPr>
            <w:r w:rsidRPr="00352FC4">
              <w:rPr>
                <w:rFonts w:asciiTheme="majorHAnsi" w:eastAsia="Roboto" w:hAnsiTheme="majorHAnsi" w:cstheme="majorHAnsi"/>
              </w:rPr>
              <w:t>El Plan de Acción para la Ejecución de la Estrategia Nacional de Prevención y combate al LA y al Financiamiento del Terrorismo, se desarrollaron medidas para controlar el movimiento de activos por frontera. Entre los objetivos contemplados se consideró:</w:t>
            </w:r>
          </w:p>
          <w:p w:rsidR="0069409B" w:rsidRPr="0069409B" w:rsidRDefault="0069409B" w:rsidP="0069409B">
            <w:pPr>
              <w:pStyle w:val="Prrafodelista"/>
              <w:numPr>
                <w:ilvl w:val="0"/>
                <w:numId w:val="16"/>
              </w:numPr>
              <w:spacing w:before="120" w:after="120" w:line="240" w:lineRule="auto"/>
              <w:ind w:left="319" w:hanging="288"/>
              <w:jc w:val="both"/>
              <w:rPr>
                <w:rFonts w:asciiTheme="majorHAnsi" w:hAnsiTheme="majorHAnsi" w:cstheme="majorHAnsi"/>
              </w:rPr>
            </w:pPr>
            <w:r>
              <w:t>Identificar oportunamente los activos falsamente declarados o no declarados y aplicar sanciones efectivas, proporcionales y disuasivas.</w:t>
            </w:r>
          </w:p>
          <w:p w:rsidR="0069409B" w:rsidRPr="0069409B" w:rsidRDefault="0069409B" w:rsidP="0069409B">
            <w:pPr>
              <w:pStyle w:val="Prrafodelista"/>
              <w:numPr>
                <w:ilvl w:val="0"/>
                <w:numId w:val="16"/>
              </w:numPr>
              <w:spacing w:before="120" w:after="120" w:line="240" w:lineRule="auto"/>
              <w:ind w:left="319" w:hanging="288"/>
              <w:jc w:val="both"/>
              <w:rPr>
                <w:rFonts w:asciiTheme="majorHAnsi" w:hAnsiTheme="majorHAnsi" w:cstheme="majorHAnsi"/>
              </w:rPr>
            </w:pPr>
            <w:r>
              <w:t xml:space="preserve">Mejorar el enfoque para detectar e incautar el efectivo y los instrumentos negociables al portador que se mueven por frontera sobre los que se </w:t>
            </w:r>
            <w:r>
              <w:lastRenderedPageBreak/>
              <w:t>sospecha que están vinculados al LA/FT y delitos base. Esto incluye el control sobre cargas terrestres, marítimas y aéreas.</w:t>
            </w:r>
          </w:p>
          <w:p w:rsidR="0069409B" w:rsidRPr="0069409B" w:rsidRDefault="0069409B" w:rsidP="0069409B">
            <w:pPr>
              <w:pStyle w:val="Prrafodelista"/>
              <w:numPr>
                <w:ilvl w:val="0"/>
                <w:numId w:val="16"/>
              </w:numPr>
              <w:spacing w:before="120" w:after="120" w:line="240" w:lineRule="auto"/>
              <w:ind w:left="319" w:hanging="288"/>
              <w:jc w:val="both"/>
              <w:rPr>
                <w:rFonts w:asciiTheme="majorHAnsi" w:hAnsiTheme="majorHAnsi" w:cstheme="majorHAnsi"/>
              </w:rPr>
            </w:pPr>
            <w:r>
              <w:t>Mejorar el enfoque para detectar e incautar activos que se mueven por frontera sobre los que se sospecha que están vinculados a operaciones de LA/FT y delitos base.</w:t>
            </w:r>
          </w:p>
          <w:p w:rsidR="0069409B" w:rsidRPr="00234B7D" w:rsidRDefault="0069409B" w:rsidP="0069409B">
            <w:pPr>
              <w:pStyle w:val="Prrafodelista"/>
              <w:numPr>
                <w:ilvl w:val="0"/>
                <w:numId w:val="16"/>
              </w:numPr>
              <w:spacing w:before="120" w:after="120" w:line="240" w:lineRule="auto"/>
              <w:ind w:left="319" w:hanging="288"/>
              <w:jc w:val="both"/>
              <w:rPr>
                <w:rFonts w:asciiTheme="majorHAnsi" w:hAnsiTheme="majorHAnsi" w:cstheme="majorHAnsi"/>
              </w:rPr>
            </w:pPr>
            <w:r>
              <w:t>Fortalecer la coordinación entre las distintas autoridades competentes en esta materia, mediante la conformación de equipos o unidades conjuntas de detección.</w:t>
            </w:r>
          </w:p>
        </w:tc>
      </w:tr>
      <w:tr w:rsidR="0069409B" w:rsidRPr="00234B7D" w:rsidTr="00C00230">
        <w:trPr>
          <w:trHeight w:val="560"/>
        </w:trPr>
        <w:tc>
          <w:tcPr>
            <w:tcW w:w="747" w:type="pct"/>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9409B" w:rsidRPr="00C00230" w:rsidRDefault="0069409B" w:rsidP="00C00230">
            <w:pPr>
              <w:spacing w:before="120" w:after="120" w:line="240" w:lineRule="auto"/>
              <w:jc w:val="center"/>
              <w:rPr>
                <w:rFonts w:asciiTheme="majorHAnsi" w:hAnsiTheme="majorHAnsi" w:cstheme="majorHAnsi"/>
                <w:b/>
              </w:rPr>
            </w:pPr>
            <w:r w:rsidRPr="00C00230">
              <w:rPr>
                <w:rFonts w:asciiTheme="majorHAnsi" w:hAnsiTheme="majorHAnsi" w:cstheme="majorHAnsi"/>
                <w:b/>
              </w:rPr>
              <w:lastRenderedPageBreak/>
              <w:t>Bolivia</w:t>
            </w:r>
          </w:p>
        </w:tc>
        <w:tc>
          <w:tcPr>
            <w:tcW w:w="4253" w:type="pct"/>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EA1116" w:rsidRDefault="00472D1D" w:rsidP="00472D1D">
            <w:pPr>
              <w:spacing w:before="120" w:after="120" w:line="240" w:lineRule="auto"/>
              <w:jc w:val="both"/>
              <w:rPr>
                <w:rFonts w:asciiTheme="majorHAnsi" w:hAnsiTheme="majorHAnsi" w:cstheme="majorHAnsi"/>
              </w:rPr>
            </w:pPr>
            <w:r>
              <w:rPr>
                <w:rFonts w:asciiTheme="majorHAnsi" w:hAnsiTheme="majorHAnsi" w:cstheme="majorHAnsi"/>
              </w:rPr>
              <w:t>En la E</w:t>
            </w:r>
            <w:r w:rsidRPr="00472D1D">
              <w:rPr>
                <w:rFonts w:asciiTheme="majorHAnsi" w:hAnsiTheme="majorHAnsi" w:cstheme="majorHAnsi"/>
              </w:rPr>
              <w:t xml:space="preserve">strategia </w:t>
            </w:r>
            <w:r>
              <w:rPr>
                <w:rFonts w:asciiTheme="majorHAnsi" w:hAnsiTheme="majorHAnsi" w:cstheme="majorHAnsi"/>
              </w:rPr>
              <w:t>N</w:t>
            </w:r>
            <w:r w:rsidRPr="00472D1D">
              <w:rPr>
                <w:rFonts w:asciiTheme="majorHAnsi" w:hAnsiTheme="majorHAnsi" w:cstheme="majorHAnsi"/>
              </w:rPr>
              <w:t>acional de lucha contra la</w:t>
            </w:r>
            <w:r>
              <w:rPr>
                <w:rFonts w:asciiTheme="majorHAnsi" w:hAnsiTheme="majorHAnsi" w:cstheme="majorHAnsi"/>
              </w:rPr>
              <w:t xml:space="preserve"> </w:t>
            </w:r>
            <w:r w:rsidRPr="00472D1D">
              <w:rPr>
                <w:rFonts w:asciiTheme="majorHAnsi" w:hAnsiTheme="majorHAnsi" w:cstheme="majorHAnsi"/>
              </w:rPr>
              <w:t xml:space="preserve">Legitimación de </w:t>
            </w:r>
            <w:r>
              <w:rPr>
                <w:rFonts w:asciiTheme="majorHAnsi" w:hAnsiTheme="majorHAnsi" w:cstheme="majorHAnsi"/>
              </w:rPr>
              <w:t>G</w:t>
            </w:r>
            <w:r w:rsidRPr="00472D1D">
              <w:rPr>
                <w:rFonts w:asciiTheme="majorHAnsi" w:hAnsiTheme="majorHAnsi" w:cstheme="majorHAnsi"/>
              </w:rPr>
              <w:t xml:space="preserve">anancias </w:t>
            </w:r>
            <w:r>
              <w:rPr>
                <w:rFonts w:asciiTheme="majorHAnsi" w:hAnsiTheme="majorHAnsi" w:cstheme="majorHAnsi"/>
              </w:rPr>
              <w:t>I</w:t>
            </w:r>
            <w:r w:rsidRPr="00472D1D">
              <w:rPr>
                <w:rFonts w:asciiTheme="majorHAnsi" w:hAnsiTheme="majorHAnsi" w:cstheme="majorHAnsi"/>
              </w:rPr>
              <w:t>lícitas y el</w:t>
            </w:r>
            <w:r>
              <w:rPr>
                <w:rFonts w:asciiTheme="majorHAnsi" w:hAnsiTheme="majorHAnsi" w:cstheme="majorHAnsi"/>
              </w:rPr>
              <w:t xml:space="preserve"> Financiamiento del T</w:t>
            </w:r>
            <w:r w:rsidRPr="00472D1D">
              <w:rPr>
                <w:rFonts w:asciiTheme="majorHAnsi" w:hAnsiTheme="majorHAnsi" w:cstheme="majorHAnsi"/>
              </w:rPr>
              <w:t>errorismo</w:t>
            </w:r>
            <w:r w:rsidR="00EA1116">
              <w:rPr>
                <w:rFonts w:asciiTheme="majorHAnsi" w:hAnsiTheme="majorHAnsi" w:cstheme="majorHAnsi"/>
              </w:rPr>
              <w:t>, en materia de Control Transfronterizo, se planteó como objetivo estratégico el fortalecer el control transfronterizo de movimientos de personas con dinero físico y/o mercancías. Se plantearon como acciones:</w:t>
            </w:r>
          </w:p>
          <w:p w:rsidR="0069409B" w:rsidRDefault="00EA1116" w:rsidP="00EA1116">
            <w:pPr>
              <w:pStyle w:val="Prrafodelista"/>
              <w:numPr>
                <w:ilvl w:val="0"/>
                <w:numId w:val="25"/>
              </w:numPr>
              <w:spacing w:before="120" w:after="120" w:line="240" w:lineRule="auto"/>
              <w:jc w:val="both"/>
              <w:rPr>
                <w:rFonts w:asciiTheme="majorHAnsi" w:hAnsiTheme="majorHAnsi" w:cstheme="majorHAnsi"/>
              </w:rPr>
            </w:pPr>
            <w:r>
              <w:rPr>
                <w:rFonts w:asciiTheme="majorHAnsi" w:hAnsiTheme="majorHAnsi" w:cstheme="majorHAnsi"/>
              </w:rPr>
              <w:t>Conformar una comisión con los actores relevantes de control transfronterizo, para llevar a cabo un diagnóstico</w:t>
            </w:r>
            <w:r w:rsidR="0086194E">
              <w:rPr>
                <w:rFonts w:asciiTheme="majorHAnsi" w:hAnsiTheme="majorHAnsi" w:cstheme="majorHAnsi"/>
              </w:rPr>
              <w:t xml:space="preserve"> que permita fortalecer dicho control en las zonas de frontera más vulnerable o de mayor riesgo</w:t>
            </w:r>
            <w:r>
              <w:rPr>
                <w:rFonts w:asciiTheme="majorHAnsi" w:hAnsiTheme="majorHAnsi" w:cstheme="majorHAnsi"/>
              </w:rPr>
              <w:t xml:space="preserve">. </w:t>
            </w:r>
          </w:p>
          <w:p w:rsidR="00EA1116" w:rsidRPr="00EA1116" w:rsidRDefault="00EA1116" w:rsidP="00EA1116">
            <w:pPr>
              <w:pStyle w:val="Prrafodelista"/>
              <w:numPr>
                <w:ilvl w:val="0"/>
                <w:numId w:val="25"/>
              </w:numPr>
              <w:spacing w:before="120" w:after="120" w:line="240" w:lineRule="auto"/>
              <w:jc w:val="both"/>
              <w:rPr>
                <w:rFonts w:asciiTheme="majorHAnsi" w:hAnsiTheme="majorHAnsi" w:cstheme="majorHAnsi"/>
              </w:rPr>
            </w:pPr>
            <w:r>
              <w:rPr>
                <w:rFonts w:asciiTheme="majorHAnsi" w:hAnsiTheme="majorHAnsi" w:cstheme="majorHAnsi"/>
              </w:rPr>
              <w:t xml:space="preserve">Proponer acuerdos bilaterales con los países limítrofes para el fortalecimiento del control fronterizo. </w:t>
            </w:r>
          </w:p>
        </w:tc>
      </w:tr>
    </w:tbl>
    <w:p w:rsidR="0069409B" w:rsidRDefault="0069409B" w:rsidP="006B3CBE">
      <w:pPr>
        <w:jc w:val="both"/>
        <w:rPr>
          <w:rFonts w:asciiTheme="majorHAnsi" w:eastAsia="Roboto" w:hAnsiTheme="majorHAnsi" w:cstheme="majorHAnsi"/>
          <w:color w:val="333333"/>
        </w:rPr>
      </w:pPr>
    </w:p>
    <w:p w:rsidR="00D85DE3" w:rsidRPr="00352FC4" w:rsidRDefault="00625B38" w:rsidP="00D85DE3">
      <w:pPr>
        <w:jc w:val="both"/>
        <w:rPr>
          <w:rFonts w:asciiTheme="majorHAnsi" w:eastAsia="Roboto" w:hAnsiTheme="majorHAnsi" w:cstheme="majorHAnsi"/>
        </w:rPr>
      </w:pPr>
      <w:r w:rsidRPr="00352FC4">
        <w:rPr>
          <w:rFonts w:asciiTheme="majorHAnsi" w:eastAsia="Roboto" w:hAnsiTheme="majorHAnsi" w:cstheme="majorHAnsi"/>
        </w:rPr>
        <w:t>A nivel nacional, e</w:t>
      </w:r>
      <w:r w:rsidR="00B8741A" w:rsidRPr="00352FC4">
        <w:rPr>
          <w:rFonts w:asciiTheme="majorHAnsi" w:eastAsia="Roboto" w:hAnsiTheme="majorHAnsi" w:cstheme="majorHAnsi"/>
        </w:rPr>
        <w:t xml:space="preserve">l antecedente de esta alternativa se encuentra en las acciones del </w:t>
      </w:r>
      <w:r w:rsidR="000E5061" w:rsidRPr="00352FC4">
        <w:rPr>
          <w:rFonts w:asciiTheme="majorHAnsi" w:eastAsia="Roboto" w:hAnsiTheme="majorHAnsi" w:cstheme="majorHAnsi"/>
        </w:rPr>
        <w:t xml:space="preserve">Plan Nacional contra el LA/FT 2018-2021 comprendidas en el objetivo estratégico 2.2 “Controlar adecuadamente el flujo de activos ilícitos o con fines ilícitos en zonas fronterizas y a nivel nacional”. </w:t>
      </w:r>
    </w:p>
    <w:p w:rsidR="00450231" w:rsidRPr="00352FC4" w:rsidRDefault="00450231" w:rsidP="006B3CBE">
      <w:pPr>
        <w:jc w:val="both"/>
        <w:rPr>
          <w:rFonts w:asciiTheme="majorHAnsi" w:eastAsia="Roboto" w:hAnsiTheme="majorHAnsi" w:cstheme="majorHAnsi"/>
        </w:rPr>
      </w:pPr>
    </w:p>
    <w:p w:rsidR="006B3CBE" w:rsidRPr="006B3CBE" w:rsidRDefault="00D94538" w:rsidP="006B3CBE">
      <w:pPr>
        <w:pBdr>
          <w:top w:val="nil"/>
          <w:left w:val="nil"/>
          <w:bottom w:val="nil"/>
          <w:right w:val="nil"/>
          <w:between w:val="nil"/>
        </w:pBdr>
        <w:jc w:val="both"/>
        <w:rPr>
          <w:rFonts w:asciiTheme="majorHAnsi" w:eastAsia="Roboto" w:hAnsiTheme="majorHAnsi" w:cstheme="majorHAnsi"/>
          <w:b/>
        </w:rPr>
      </w:pPr>
      <w:r>
        <w:rPr>
          <w:rFonts w:asciiTheme="majorHAnsi" w:eastAsia="Roboto" w:hAnsiTheme="majorHAnsi" w:cstheme="majorHAnsi"/>
          <w:b/>
        </w:rPr>
        <w:t>8</w:t>
      </w:r>
      <w:r w:rsidR="006B3CBE" w:rsidRPr="006B3CBE">
        <w:rPr>
          <w:rFonts w:asciiTheme="majorHAnsi" w:eastAsia="Roboto" w:hAnsiTheme="majorHAnsi" w:cstheme="majorHAnsi"/>
          <w:b/>
        </w:rPr>
        <w:t>. Creación de herramientas para garantizar la atención oportuna de requerimientos de información (a entidades públicas y del sistema financiero) durante investigaciones de LA</w:t>
      </w:r>
    </w:p>
    <w:p w:rsidR="006B3CBE" w:rsidRPr="006B3CBE" w:rsidRDefault="006B3CBE" w:rsidP="006B3CBE">
      <w:pPr>
        <w:pBdr>
          <w:top w:val="nil"/>
          <w:left w:val="nil"/>
          <w:bottom w:val="nil"/>
          <w:right w:val="nil"/>
          <w:between w:val="nil"/>
        </w:pBdr>
        <w:jc w:val="both"/>
        <w:rPr>
          <w:rFonts w:asciiTheme="majorHAnsi" w:eastAsia="Roboto" w:hAnsiTheme="majorHAnsi" w:cstheme="majorHAnsi"/>
        </w:rPr>
      </w:pPr>
      <w:r w:rsidRPr="006B3CBE">
        <w:rPr>
          <w:rFonts w:asciiTheme="majorHAnsi" w:eastAsia="Roboto" w:hAnsiTheme="majorHAnsi" w:cstheme="majorHAnsi"/>
        </w:rPr>
        <w:t>Esta alternativa pretende establecer herramientas para acortar el tiempo en que los operadores públicos acceden a la información necesaria para las investigaciones que se realizan en materia de lavado de activos</w:t>
      </w:r>
      <w:r w:rsidR="008E3FF2">
        <w:rPr>
          <w:rFonts w:asciiTheme="majorHAnsi" w:eastAsia="Roboto" w:hAnsiTheme="majorHAnsi" w:cstheme="majorHAnsi"/>
        </w:rPr>
        <w:t>,</w:t>
      </w:r>
      <w:r w:rsidRPr="006B3CBE">
        <w:rPr>
          <w:rFonts w:asciiTheme="majorHAnsi" w:eastAsia="Roboto" w:hAnsiTheme="majorHAnsi" w:cstheme="majorHAnsi"/>
        </w:rPr>
        <w:t xml:space="preserve"> sobre todo aquella relativa a la información protegida por el secreto bancario. </w:t>
      </w:r>
    </w:p>
    <w:p w:rsidR="006B3CBE" w:rsidRPr="006B3CBE" w:rsidRDefault="006B3CBE" w:rsidP="006B3CBE">
      <w:pPr>
        <w:pBdr>
          <w:top w:val="nil"/>
          <w:left w:val="nil"/>
          <w:bottom w:val="nil"/>
          <w:right w:val="nil"/>
          <w:between w:val="nil"/>
        </w:pBdr>
        <w:jc w:val="both"/>
        <w:rPr>
          <w:rFonts w:asciiTheme="majorHAnsi" w:eastAsia="Roboto" w:hAnsiTheme="majorHAnsi" w:cstheme="majorHAnsi"/>
        </w:rPr>
      </w:pPr>
      <w:r w:rsidRPr="006B3CBE">
        <w:rPr>
          <w:rFonts w:asciiTheme="majorHAnsi" w:eastAsia="Roboto" w:hAnsiTheme="majorHAnsi" w:cstheme="majorHAnsi"/>
        </w:rPr>
        <w:t>Un ejemplo de herramienta que podría facilitar el acceso a la información necesaria para los procesos de investigación en materia de lavado de activos lo constituye la figura del “Fichero de Titularidades Bancarias”, que viene siendo implementado en varios países de Europa y algunos países de Latinoamérica. Esta herramienta es alimentada por la información brindada por las instituciones financieras a través de declaraciones que incluirían la siguiente información de las cuentas bancarias:</w:t>
      </w:r>
    </w:p>
    <w:p w:rsidR="006B3CBE" w:rsidRPr="006B3CBE" w:rsidRDefault="006B3CBE" w:rsidP="006B3CBE">
      <w:pPr>
        <w:numPr>
          <w:ilvl w:val="0"/>
          <w:numId w:val="10"/>
        </w:numPr>
        <w:spacing w:after="0" w:line="276" w:lineRule="auto"/>
        <w:jc w:val="both"/>
        <w:rPr>
          <w:rFonts w:asciiTheme="majorHAnsi" w:eastAsia="Roboto" w:hAnsiTheme="majorHAnsi" w:cstheme="majorHAnsi"/>
        </w:rPr>
      </w:pPr>
      <w:r w:rsidRPr="006B3CBE">
        <w:rPr>
          <w:rFonts w:asciiTheme="majorHAnsi" w:eastAsia="Roboto" w:hAnsiTheme="majorHAnsi" w:cstheme="majorHAnsi"/>
        </w:rPr>
        <w:t>Datos identificativos de los titulares, titulares reales, en su caso, representantes o autorizados, así como de cualquiera otra persona con poderes de disposición. Serán considerados datos identificativos: nombre, apellidos o denominación social y el número de documento de identidad.</w:t>
      </w:r>
    </w:p>
    <w:p w:rsidR="006B3CBE" w:rsidRPr="006B3CBE" w:rsidRDefault="006B3CBE" w:rsidP="006B3CBE">
      <w:pPr>
        <w:numPr>
          <w:ilvl w:val="0"/>
          <w:numId w:val="10"/>
        </w:numPr>
        <w:spacing w:after="0" w:line="276" w:lineRule="auto"/>
        <w:jc w:val="both"/>
        <w:rPr>
          <w:rFonts w:asciiTheme="majorHAnsi" w:eastAsia="Roboto" w:hAnsiTheme="majorHAnsi" w:cstheme="majorHAnsi"/>
        </w:rPr>
      </w:pPr>
      <w:r w:rsidRPr="006B3CBE">
        <w:rPr>
          <w:rFonts w:asciiTheme="majorHAnsi" w:eastAsia="Roboto" w:hAnsiTheme="majorHAnsi" w:cstheme="majorHAnsi"/>
        </w:rPr>
        <w:t>La fecha de apertura o cancelación.</w:t>
      </w:r>
    </w:p>
    <w:p w:rsidR="006B3CBE" w:rsidRPr="006B3CBE" w:rsidRDefault="006B3CBE" w:rsidP="006B3CBE">
      <w:pPr>
        <w:numPr>
          <w:ilvl w:val="0"/>
          <w:numId w:val="10"/>
        </w:numPr>
        <w:spacing w:after="0" w:line="276" w:lineRule="auto"/>
        <w:jc w:val="both"/>
        <w:rPr>
          <w:rFonts w:asciiTheme="majorHAnsi" w:eastAsia="Roboto" w:hAnsiTheme="majorHAnsi" w:cstheme="majorHAnsi"/>
        </w:rPr>
      </w:pPr>
      <w:r w:rsidRPr="006B3CBE">
        <w:rPr>
          <w:rFonts w:asciiTheme="majorHAnsi" w:eastAsia="Roboto" w:hAnsiTheme="majorHAnsi" w:cstheme="majorHAnsi"/>
        </w:rPr>
        <w:lastRenderedPageBreak/>
        <w:t>El tipo de cuenta o depósito.</w:t>
      </w:r>
    </w:p>
    <w:p w:rsidR="006B3CBE" w:rsidRPr="006B3CBE" w:rsidRDefault="006B3CBE" w:rsidP="006B3CBE">
      <w:pPr>
        <w:numPr>
          <w:ilvl w:val="0"/>
          <w:numId w:val="10"/>
        </w:numPr>
        <w:spacing w:after="0" w:line="276" w:lineRule="auto"/>
        <w:jc w:val="both"/>
        <w:rPr>
          <w:rFonts w:asciiTheme="majorHAnsi" w:eastAsia="Roboto" w:hAnsiTheme="majorHAnsi" w:cstheme="majorHAnsi"/>
        </w:rPr>
      </w:pPr>
      <w:r w:rsidRPr="006B3CBE">
        <w:rPr>
          <w:rFonts w:asciiTheme="majorHAnsi" w:eastAsia="Roboto" w:hAnsiTheme="majorHAnsi" w:cstheme="majorHAnsi"/>
        </w:rPr>
        <w:t>Detalle de movimientos.</w:t>
      </w:r>
    </w:p>
    <w:p w:rsidR="006B3CBE" w:rsidRPr="006B3CBE" w:rsidRDefault="006B3CBE" w:rsidP="006B3CBE">
      <w:pPr>
        <w:numPr>
          <w:ilvl w:val="0"/>
          <w:numId w:val="10"/>
        </w:numPr>
        <w:spacing w:after="0" w:line="276" w:lineRule="auto"/>
        <w:jc w:val="both"/>
        <w:rPr>
          <w:rFonts w:asciiTheme="majorHAnsi" w:eastAsia="Roboto" w:hAnsiTheme="majorHAnsi" w:cstheme="majorHAnsi"/>
        </w:rPr>
      </w:pPr>
      <w:r w:rsidRPr="006B3CBE">
        <w:rPr>
          <w:rFonts w:asciiTheme="majorHAnsi" w:eastAsia="Roboto" w:hAnsiTheme="majorHAnsi" w:cstheme="majorHAnsi"/>
        </w:rPr>
        <w:t>Saldos mensuales y/o montos acumulados</w:t>
      </w:r>
    </w:p>
    <w:p w:rsidR="006B3CBE" w:rsidRPr="006B3CBE" w:rsidRDefault="006B3CBE" w:rsidP="008E3FF2">
      <w:pPr>
        <w:spacing w:before="240"/>
        <w:jc w:val="both"/>
        <w:rPr>
          <w:rFonts w:asciiTheme="majorHAnsi" w:eastAsia="Roboto" w:hAnsiTheme="majorHAnsi" w:cstheme="majorHAnsi"/>
        </w:rPr>
      </w:pPr>
      <w:r w:rsidRPr="006B3CBE">
        <w:rPr>
          <w:rFonts w:asciiTheme="majorHAnsi" w:eastAsia="Roboto" w:hAnsiTheme="majorHAnsi" w:cstheme="majorHAnsi"/>
        </w:rPr>
        <w:t xml:space="preserve">La institución responsable de la administración del fichero establecerá los procedimientos técnicos de consulta, que se realizarán por medios telemáticos, a través de puntos únicos de acceso que las instituciones usuarias establezcan, y se llevará un registro de consultas realizadas por los puntos únicos de acceso. De esta forma los operadores públicos encargados de las investigaciones en materia de LA, como el Ministerio Público y la UIF, podrán acceder a la información contenida en el fichero de manera más rápida, sin tener que pasar por el proceso de 30 días hábiles, establecido en la normativa, para que los bancos entreguen la información protegida por el secreto bancario.  </w:t>
      </w:r>
    </w:p>
    <w:p w:rsidR="006B3CBE" w:rsidRPr="006B3CBE" w:rsidRDefault="006B3CBE" w:rsidP="006B3CBE">
      <w:pPr>
        <w:spacing w:before="240"/>
        <w:jc w:val="both"/>
        <w:rPr>
          <w:rFonts w:asciiTheme="majorHAnsi" w:eastAsia="Roboto" w:hAnsiTheme="majorHAnsi" w:cstheme="majorHAnsi"/>
        </w:rPr>
      </w:pPr>
      <w:r w:rsidRPr="006B3CBE">
        <w:rPr>
          <w:rFonts w:asciiTheme="majorHAnsi" w:eastAsia="Roboto" w:hAnsiTheme="majorHAnsi" w:cstheme="majorHAnsi"/>
        </w:rPr>
        <w:t>A continuación, se muestra como algunos países de Europa y América recogen la figura del fichero en sus legislaciones</w:t>
      </w:r>
      <w:r w:rsidRPr="006B3CBE">
        <w:rPr>
          <w:rFonts w:asciiTheme="majorHAnsi" w:eastAsia="Roboto" w:hAnsiTheme="majorHAnsi" w:cstheme="majorHAnsi"/>
          <w:vertAlign w:val="superscript"/>
        </w:rPr>
        <w:footnoteReference w:id="7"/>
      </w:r>
      <w:r w:rsidRPr="006B3CBE">
        <w:rPr>
          <w:rFonts w:asciiTheme="majorHAnsi" w:eastAsia="Roboto" w:hAnsiTheme="majorHAnsi" w:cstheme="majorHAnsi"/>
        </w:rPr>
        <w:t>:</w:t>
      </w:r>
    </w:p>
    <w:p w:rsidR="00A95808" w:rsidRDefault="00A95808" w:rsidP="006B3CBE">
      <w:pPr>
        <w:jc w:val="both"/>
        <w:rPr>
          <w:rFonts w:asciiTheme="majorHAnsi" w:eastAsia="Arial Narrow" w:hAnsiTheme="majorHAnsi" w:cstheme="majorHAnsi"/>
          <w:b/>
          <w:u w:val="single"/>
        </w:rPr>
        <w:sectPr w:rsidR="00A95808">
          <w:pgSz w:w="11906" w:h="16838"/>
          <w:pgMar w:top="1417" w:right="1701" w:bottom="1417" w:left="1701" w:header="708" w:footer="708" w:gutter="0"/>
          <w:cols w:space="720"/>
        </w:sectPr>
      </w:pPr>
    </w:p>
    <w:p w:rsidR="006B3CBE" w:rsidRPr="006B3CBE" w:rsidRDefault="006B3CBE" w:rsidP="006B3CBE">
      <w:pPr>
        <w:jc w:val="both"/>
        <w:rPr>
          <w:rFonts w:asciiTheme="majorHAnsi" w:eastAsia="Arial Narrow" w:hAnsiTheme="majorHAnsi" w:cstheme="majorHAnsi"/>
          <w:b/>
        </w:rPr>
      </w:pPr>
      <w:r w:rsidRPr="006B3CBE">
        <w:rPr>
          <w:rFonts w:asciiTheme="majorHAnsi" w:eastAsia="Arial Narrow" w:hAnsiTheme="majorHAnsi" w:cstheme="majorHAnsi"/>
          <w:b/>
          <w:u w:val="single"/>
        </w:rPr>
        <w:lastRenderedPageBreak/>
        <w:t>Europa</w:t>
      </w:r>
      <w:r w:rsidRPr="006B3CBE">
        <w:rPr>
          <w:rFonts w:asciiTheme="majorHAnsi" w:eastAsia="Arial Narrow" w:hAnsiTheme="majorHAnsi" w:cstheme="majorHAnsi"/>
          <w:b/>
        </w:rPr>
        <w:t>:</w:t>
      </w:r>
    </w:p>
    <w:tbl>
      <w:tblPr>
        <w:tblW w:w="4997" w:type="pct"/>
        <w:tblBorders>
          <w:top w:val="nil"/>
          <w:left w:val="nil"/>
          <w:bottom w:val="nil"/>
          <w:right w:val="nil"/>
          <w:insideH w:val="nil"/>
          <w:insideV w:val="nil"/>
        </w:tblBorders>
        <w:tblLayout w:type="fixed"/>
        <w:tblLook w:val="0600" w:firstRow="0" w:lastRow="0" w:firstColumn="0" w:lastColumn="0" w:noHBand="1" w:noVBand="1"/>
      </w:tblPr>
      <w:tblGrid>
        <w:gridCol w:w="1554"/>
        <w:gridCol w:w="2133"/>
        <w:gridCol w:w="2418"/>
        <w:gridCol w:w="2700"/>
        <w:gridCol w:w="2275"/>
        <w:gridCol w:w="2896"/>
      </w:tblGrid>
      <w:tr w:rsidR="00A95808" w:rsidRPr="00DF6D87" w:rsidTr="002C45C4">
        <w:trPr>
          <w:trHeight w:val="235"/>
        </w:trPr>
        <w:tc>
          <w:tcPr>
            <w:tcW w:w="556" w:type="pct"/>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rsidR="006B3CBE" w:rsidRPr="00DF6D87" w:rsidRDefault="006B3CBE" w:rsidP="00A95808">
            <w:pPr>
              <w:spacing w:after="0" w:line="240" w:lineRule="auto"/>
              <w:ind w:left="-110"/>
              <w:jc w:val="center"/>
              <w:rPr>
                <w:rFonts w:asciiTheme="majorHAnsi" w:eastAsia="Arial Narrow" w:hAnsiTheme="majorHAnsi" w:cstheme="majorHAnsi"/>
                <w:b/>
              </w:rPr>
            </w:pPr>
            <w:r w:rsidRPr="00DF6D87">
              <w:rPr>
                <w:rFonts w:asciiTheme="majorHAnsi" w:eastAsia="Arial Narrow" w:hAnsiTheme="majorHAnsi" w:cstheme="majorHAnsi"/>
                <w:b/>
              </w:rPr>
              <w:t>País</w:t>
            </w:r>
          </w:p>
        </w:tc>
        <w:tc>
          <w:tcPr>
            <w:tcW w:w="763" w:type="pct"/>
            <w:tcBorders>
              <w:top w:val="single" w:sz="8" w:space="0" w:color="000000"/>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rsidR="006B3CBE" w:rsidRPr="00DF6D87" w:rsidRDefault="006B3CBE" w:rsidP="00A95808">
            <w:pPr>
              <w:spacing w:after="0" w:line="240" w:lineRule="auto"/>
              <w:jc w:val="center"/>
              <w:rPr>
                <w:rFonts w:asciiTheme="majorHAnsi" w:eastAsia="Arial Narrow" w:hAnsiTheme="majorHAnsi" w:cstheme="majorHAnsi"/>
                <w:b/>
              </w:rPr>
            </w:pPr>
            <w:r w:rsidRPr="00DF6D87">
              <w:rPr>
                <w:rFonts w:asciiTheme="majorHAnsi" w:eastAsia="Arial Narrow" w:hAnsiTheme="majorHAnsi" w:cstheme="majorHAnsi"/>
                <w:b/>
              </w:rPr>
              <w:t>España</w:t>
            </w:r>
          </w:p>
        </w:tc>
        <w:tc>
          <w:tcPr>
            <w:tcW w:w="865" w:type="pct"/>
            <w:tcBorders>
              <w:top w:val="single" w:sz="8" w:space="0" w:color="000000"/>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rsidR="006B3CBE" w:rsidRPr="00DF6D87" w:rsidRDefault="006B3CBE" w:rsidP="00A95808">
            <w:pPr>
              <w:spacing w:after="0" w:line="240" w:lineRule="auto"/>
              <w:jc w:val="center"/>
              <w:rPr>
                <w:rFonts w:asciiTheme="majorHAnsi" w:eastAsia="Arial Narrow" w:hAnsiTheme="majorHAnsi" w:cstheme="majorHAnsi"/>
                <w:b/>
              </w:rPr>
            </w:pPr>
            <w:r w:rsidRPr="00DF6D87">
              <w:rPr>
                <w:rFonts w:asciiTheme="majorHAnsi" w:eastAsia="Arial Narrow" w:hAnsiTheme="majorHAnsi" w:cstheme="majorHAnsi"/>
                <w:b/>
              </w:rPr>
              <w:t>Bélgica</w:t>
            </w:r>
          </w:p>
        </w:tc>
        <w:tc>
          <w:tcPr>
            <w:tcW w:w="966" w:type="pct"/>
            <w:tcBorders>
              <w:top w:val="single" w:sz="8" w:space="0" w:color="000000"/>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rsidR="006B3CBE" w:rsidRPr="00DF6D87" w:rsidRDefault="006B3CBE" w:rsidP="00A95808">
            <w:pPr>
              <w:spacing w:after="0" w:line="240" w:lineRule="auto"/>
              <w:jc w:val="center"/>
              <w:rPr>
                <w:rFonts w:asciiTheme="majorHAnsi" w:eastAsia="Arial Narrow" w:hAnsiTheme="majorHAnsi" w:cstheme="majorHAnsi"/>
                <w:b/>
              </w:rPr>
            </w:pPr>
            <w:r w:rsidRPr="00DF6D87">
              <w:rPr>
                <w:rFonts w:asciiTheme="majorHAnsi" w:eastAsia="Arial Narrow" w:hAnsiTheme="majorHAnsi" w:cstheme="majorHAnsi"/>
                <w:b/>
              </w:rPr>
              <w:t>Francia</w:t>
            </w:r>
          </w:p>
        </w:tc>
        <w:tc>
          <w:tcPr>
            <w:tcW w:w="814" w:type="pct"/>
            <w:tcBorders>
              <w:top w:val="single" w:sz="8" w:space="0" w:color="000000"/>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rsidR="006B3CBE" w:rsidRPr="00DF6D87" w:rsidRDefault="006B3CBE" w:rsidP="00A95808">
            <w:pPr>
              <w:spacing w:after="0" w:line="240" w:lineRule="auto"/>
              <w:jc w:val="center"/>
              <w:rPr>
                <w:rFonts w:asciiTheme="majorHAnsi" w:eastAsia="Arial Narrow" w:hAnsiTheme="majorHAnsi" w:cstheme="majorHAnsi"/>
                <w:b/>
              </w:rPr>
            </w:pPr>
            <w:r w:rsidRPr="00DF6D87">
              <w:rPr>
                <w:rFonts w:asciiTheme="majorHAnsi" w:eastAsia="Arial Narrow" w:hAnsiTheme="majorHAnsi" w:cstheme="majorHAnsi"/>
                <w:b/>
              </w:rPr>
              <w:t>Irlanda</w:t>
            </w:r>
          </w:p>
        </w:tc>
        <w:tc>
          <w:tcPr>
            <w:tcW w:w="1036" w:type="pct"/>
            <w:tcBorders>
              <w:top w:val="single" w:sz="8" w:space="0" w:color="000000"/>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rsidR="006B3CBE" w:rsidRPr="00DF6D87" w:rsidRDefault="006B3CBE" w:rsidP="00A95808">
            <w:pPr>
              <w:spacing w:after="0" w:line="240" w:lineRule="auto"/>
              <w:jc w:val="center"/>
              <w:rPr>
                <w:rFonts w:asciiTheme="majorHAnsi" w:eastAsia="Arial Narrow" w:hAnsiTheme="majorHAnsi" w:cstheme="majorHAnsi"/>
                <w:b/>
              </w:rPr>
            </w:pPr>
            <w:r w:rsidRPr="00DF6D87">
              <w:rPr>
                <w:rFonts w:asciiTheme="majorHAnsi" w:eastAsia="Arial Narrow" w:hAnsiTheme="majorHAnsi" w:cstheme="majorHAnsi"/>
                <w:b/>
              </w:rPr>
              <w:t>Malta</w:t>
            </w:r>
          </w:p>
        </w:tc>
      </w:tr>
      <w:tr w:rsidR="00A95808" w:rsidRPr="00DF6D87" w:rsidTr="002C45C4">
        <w:trPr>
          <w:trHeight w:val="1264"/>
        </w:trPr>
        <w:tc>
          <w:tcPr>
            <w:tcW w:w="556" w:type="pct"/>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vAlign w:val="center"/>
          </w:tcPr>
          <w:p w:rsidR="006B3CBE" w:rsidRPr="00DF6D87" w:rsidRDefault="006B3CBE" w:rsidP="00427DD0">
            <w:pPr>
              <w:spacing w:after="0" w:line="240" w:lineRule="auto"/>
              <w:ind w:left="32" w:right="240"/>
              <w:jc w:val="center"/>
              <w:rPr>
                <w:rFonts w:asciiTheme="majorHAnsi" w:eastAsia="Arial Narrow" w:hAnsiTheme="majorHAnsi" w:cstheme="majorHAnsi"/>
                <w:b/>
              </w:rPr>
            </w:pPr>
            <w:r w:rsidRPr="00DF6D87">
              <w:rPr>
                <w:rFonts w:asciiTheme="majorHAnsi" w:eastAsia="Arial Narrow" w:hAnsiTheme="majorHAnsi" w:cstheme="majorHAnsi"/>
                <w:b/>
              </w:rPr>
              <w:t>Nombre</w:t>
            </w:r>
          </w:p>
        </w:tc>
        <w:tc>
          <w:tcPr>
            <w:tcW w:w="763"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6B3CBE" w:rsidRPr="00DF6D87" w:rsidRDefault="006B3CBE" w:rsidP="00427DD0">
            <w:pPr>
              <w:spacing w:after="0" w:line="240" w:lineRule="auto"/>
              <w:jc w:val="center"/>
              <w:rPr>
                <w:rFonts w:asciiTheme="majorHAnsi" w:eastAsia="Arial Narrow" w:hAnsiTheme="majorHAnsi" w:cstheme="majorHAnsi"/>
              </w:rPr>
            </w:pPr>
            <w:r w:rsidRPr="00DF6D87">
              <w:rPr>
                <w:rFonts w:asciiTheme="majorHAnsi" w:eastAsia="Arial Narrow" w:hAnsiTheme="majorHAnsi" w:cstheme="majorHAnsi"/>
              </w:rPr>
              <w:t>Fichero de Titularidades Financieras</w:t>
            </w:r>
          </w:p>
        </w:tc>
        <w:tc>
          <w:tcPr>
            <w:tcW w:w="86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6B3CBE" w:rsidRPr="00DF6D87" w:rsidRDefault="006B3CBE" w:rsidP="00427DD0">
            <w:pPr>
              <w:spacing w:after="0" w:line="240" w:lineRule="auto"/>
              <w:jc w:val="center"/>
              <w:rPr>
                <w:rFonts w:asciiTheme="majorHAnsi" w:eastAsia="Arial Narrow" w:hAnsiTheme="majorHAnsi" w:cstheme="majorHAnsi"/>
              </w:rPr>
            </w:pPr>
            <w:r w:rsidRPr="00DF6D87">
              <w:rPr>
                <w:rFonts w:asciiTheme="majorHAnsi" w:eastAsia="Arial Narrow" w:hAnsiTheme="majorHAnsi" w:cstheme="majorHAnsi"/>
              </w:rPr>
              <w:t>Punto Central de Contacto de las Cuentas y los Contratos Financieros.</w:t>
            </w:r>
          </w:p>
        </w:tc>
        <w:tc>
          <w:tcPr>
            <w:tcW w:w="966"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6B3CBE" w:rsidRPr="00DF6D87" w:rsidRDefault="006B3CBE" w:rsidP="00427DD0">
            <w:pPr>
              <w:spacing w:after="0" w:line="240" w:lineRule="auto"/>
              <w:jc w:val="center"/>
              <w:rPr>
                <w:rFonts w:asciiTheme="majorHAnsi" w:eastAsia="Arial Narrow" w:hAnsiTheme="majorHAnsi" w:cstheme="majorHAnsi"/>
              </w:rPr>
            </w:pPr>
            <w:r w:rsidRPr="00DF6D87">
              <w:rPr>
                <w:rFonts w:asciiTheme="majorHAnsi" w:eastAsia="Arial Narrow" w:hAnsiTheme="majorHAnsi" w:cstheme="majorHAnsi"/>
              </w:rPr>
              <w:t>Archivo Nacional de Cuentas Bancarias y Similares (FICOBA).</w:t>
            </w:r>
          </w:p>
        </w:tc>
        <w:tc>
          <w:tcPr>
            <w:tcW w:w="814"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6B3CBE" w:rsidRPr="00DF6D87" w:rsidRDefault="006B3CBE" w:rsidP="00427DD0">
            <w:pPr>
              <w:spacing w:after="0" w:line="240" w:lineRule="auto"/>
              <w:jc w:val="center"/>
              <w:rPr>
                <w:rFonts w:asciiTheme="majorHAnsi" w:eastAsia="Arial Narrow" w:hAnsiTheme="majorHAnsi" w:cstheme="majorHAnsi"/>
              </w:rPr>
            </w:pPr>
            <w:r w:rsidRPr="00DF6D87">
              <w:rPr>
                <w:rFonts w:asciiTheme="majorHAnsi" w:eastAsia="Arial Narrow" w:hAnsiTheme="majorHAnsi" w:cstheme="majorHAnsi"/>
              </w:rPr>
              <w:t>Registro de beneficiarios reales para ciertos vehículos financieros (CFV).</w:t>
            </w:r>
          </w:p>
        </w:tc>
        <w:tc>
          <w:tcPr>
            <w:tcW w:w="1036"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6B3CBE" w:rsidRPr="00DF6D87" w:rsidRDefault="006B3CBE" w:rsidP="00427DD0">
            <w:pPr>
              <w:spacing w:after="0" w:line="240" w:lineRule="auto"/>
              <w:jc w:val="center"/>
              <w:rPr>
                <w:rFonts w:asciiTheme="majorHAnsi" w:eastAsia="Arial Narrow" w:hAnsiTheme="majorHAnsi" w:cstheme="majorHAnsi"/>
              </w:rPr>
            </w:pPr>
            <w:r w:rsidRPr="00DF6D87">
              <w:rPr>
                <w:rFonts w:asciiTheme="majorHAnsi" w:eastAsia="Arial Narrow" w:hAnsiTheme="majorHAnsi" w:cstheme="majorHAnsi"/>
              </w:rPr>
              <w:t>Registro Centralizado de Cuentas Bancarias (CBAR)</w:t>
            </w:r>
          </w:p>
        </w:tc>
      </w:tr>
      <w:tr w:rsidR="00A95808" w:rsidRPr="00DF6D87" w:rsidTr="002C45C4">
        <w:trPr>
          <w:trHeight w:val="1280"/>
        </w:trPr>
        <w:tc>
          <w:tcPr>
            <w:tcW w:w="556" w:type="pct"/>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vAlign w:val="center"/>
          </w:tcPr>
          <w:p w:rsidR="006B3CBE" w:rsidRPr="00DF6D87" w:rsidRDefault="006B3CBE" w:rsidP="00427DD0">
            <w:pPr>
              <w:spacing w:after="0" w:line="240" w:lineRule="auto"/>
              <w:ind w:left="32" w:right="240"/>
              <w:jc w:val="center"/>
              <w:rPr>
                <w:rFonts w:asciiTheme="majorHAnsi" w:eastAsia="Arial Narrow" w:hAnsiTheme="majorHAnsi" w:cstheme="majorHAnsi"/>
                <w:b/>
              </w:rPr>
            </w:pPr>
            <w:r w:rsidRPr="00DF6D87">
              <w:rPr>
                <w:rFonts w:asciiTheme="majorHAnsi" w:eastAsia="Arial Narrow" w:hAnsiTheme="majorHAnsi" w:cstheme="majorHAnsi"/>
                <w:b/>
              </w:rPr>
              <w:t>Institución que administra</w:t>
            </w:r>
          </w:p>
        </w:tc>
        <w:tc>
          <w:tcPr>
            <w:tcW w:w="763"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6B3CBE" w:rsidRPr="00DF6D87" w:rsidRDefault="006B3CBE" w:rsidP="00427DD0">
            <w:pPr>
              <w:spacing w:after="0" w:line="240" w:lineRule="auto"/>
              <w:jc w:val="center"/>
              <w:rPr>
                <w:rFonts w:asciiTheme="majorHAnsi" w:eastAsia="Arial Narrow" w:hAnsiTheme="majorHAnsi" w:cstheme="majorHAnsi"/>
              </w:rPr>
            </w:pPr>
            <w:r w:rsidRPr="00DF6D87">
              <w:rPr>
                <w:rFonts w:asciiTheme="majorHAnsi" w:eastAsia="Arial Narrow" w:hAnsiTheme="majorHAnsi" w:cstheme="majorHAnsi"/>
              </w:rPr>
              <w:t>SEPBLAC (UIF)</w:t>
            </w:r>
          </w:p>
        </w:tc>
        <w:tc>
          <w:tcPr>
            <w:tcW w:w="865"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6B3CBE" w:rsidRPr="00DF6D87" w:rsidRDefault="006B3CBE" w:rsidP="00427DD0">
            <w:pPr>
              <w:spacing w:after="0" w:line="240" w:lineRule="auto"/>
              <w:jc w:val="center"/>
              <w:rPr>
                <w:rFonts w:asciiTheme="majorHAnsi" w:eastAsia="Arial Narrow" w:hAnsiTheme="majorHAnsi" w:cstheme="majorHAnsi"/>
              </w:rPr>
            </w:pPr>
            <w:r w:rsidRPr="00DF6D87">
              <w:rPr>
                <w:rFonts w:asciiTheme="majorHAnsi" w:eastAsia="Arial Narrow" w:hAnsiTheme="majorHAnsi" w:cstheme="majorHAnsi"/>
              </w:rPr>
              <w:t>Banco Nacional de Bélgica</w:t>
            </w:r>
          </w:p>
        </w:tc>
        <w:tc>
          <w:tcPr>
            <w:tcW w:w="966"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6B3CBE" w:rsidRPr="00DF6D87" w:rsidRDefault="006B3CBE" w:rsidP="00427DD0">
            <w:pPr>
              <w:spacing w:after="0" w:line="240" w:lineRule="auto"/>
              <w:jc w:val="center"/>
              <w:rPr>
                <w:rFonts w:asciiTheme="majorHAnsi" w:eastAsia="Arial Narrow" w:hAnsiTheme="majorHAnsi" w:cstheme="majorHAnsi"/>
              </w:rPr>
            </w:pPr>
            <w:r w:rsidRPr="00DF6D87">
              <w:rPr>
                <w:rFonts w:asciiTheme="majorHAnsi" w:eastAsia="Arial Narrow" w:hAnsiTheme="majorHAnsi" w:cstheme="majorHAnsi"/>
              </w:rPr>
              <w:t>Dirección General de Hacienda Pública del Ministerio de Hacienda y Cuentas Públicas.</w:t>
            </w:r>
          </w:p>
        </w:tc>
        <w:tc>
          <w:tcPr>
            <w:tcW w:w="814"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6B3CBE" w:rsidRPr="00DF6D87" w:rsidRDefault="006B3CBE" w:rsidP="00427DD0">
            <w:pPr>
              <w:spacing w:after="0" w:line="240" w:lineRule="auto"/>
              <w:jc w:val="center"/>
              <w:rPr>
                <w:rFonts w:asciiTheme="majorHAnsi" w:eastAsia="Arial Narrow" w:hAnsiTheme="majorHAnsi" w:cstheme="majorHAnsi"/>
              </w:rPr>
            </w:pPr>
            <w:r w:rsidRPr="00DF6D87">
              <w:rPr>
                <w:rFonts w:asciiTheme="majorHAnsi" w:eastAsia="Arial Narrow" w:hAnsiTheme="majorHAnsi" w:cstheme="majorHAnsi"/>
              </w:rPr>
              <w:t>Banco Central de Irlanda</w:t>
            </w:r>
          </w:p>
        </w:tc>
        <w:tc>
          <w:tcPr>
            <w:tcW w:w="1036" w:type="pct"/>
            <w:tcBorders>
              <w:top w:val="nil"/>
              <w:left w:val="nil"/>
              <w:bottom w:val="single" w:sz="8" w:space="0" w:color="000000"/>
              <w:right w:val="single" w:sz="8" w:space="0" w:color="000000"/>
            </w:tcBorders>
            <w:tcMar>
              <w:top w:w="100" w:type="dxa"/>
              <w:left w:w="100" w:type="dxa"/>
              <w:bottom w:w="100" w:type="dxa"/>
              <w:right w:w="100" w:type="dxa"/>
            </w:tcMar>
            <w:vAlign w:val="center"/>
          </w:tcPr>
          <w:p w:rsidR="006B3CBE" w:rsidRPr="00DF6D87" w:rsidRDefault="006B3CBE" w:rsidP="00427DD0">
            <w:pPr>
              <w:spacing w:after="0" w:line="240" w:lineRule="auto"/>
              <w:jc w:val="center"/>
              <w:rPr>
                <w:rFonts w:asciiTheme="majorHAnsi" w:eastAsia="Arial Narrow" w:hAnsiTheme="majorHAnsi" w:cstheme="majorHAnsi"/>
              </w:rPr>
            </w:pPr>
            <w:r w:rsidRPr="00DF6D87">
              <w:rPr>
                <w:rFonts w:asciiTheme="majorHAnsi" w:eastAsia="Arial Narrow" w:hAnsiTheme="majorHAnsi" w:cstheme="majorHAnsi"/>
              </w:rPr>
              <w:t>Unidad de Análisis de Inteligencia Financiera (FIAU)</w:t>
            </w:r>
          </w:p>
        </w:tc>
      </w:tr>
      <w:tr w:rsidR="00A95808" w:rsidRPr="00DF6D87" w:rsidTr="002C45C4">
        <w:trPr>
          <w:trHeight w:val="1912"/>
        </w:trPr>
        <w:tc>
          <w:tcPr>
            <w:tcW w:w="556" w:type="pct"/>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rsidR="006B3CBE" w:rsidRPr="00DF6D87" w:rsidRDefault="006B3CBE" w:rsidP="00A95808">
            <w:pPr>
              <w:spacing w:after="0" w:line="240" w:lineRule="auto"/>
              <w:ind w:left="32"/>
              <w:jc w:val="center"/>
              <w:rPr>
                <w:rFonts w:asciiTheme="majorHAnsi" w:eastAsia="Arial Narrow" w:hAnsiTheme="majorHAnsi" w:cstheme="majorHAnsi"/>
                <w:b/>
              </w:rPr>
            </w:pPr>
            <w:r w:rsidRPr="00DF6D87">
              <w:rPr>
                <w:rFonts w:asciiTheme="majorHAnsi" w:eastAsia="Arial Narrow" w:hAnsiTheme="majorHAnsi" w:cstheme="majorHAnsi"/>
                <w:b/>
              </w:rPr>
              <w:t>Información a la que se accede</w:t>
            </w:r>
          </w:p>
        </w:tc>
        <w:tc>
          <w:tcPr>
            <w:tcW w:w="763" w:type="pct"/>
            <w:tcBorders>
              <w:top w:val="nil"/>
              <w:left w:val="nil"/>
              <w:bottom w:val="single" w:sz="8" w:space="0" w:color="000000"/>
              <w:right w:val="single" w:sz="8" w:space="0" w:color="000000"/>
            </w:tcBorders>
            <w:tcMar>
              <w:top w:w="100" w:type="dxa"/>
              <w:left w:w="100" w:type="dxa"/>
              <w:bottom w:w="100" w:type="dxa"/>
              <w:right w:w="100" w:type="dxa"/>
            </w:tcMar>
          </w:tcPr>
          <w:p w:rsidR="006B3CBE" w:rsidRPr="00DF6D87" w:rsidRDefault="006B3CBE" w:rsidP="00A95808">
            <w:pPr>
              <w:spacing w:after="0" w:line="240" w:lineRule="auto"/>
              <w:jc w:val="both"/>
              <w:rPr>
                <w:rFonts w:asciiTheme="majorHAnsi" w:eastAsia="Arial Narrow" w:hAnsiTheme="majorHAnsi" w:cstheme="majorHAnsi"/>
              </w:rPr>
            </w:pPr>
            <w:r w:rsidRPr="00DF6D87">
              <w:rPr>
                <w:rFonts w:asciiTheme="majorHAnsi" w:eastAsia="Arial Narrow" w:hAnsiTheme="majorHAnsi" w:cstheme="majorHAnsi"/>
              </w:rPr>
              <w:t>Datos identificativos, fecha de apertura y cancelación, y el tipo de cuenta o depósito.</w:t>
            </w:r>
          </w:p>
        </w:tc>
        <w:tc>
          <w:tcPr>
            <w:tcW w:w="865" w:type="pct"/>
            <w:tcBorders>
              <w:top w:val="nil"/>
              <w:left w:val="nil"/>
              <w:bottom w:val="single" w:sz="8" w:space="0" w:color="000000"/>
              <w:right w:val="single" w:sz="8" w:space="0" w:color="000000"/>
            </w:tcBorders>
            <w:tcMar>
              <w:top w:w="100" w:type="dxa"/>
              <w:left w:w="100" w:type="dxa"/>
              <w:bottom w:w="100" w:type="dxa"/>
              <w:right w:w="100" w:type="dxa"/>
            </w:tcMar>
          </w:tcPr>
          <w:p w:rsidR="006B3CBE" w:rsidRPr="00DF6D87" w:rsidRDefault="006B3CBE" w:rsidP="00A95808">
            <w:pPr>
              <w:spacing w:after="0" w:line="240" w:lineRule="auto"/>
              <w:jc w:val="both"/>
              <w:rPr>
                <w:rFonts w:asciiTheme="majorHAnsi" w:eastAsia="Arial Narrow" w:hAnsiTheme="majorHAnsi" w:cstheme="majorHAnsi"/>
              </w:rPr>
            </w:pPr>
            <w:r w:rsidRPr="00DF6D87">
              <w:rPr>
                <w:rFonts w:asciiTheme="majorHAnsi" w:eastAsia="Arial Narrow" w:hAnsiTheme="majorHAnsi" w:cstheme="majorHAnsi"/>
              </w:rPr>
              <w:t>Saldos bancarios y cuentas corrientes, importes agregados en virtud de contratos de inversión y contratos conexos, sumas agregas en pólizas de seguros de vida.</w:t>
            </w:r>
          </w:p>
        </w:tc>
        <w:tc>
          <w:tcPr>
            <w:tcW w:w="966" w:type="pct"/>
            <w:tcBorders>
              <w:top w:val="nil"/>
              <w:left w:val="nil"/>
              <w:bottom w:val="single" w:sz="8" w:space="0" w:color="000000"/>
              <w:right w:val="single" w:sz="8" w:space="0" w:color="000000"/>
            </w:tcBorders>
            <w:tcMar>
              <w:top w:w="100" w:type="dxa"/>
              <w:left w:w="100" w:type="dxa"/>
              <w:bottom w:w="100" w:type="dxa"/>
              <w:right w:w="100" w:type="dxa"/>
            </w:tcMar>
          </w:tcPr>
          <w:p w:rsidR="00A95808" w:rsidRPr="00DF6D87" w:rsidRDefault="006B3CBE" w:rsidP="00A95808">
            <w:pPr>
              <w:spacing w:after="0" w:line="240" w:lineRule="auto"/>
              <w:jc w:val="both"/>
              <w:rPr>
                <w:rFonts w:asciiTheme="majorHAnsi" w:eastAsia="Arial Narrow" w:hAnsiTheme="majorHAnsi" w:cstheme="majorHAnsi"/>
              </w:rPr>
            </w:pPr>
            <w:r w:rsidRPr="00DF6D87">
              <w:rPr>
                <w:rFonts w:asciiTheme="majorHAnsi" w:eastAsia="Arial Narrow" w:hAnsiTheme="majorHAnsi" w:cstheme="majorHAnsi"/>
              </w:rPr>
              <w:t xml:space="preserve">Enumera cuentas corrientes, cuentas de ahorro, cuentas de valores y cuentas de las cajas fuertes alquiladas. </w:t>
            </w:r>
          </w:p>
          <w:p w:rsidR="00A95808" w:rsidRPr="00DF6D87" w:rsidRDefault="00A95808" w:rsidP="00A95808">
            <w:pPr>
              <w:spacing w:after="0" w:line="240" w:lineRule="auto"/>
              <w:jc w:val="both"/>
              <w:rPr>
                <w:rFonts w:asciiTheme="majorHAnsi" w:eastAsia="Arial Narrow" w:hAnsiTheme="majorHAnsi" w:cstheme="majorHAnsi"/>
              </w:rPr>
            </w:pPr>
          </w:p>
          <w:p w:rsidR="006B3CBE" w:rsidRPr="00DF6D87" w:rsidRDefault="006B3CBE" w:rsidP="00A95808">
            <w:pPr>
              <w:spacing w:after="0" w:line="240" w:lineRule="auto"/>
              <w:jc w:val="both"/>
              <w:rPr>
                <w:rFonts w:asciiTheme="majorHAnsi" w:eastAsia="Arial Narrow" w:hAnsiTheme="majorHAnsi" w:cstheme="majorHAnsi"/>
              </w:rPr>
            </w:pPr>
            <w:r w:rsidRPr="00DF6D87">
              <w:rPr>
                <w:rFonts w:asciiTheme="majorHAnsi" w:eastAsia="Arial Narrow" w:hAnsiTheme="majorHAnsi" w:cstheme="majorHAnsi"/>
                <w:b/>
              </w:rPr>
              <w:t>Contiene:</w:t>
            </w:r>
            <w:r w:rsidR="00A95808" w:rsidRPr="00DF6D87">
              <w:rPr>
                <w:rFonts w:asciiTheme="majorHAnsi" w:eastAsia="Arial Narrow" w:hAnsiTheme="majorHAnsi" w:cstheme="majorHAnsi"/>
                <w:b/>
              </w:rPr>
              <w:t xml:space="preserve"> </w:t>
            </w:r>
            <w:r w:rsidRPr="00DF6D87">
              <w:rPr>
                <w:rFonts w:asciiTheme="majorHAnsi" w:eastAsia="Arial Narrow" w:hAnsiTheme="majorHAnsi" w:cstheme="majorHAnsi"/>
              </w:rPr>
              <w:t>Identidad del titular, nombre y dirección del banco, número y tipo de cuenta y apertura y cierre.</w:t>
            </w:r>
          </w:p>
        </w:tc>
        <w:tc>
          <w:tcPr>
            <w:tcW w:w="814" w:type="pct"/>
            <w:tcBorders>
              <w:top w:val="nil"/>
              <w:left w:val="nil"/>
              <w:bottom w:val="single" w:sz="8" w:space="0" w:color="000000"/>
              <w:right w:val="single" w:sz="8" w:space="0" w:color="000000"/>
            </w:tcBorders>
            <w:tcMar>
              <w:top w:w="100" w:type="dxa"/>
              <w:left w:w="100" w:type="dxa"/>
              <w:bottom w:w="100" w:type="dxa"/>
              <w:right w:w="100" w:type="dxa"/>
            </w:tcMar>
          </w:tcPr>
          <w:p w:rsidR="00A95808" w:rsidRPr="00DF6D87" w:rsidRDefault="006B3CBE" w:rsidP="00A95808">
            <w:pPr>
              <w:spacing w:after="0" w:line="240" w:lineRule="auto"/>
              <w:jc w:val="both"/>
              <w:rPr>
                <w:rFonts w:asciiTheme="majorHAnsi" w:eastAsia="Arial Narrow" w:hAnsiTheme="majorHAnsi" w:cstheme="majorHAnsi"/>
              </w:rPr>
            </w:pPr>
            <w:r w:rsidRPr="00DF6D87">
              <w:rPr>
                <w:rFonts w:asciiTheme="majorHAnsi" w:eastAsia="Arial Narrow" w:hAnsiTheme="majorHAnsi" w:cstheme="majorHAnsi"/>
              </w:rPr>
              <w:t>Para cuentas bancarias y de pagos: nombre y la dirección del titular de la cuenta y de sus beneficiarios reales, nombre de la cuen</w:t>
            </w:r>
            <w:r w:rsidR="00A95808" w:rsidRPr="00DF6D87">
              <w:rPr>
                <w:rFonts w:asciiTheme="majorHAnsi" w:eastAsia="Arial Narrow" w:hAnsiTheme="majorHAnsi" w:cstheme="majorHAnsi"/>
              </w:rPr>
              <w:t>ta, fecha de apertura y cierre.</w:t>
            </w:r>
          </w:p>
          <w:p w:rsidR="00A95808" w:rsidRPr="00DF6D87" w:rsidRDefault="00A95808" w:rsidP="00A95808">
            <w:pPr>
              <w:spacing w:after="0" w:line="240" w:lineRule="auto"/>
              <w:jc w:val="both"/>
              <w:rPr>
                <w:rFonts w:asciiTheme="majorHAnsi" w:eastAsia="Arial Narrow" w:hAnsiTheme="majorHAnsi" w:cstheme="majorHAnsi"/>
              </w:rPr>
            </w:pPr>
          </w:p>
          <w:p w:rsidR="006B3CBE" w:rsidRPr="00DF6D87" w:rsidRDefault="006B3CBE" w:rsidP="00A95808">
            <w:pPr>
              <w:spacing w:after="0" w:line="240" w:lineRule="auto"/>
              <w:jc w:val="both"/>
              <w:rPr>
                <w:rFonts w:asciiTheme="majorHAnsi" w:eastAsia="Arial Narrow" w:hAnsiTheme="majorHAnsi" w:cstheme="majorHAnsi"/>
              </w:rPr>
            </w:pPr>
            <w:r w:rsidRPr="00DF6D87">
              <w:rPr>
                <w:rFonts w:asciiTheme="majorHAnsi" w:eastAsia="Arial Narrow" w:hAnsiTheme="majorHAnsi" w:cstheme="majorHAnsi"/>
              </w:rPr>
              <w:t>Para cajas de seguridad: nombre y dirección del arrendatario.</w:t>
            </w:r>
          </w:p>
        </w:tc>
        <w:tc>
          <w:tcPr>
            <w:tcW w:w="1036" w:type="pct"/>
            <w:tcBorders>
              <w:top w:val="nil"/>
              <w:left w:val="nil"/>
              <w:bottom w:val="single" w:sz="8" w:space="0" w:color="000000"/>
              <w:right w:val="single" w:sz="8" w:space="0" w:color="000000"/>
            </w:tcBorders>
            <w:tcMar>
              <w:top w:w="100" w:type="dxa"/>
              <w:left w:w="100" w:type="dxa"/>
              <w:bottom w:w="100" w:type="dxa"/>
              <w:right w:w="100" w:type="dxa"/>
            </w:tcMar>
          </w:tcPr>
          <w:p w:rsidR="006B3CBE" w:rsidRPr="00DF6D87" w:rsidRDefault="006B3CBE" w:rsidP="00A95808">
            <w:pPr>
              <w:spacing w:after="0" w:line="240" w:lineRule="auto"/>
              <w:jc w:val="both"/>
              <w:rPr>
                <w:rFonts w:asciiTheme="majorHAnsi" w:eastAsia="Arial Narrow" w:hAnsiTheme="majorHAnsi" w:cstheme="majorHAnsi"/>
              </w:rPr>
            </w:pPr>
            <w:r w:rsidRPr="00DF6D87">
              <w:rPr>
                <w:rFonts w:asciiTheme="majorHAnsi" w:eastAsia="Arial Narrow" w:hAnsiTheme="majorHAnsi" w:cstheme="majorHAnsi"/>
              </w:rPr>
              <w:t>Instituciones de crédito o financiera proporciona una cuenta identificada por IBAN</w:t>
            </w:r>
            <w:r w:rsidR="00A95808" w:rsidRPr="00DF6D87">
              <w:rPr>
                <w:rFonts w:asciiTheme="majorHAnsi" w:eastAsia="Arial Narrow" w:hAnsiTheme="majorHAnsi" w:cstheme="majorHAnsi"/>
              </w:rPr>
              <w:t xml:space="preserve"> </w:t>
            </w:r>
            <w:r w:rsidRPr="00DF6D87">
              <w:rPr>
                <w:rFonts w:asciiTheme="majorHAnsi" w:eastAsia="Arial Narrow" w:hAnsiTheme="majorHAnsi" w:cstheme="majorHAnsi"/>
              </w:rPr>
              <w:t>o una institución de crédito proporciona servicios de custodia segura. Datos: cliente, IBAN asociado a dicha cuenta, código  utilizado para identificar las cajas de seguridad; y periodo de tiempo.</w:t>
            </w:r>
          </w:p>
        </w:tc>
      </w:tr>
      <w:tr w:rsidR="00A95808" w:rsidRPr="00DF6D87" w:rsidTr="002C45C4">
        <w:trPr>
          <w:trHeight w:val="3207"/>
        </w:trPr>
        <w:tc>
          <w:tcPr>
            <w:tcW w:w="556" w:type="pct"/>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rsidR="006B3CBE" w:rsidRPr="00DF6D87" w:rsidRDefault="006B3CBE" w:rsidP="00A95808">
            <w:pPr>
              <w:spacing w:after="0" w:line="240" w:lineRule="auto"/>
              <w:ind w:left="32"/>
              <w:jc w:val="center"/>
              <w:rPr>
                <w:rFonts w:asciiTheme="majorHAnsi" w:eastAsia="Arial Narrow" w:hAnsiTheme="majorHAnsi" w:cstheme="majorHAnsi"/>
                <w:b/>
              </w:rPr>
            </w:pPr>
            <w:r w:rsidRPr="00DF6D87">
              <w:rPr>
                <w:rFonts w:asciiTheme="majorHAnsi" w:eastAsia="Arial Narrow" w:hAnsiTheme="majorHAnsi" w:cstheme="majorHAnsi"/>
                <w:b/>
              </w:rPr>
              <w:lastRenderedPageBreak/>
              <w:t>Instituciones que acceden</w:t>
            </w:r>
          </w:p>
        </w:tc>
        <w:tc>
          <w:tcPr>
            <w:tcW w:w="763" w:type="pct"/>
            <w:tcBorders>
              <w:top w:val="nil"/>
              <w:left w:val="nil"/>
              <w:bottom w:val="single" w:sz="8" w:space="0" w:color="000000"/>
              <w:right w:val="single" w:sz="8" w:space="0" w:color="000000"/>
            </w:tcBorders>
            <w:tcMar>
              <w:top w:w="100" w:type="dxa"/>
              <w:left w:w="100" w:type="dxa"/>
              <w:bottom w:w="100" w:type="dxa"/>
              <w:right w:w="100" w:type="dxa"/>
            </w:tcMar>
          </w:tcPr>
          <w:p w:rsidR="006B3CBE" w:rsidRPr="00DF6D87" w:rsidRDefault="006B3CBE" w:rsidP="00A95808">
            <w:pPr>
              <w:spacing w:after="0" w:line="240" w:lineRule="auto"/>
              <w:ind w:left="141"/>
              <w:jc w:val="both"/>
              <w:rPr>
                <w:rFonts w:asciiTheme="majorHAnsi" w:eastAsia="Arial Narrow" w:hAnsiTheme="majorHAnsi" w:cstheme="majorHAnsi"/>
              </w:rPr>
            </w:pPr>
            <w:r w:rsidRPr="00DF6D87">
              <w:rPr>
                <w:rFonts w:asciiTheme="majorHAnsi" w:eastAsia="Arial Narrow" w:hAnsiTheme="majorHAnsi" w:cstheme="majorHAnsi"/>
              </w:rPr>
              <w:t>Órganos jurisdiccionales, Ministerio Fiscal, cuerpos policiales (previa autorización del fiscal), Oficina de Recuperación y gestión de activos, la Comisión de Vigilancia de actividades de FT, Centro Nacional de Inteligencia y Agencia Estatal de Administración Tributaria.</w:t>
            </w:r>
          </w:p>
        </w:tc>
        <w:tc>
          <w:tcPr>
            <w:tcW w:w="865" w:type="pct"/>
            <w:tcBorders>
              <w:top w:val="nil"/>
              <w:left w:val="nil"/>
              <w:bottom w:val="single" w:sz="8" w:space="0" w:color="000000"/>
              <w:right w:val="single" w:sz="8" w:space="0" w:color="000000"/>
            </w:tcBorders>
            <w:tcMar>
              <w:top w:w="100" w:type="dxa"/>
              <w:left w:w="100" w:type="dxa"/>
              <w:bottom w:w="100" w:type="dxa"/>
              <w:right w:w="100" w:type="dxa"/>
            </w:tcMar>
          </w:tcPr>
          <w:p w:rsidR="006B3CBE" w:rsidRPr="00DF6D87" w:rsidRDefault="006B3CBE" w:rsidP="00427DD0">
            <w:pPr>
              <w:spacing w:before="240" w:after="0" w:line="240" w:lineRule="auto"/>
              <w:jc w:val="both"/>
              <w:rPr>
                <w:rFonts w:asciiTheme="majorHAnsi" w:eastAsia="Arial Narrow" w:hAnsiTheme="majorHAnsi" w:cstheme="majorHAnsi"/>
              </w:rPr>
            </w:pPr>
            <w:r w:rsidRPr="00DF6D87">
              <w:rPr>
                <w:rFonts w:asciiTheme="majorHAnsi" w:eastAsia="Arial Narrow" w:hAnsiTheme="majorHAnsi" w:cstheme="majorHAnsi"/>
              </w:rPr>
              <w:t>Ministerio Público, UIF, la unidad policial de lucha contra el blanqueo de capitales, los jueces de instrucción, los jueces de policía y los notarios (estos últimos sobre la base de una solicitud específica y razonada).</w:t>
            </w:r>
          </w:p>
        </w:tc>
        <w:tc>
          <w:tcPr>
            <w:tcW w:w="966" w:type="pct"/>
            <w:tcBorders>
              <w:top w:val="nil"/>
              <w:left w:val="nil"/>
              <w:bottom w:val="single" w:sz="8" w:space="0" w:color="000000"/>
              <w:right w:val="single" w:sz="8" w:space="0" w:color="000000"/>
            </w:tcBorders>
            <w:tcMar>
              <w:top w:w="100" w:type="dxa"/>
              <w:left w:w="100" w:type="dxa"/>
              <w:bottom w:w="100" w:type="dxa"/>
              <w:right w:w="100" w:type="dxa"/>
            </w:tcMar>
          </w:tcPr>
          <w:p w:rsidR="006B3CBE" w:rsidRPr="00DF6D87" w:rsidRDefault="006B3CBE" w:rsidP="00A95808">
            <w:pPr>
              <w:spacing w:after="0" w:line="240" w:lineRule="auto"/>
              <w:ind w:left="141"/>
              <w:jc w:val="both"/>
              <w:rPr>
                <w:rFonts w:asciiTheme="majorHAnsi" w:eastAsia="Arial Narrow" w:hAnsiTheme="majorHAnsi" w:cstheme="majorHAnsi"/>
              </w:rPr>
            </w:pPr>
            <w:r w:rsidRPr="00DF6D87">
              <w:rPr>
                <w:rFonts w:asciiTheme="majorHAnsi" w:eastAsia="Arial Narrow" w:hAnsiTheme="majorHAnsi" w:cstheme="majorHAnsi"/>
              </w:rPr>
              <w:t xml:space="preserve">Ciertos agentes de la Dirección General de Finanzas, Aduanas, Prevención del Fraude, TRACFIN (UIF Francia).               </w:t>
            </w:r>
            <w:r w:rsidRPr="00DF6D87">
              <w:rPr>
                <w:rFonts w:asciiTheme="majorHAnsi" w:eastAsia="Arial Narrow" w:hAnsiTheme="majorHAnsi" w:cstheme="majorHAnsi"/>
              </w:rPr>
              <w:tab/>
              <w:t>Autoridades judicial y policía judicial, agentes de la banca en el marco de la gestión del archivo central de cheques, alguaciles, personas responsables de perseguir la recuperación de créditos de alimentos, establecimientos bancarios en determinadas situaciones, los notarios encargados de una herencia y fondo de garantía para víctimas de actos terroristas.</w:t>
            </w:r>
          </w:p>
        </w:tc>
        <w:tc>
          <w:tcPr>
            <w:tcW w:w="814" w:type="pct"/>
            <w:tcBorders>
              <w:top w:val="nil"/>
              <w:left w:val="nil"/>
              <w:bottom w:val="single" w:sz="8" w:space="0" w:color="000000"/>
              <w:right w:val="single" w:sz="8" w:space="0" w:color="000000"/>
            </w:tcBorders>
            <w:tcMar>
              <w:top w:w="100" w:type="dxa"/>
              <w:left w:w="100" w:type="dxa"/>
              <w:bottom w:w="100" w:type="dxa"/>
              <w:right w:w="100" w:type="dxa"/>
            </w:tcMar>
          </w:tcPr>
          <w:p w:rsidR="006B3CBE" w:rsidRPr="00DF6D87" w:rsidRDefault="006B3CBE" w:rsidP="00A95808">
            <w:pPr>
              <w:spacing w:after="0" w:line="240" w:lineRule="auto"/>
              <w:ind w:left="141"/>
              <w:jc w:val="both"/>
              <w:rPr>
                <w:rFonts w:asciiTheme="majorHAnsi" w:eastAsia="Arial Narrow" w:hAnsiTheme="majorHAnsi" w:cstheme="majorHAnsi"/>
              </w:rPr>
            </w:pPr>
            <w:r w:rsidRPr="00DF6D87">
              <w:rPr>
                <w:rFonts w:asciiTheme="majorHAnsi" w:eastAsia="Arial Narrow" w:hAnsiTheme="majorHAnsi" w:cstheme="majorHAnsi"/>
              </w:rPr>
              <w:t>Servicio policial, UIF, Comisionados de ingresos, oficina de activos criminales, Banco Central, Departamento de Justicia e Igualdad, Autoridad Reguladora de Servicios de Propiedad, Colegio de Abogados, Consejo General del Colegio de Abogados, Organismo contable designado.</w:t>
            </w:r>
          </w:p>
        </w:tc>
        <w:tc>
          <w:tcPr>
            <w:tcW w:w="1036" w:type="pct"/>
            <w:tcBorders>
              <w:top w:val="nil"/>
              <w:left w:val="nil"/>
              <w:bottom w:val="single" w:sz="8" w:space="0" w:color="000000"/>
              <w:right w:val="single" w:sz="8" w:space="0" w:color="000000"/>
            </w:tcBorders>
            <w:tcMar>
              <w:top w:w="100" w:type="dxa"/>
              <w:left w:w="100" w:type="dxa"/>
              <w:bottom w:w="100" w:type="dxa"/>
              <w:right w:w="100" w:type="dxa"/>
            </w:tcMar>
          </w:tcPr>
          <w:p w:rsidR="006B3CBE" w:rsidRPr="00DF6D87" w:rsidRDefault="006B3CBE" w:rsidP="00A95808">
            <w:pPr>
              <w:spacing w:after="0" w:line="240" w:lineRule="auto"/>
              <w:ind w:left="141"/>
              <w:jc w:val="both"/>
              <w:rPr>
                <w:rFonts w:asciiTheme="majorHAnsi" w:eastAsia="Arial Narrow" w:hAnsiTheme="majorHAnsi" w:cstheme="majorHAnsi"/>
              </w:rPr>
            </w:pPr>
            <w:r w:rsidRPr="00DF6D87">
              <w:rPr>
                <w:rFonts w:asciiTheme="majorHAnsi" w:eastAsia="Arial Narrow" w:hAnsiTheme="majorHAnsi" w:cstheme="majorHAnsi"/>
              </w:rPr>
              <w:t>La FIAU, autoridades nacionales que lleven a cabo investigaciones penales por blanqueo de capitales, delitos determinantes FT y cualquier otro delito grave; Oficina de Recuperación de Activos, el Comisario de Ingresos y la Junta de Vigilancia de Sanciones:</w:t>
            </w:r>
          </w:p>
          <w:p w:rsidR="006B3CBE" w:rsidRPr="00DF6D87" w:rsidRDefault="006B3CBE" w:rsidP="00A95808">
            <w:pPr>
              <w:spacing w:after="0" w:line="240" w:lineRule="auto"/>
              <w:ind w:left="420"/>
              <w:jc w:val="both"/>
              <w:rPr>
                <w:rFonts w:asciiTheme="majorHAnsi" w:eastAsia="Arial Narrow" w:hAnsiTheme="majorHAnsi" w:cstheme="majorHAnsi"/>
              </w:rPr>
            </w:pPr>
            <w:r w:rsidRPr="00DF6D87">
              <w:rPr>
                <w:rFonts w:asciiTheme="majorHAnsi" w:eastAsia="Arial Narrow" w:hAnsiTheme="majorHAnsi" w:cstheme="majorHAnsi"/>
              </w:rPr>
              <w:t xml:space="preserve"> </w:t>
            </w:r>
          </w:p>
          <w:p w:rsidR="006B3CBE" w:rsidRPr="00DF6D87" w:rsidRDefault="006B3CBE" w:rsidP="00A95808">
            <w:pPr>
              <w:spacing w:after="0" w:line="240" w:lineRule="auto"/>
              <w:ind w:left="141"/>
              <w:jc w:val="both"/>
              <w:rPr>
                <w:rFonts w:asciiTheme="majorHAnsi" w:eastAsia="Arial Narrow" w:hAnsiTheme="majorHAnsi" w:cstheme="majorHAnsi"/>
              </w:rPr>
            </w:pPr>
            <w:r w:rsidRPr="00DF6D87">
              <w:rPr>
                <w:rFonts w:asciiTheme="majorHAnsi" w:eastAsia="Arial Narrow" w:hAnsiTheme="majorHAnsi" w:cstheme="majorHAnsi"/>
                <w:b/>
              </w:rPr>
              <w:t xml:space="preserve">Nota: </w:t>
            </w:r>
            <w:r w:rsidRPr="00DF6D87">
              <w:rPr>
                <w:rFonts w:asciiTheme="majorHAnsi" w:eastAsia="Arial Narrow" w:hAnsiTheme="majorHAnsi" w:cstheme="majorHAnsi"/>
              </w:rPr>
              <w:t>el acceso se realizará caso por caso y en la medida que sea necesario para la prevención, detección, investigación del blanqueo de capitales, delitos determinantes, FT o cualquier otro delito grave.</w:t>
            </w:r>
          </w:p>
        </w:tc>
      </w:tr>
    </w:tbl>
    <w:p w:rsidR="00A95808" w:rsidRDefault="006B3CBE" w:rsidP="006B3CBE">
      <w:pPr>
        <w:ind w:left="420"/>
        <w:jc w:val="both"/>
        <w:rPr>
          <w:rFonts w:asciiTheme="majorHAnsi" w:eastAsia="Arial Narrow" w:hAnsiTheme="majorHAnsi" w:cstheme="majorHAnsi"/>
          <w:b/>
        </w:rPr>
        <w:sectPr w:rsidR="00A95808" w:rsidSect="00A95808">
          <w:pgSz w:w="16838" w:h="11906" w:orient="landscape"/>
          <w:pgMar w:top="1701" w:right="1417" w:bottom="1701" w:left="1417" w:header="708" w:footer="708" w:gutter="0"/>
          <w:cols w:space="720"/>
          <w:docGrid w:linePitch="299"/>
        </w:sectPr>
      </w:pPr>
      <w:r w:rsidRPr="006B3CBE">
        <w:rPr>
          <w:rFonts w:asciiTheme="majorHAnsi" w:eastAsia="Arial Narrow" w:hAnsiTheme="majorHAnsi" w:cstheme="majorHAnsi"/>
          <w:b/>
        </w:rPr>
        <w:t xml:space="preserve"> </w:t>
      </w:r>
    </w:p>
    <w:p w:rsidR="006B3CBE" w:rsidRPr="006B3CBE" w:rsidRDefault="006B3CBE" w:rsidP="00DF6D87">
      <w:pPr>
        <w:jc w:val="both"/>
        <w:rPr>
          <w:rFonts w:asciiTheme="majorHAnsi" w:eastAsia="Arial Narrow" w:hAnsiTheme="majorHAnsi" w:cstheme="majorHAnsi"/>
          <w:b/>
        </w:rPr>
      </w:pPr>
      <w:r w:rsidRPr="006B3CBE">
        <w:rPr>
          <w:rFonts w:asciiTheme="majorHAnsi" w:eastAsia="Arial Narrow" w:hAnsiTheme="majorHAnsi" w:cstheme="majorHAnsi"/>
          <w:b/>
          <w:u w:val="single"/>
        </w:rPr>
        <w:lastRenderedPageBreak/>
        <w:t>América</w:t>
      </w:r>
      <w:r w:rsidRPr="006B3CBE">
        <w:rPr>
          <w:rFonts w:asciiTheme="majorHAnsi" w:eastAsia="Arial Narrow" w:hAnsiTheme="majorHAnsi" w:cstheme="majorHAnsi"/>
          <w:b/>
        </w:rPr>
        <w:t>:</w:t>
      </w:r>
    </w:p>
    <w:tbl>
      <w:tblPr>
        <w:tblW w:w="8626" w:type="dxa"/>
        <w:jc w:val="center"/>
        <w:tblBorders>
          <w:top w:val="nil"/>
          <w:left w:val="nil"/>
          <w:bottom w:val="nil"/>
          <w:right w:val="nil"/>
          <w:insideH w:val="nil"/>
          <w:insideV w:val="nil"/>
        </w:tblBorders>
        <w:tblLayout w:type="fixed"/>
        <w:tblLook w:val="0600" w:firstRow="0" w:lastRow="0" w:firstColumn="0" w:lastColumn="0" w:noHBand="1" w:noVBand="1"/>
      </w:tblPr>
      <w:tblGrid>
        <w:gridCol w:w="1617"/>
        <w:gridCol w:w="3153"/>
        <w:gridCol w:w="3856"/>
      </w:tblGrid>
      <w:tr w:rsidR="006B3CBE" w:rsidRPr="00DF6D87" w:rsidTr="002C45C4">
        <w:trPr>
          <w:trHeight w:val="254"/>
          <w:jc w:val="center"/>
        </w:trPr>
        <w:tc>
          <w:tcPr>
            <w:tcW w:w="1617"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vAlign w:val="center"/>
          </w:tcPr>
          <w:p w:rsidR="006B3CBE" w:rsidRPr="00DF6D87" w:rsidRDefault="006B3CBE" w:rsidP="00427DD0">
            <w:pPr>
              <w:spacing w:after="0" w:line="240" w:lineRule="auto"/>
              <w:jc w:val="center"/>
              <w:rPr>
                <w:rFonts w:asciiTheme="majorHAnsi" w:eastAsia="Arial Narrow" w:hAnsiTheme="majorHAnsi" w:cstheme="majorHAnsi"/>
                <w:b/>
              </w:rPr>
            </w:pPr>
            <w:r w:rsidRPr="00DF6D87">
              <w:rPr>
                <w:rFonts w:asciiTheme="majorHAnsi" w:eastAsia="Arial Narrow" w:hAnsiTheme="majorHAnsi" w:cstheme="majorHAnsi"/>
                <w:b/>
              </w:rPr>
              <w:t>País</w:t>
            </w:r>
          </w:p>
        </w:tc>
        <w:tc>
          <w:tcPr>
            <w:tcW w:w="3153" w:type="dxa"/>
            <w:tcBorders>
              <w:top w:val="single" w:sz="8" w:space="0" w:color="000000"/>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vAlign w:val="center"/>
          </w:tcPr>
          <w:p w:rsidR="006B3CBE" w:rsidRPr="00DF6D87" w:rsidRDefault="006B3CBE" w:rsidP="00427DD0">
            <w:pPr>
              <w:spacing w:after="0" w:line="240" w:lineRule="auto"/>
              <w:ind w:left="420"/>
              <w:jc w:val="center"/>
              <w:rPr>
                <w:rFonts w:asciiTheme="majorHAnsi" w:eastAsia="Arial Narrow" w:hAnsiTheme="majorHAnsi" w:cstheme="majorHAnsi"/>
                <w:b/>
              </w:rPr>
            </w:pPr>
            <w:r w:rsidRPr="00DF6D87">
              <w:rPr>
                <w:rFonts w:asciiTheme="majorHAnsi" w:eastAsia="Arial Narrow" w:hAnsiTheme="majorHAnsi" w:cstheme="majorHAnsi"/>
                <w:b/>
              </w:rPr>
              <w:t>Costa Rica</w:t>
            </w:r>
          </w:p>
        </w:tc>
        <w:tc>
          <w:tcPr>
            <w:tcW w:w="3856" w:type="dxa"/>
            <w:tcBorders>
              <w:top w:val="single" w:sz="8" w:space="0" w:color="000000"/>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vAlign w:val="center"/>
          </w:tcPr>
          <w:p w:rsidR="006B3CBE" w:rsidRPr="00DF6D87" w:rsidRDefault="006B3CBE" w:rsidP="00427DD0">
            <w:pPr>
              <w:spacing w:after="0" w:line="240" w:lineRule="auto"/>
              <w:ind w:left="420"/>
              <w:jc w:val="center"/>
              <w:rPr>
                <w:rFonts w:asciiTheme="majorHAnsi" w:eastAsia="Arial Narrow" w:hAnsiTheme="majorHAnsi" w:cstheme="majorHAnsi"/>
                <w:b/>
              </w:rPr>
            </w:pPr>
            <w:r w:rsidRPr="00DF6D87">
              <w:rPr>
                <w:rFonts w:asciiTheme="majorHAnsi" w:eastAsia="Arial Narrow" w:hAnsiTheme="majorHAnsi" w:cstheme="majorHAnsi"/>
                <w:b/>
              </w:rPr>
              <w:t>Estados Unidos</w:t>
            </w:r>
          </w:p>
        </w:tc>
      </w:tr>
      <w:tr w:rsidR="006B3CBE" w:rsidRPr="00DF6D87" w:rsidTr="002C45C4">
        <w:trPr>
          <w:trHeight w:val="408"/>
          <w:jc w:val="center"/>
        </w:trPr>
        <w:tc>
          <w:tcPr>
            <w:tcW w:w="1617" w:type="dxa"/>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vAlign w:val="center"/>
          </w:tcPr>
          <w:p w:rsidR="006B3CBE" w:rsidRPr="00DF6D87" w:rsidRDefault="006B3CBE" w:rsidP="00427DD0">
            <w:pPr>
              <w:spacing w:after="0" w:line="240" w:lineRule="auto"/>
              <w:jc w:val="center"/>
              <w:rPr>
                <w:rFonts w:asciiTheme="majorHAnsi" w:eastAsia="Arial Narrow" w:hAnsiTheme="majorHAnsi" w:cstheme="majorHAnsi"/>
                <w:b/>
              </w:rPr>
            </w:pPr>
            <w:r w:rsidRPr="00DF6D87">
              <w:rPr>
                <w:rFonts w:asciiTheme="majorHAnsi" w:eastAsia="Arial Narrow" w:hAnsiTheme="majorHAnsi" w:cstheme="majorHAnsi"/>
                <w:b/>
              </w:rPr>
              <w:t>Nombre</w:t>
            </w:r>
          </w:p>
        </w:tc>
        <w:tc>
          <w:tcPr>
            <w:tcW w:w="3153"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6B3CBE" w:rsidRPr="00DF6D87" w:rsidRDefault="006B3CBE" w:rsidP="00427DD0">
            <w:pPr>
              <w:spacing w:after="0" w:line="240" w:lineRule="auto"/>
              <w:jc w:val="center"/>
              <w:rPr>
                <w:rFonts w:asciiTheme="majorHAnsi" w:eastAsia="Arial Narrow" w:hAnsiTheme="majorHAnsi" w:cstheme="majorHAnsi"/>
              </w:rPr>
            </w:pPr>
            <w:r w:rsidRPr="00DF6D87">
              <w:rPr>
                <w:rFonts w:asciiTheme="majorHAnsi" w:eastAsia="Arial Narrow" w:hAnsiTheme="majorHAnsi" w:cstheme="majorHAnsi"/>
              </w:rPr>
              <w:t>Registro de Beneficiarios finales y Padrón Único de Cuentas (PUC)</w:t>
            </w:r>
          </w:p>
        </w:tc>
        <w:tc>
          <w:tcPr>
            <w:tcW w:w="3856"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6B3CBE" w:rsidRPr="00DF6D87" w:rsidRDefault="006B3CBE" w:rsidP="00427DD0">
            <w:pPr>
              <w:spacing w:after="0" w:line="240" w:lineRule="auto"/>
              <w:jc w:val="center"/>
              <w:rPr>
                <w:rFonts w:asciiTheme="majorHAnsi" w:eastAsia="Arial Narrow" w:hAnsiTheme="majorHAnsi" w:cstheme="majorHAnsi"/>
              </w:rPr>
            </w:pPr>
            <w:r w:rsidRPr="00DF6D87">
              <w:rPr>
                <w:rFonts w:asciiTheme="majorHAnsi" w:eastAsia="Arial Narrow" w:hAnsiTheme="majorHAnsi" w:cstheme="majorHAnsi"/>
              </w:rPr>
              <w:t>Sistema de comunicaciones confidencial entre el gobierno y la industria de servicios financieros.</w:t>
            </w:r>
          </w:p>
        </w:tc>
      </w:tr>
      <w:tr w:rsidR="006B3CBE" w:rsidRPr="00DF6D87" w:rsidTr="002C45C4">
        <w:trPr>
          <w:trHeight w:val="379"/>
          <w:jc w:val="center"/>
        </w:trPr>
        <w:tc>
          <w:tcPr>
            <w:tcW w:w="1617" w:type="dxa"/>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vAlign w:val="center"/>
          </w:tcPr>
          <w:p w:rsidR="006B3CBE" w:rsidRPr="00DF6D87" w:rsidRDefault="006B3CBE" w:rsidP="00427DD0">
            <w:pPr>
              <w:spacing w:after="0" w:line="240" w:lineRule="auto"/>
              <w:jc w:val="center"/>
              <w:rPr>
                <w:rFonts w:asciiTheme="majorHAnsi" w:eastAsia="Arial Narrow" w:hAnsiTheme="majorHAnsi" w:cstheme="majorHAnsi"/>
                <w:b/>
              </w:rPr>
            </w:pPr>
            <w:r w:rsidRPr="00DF6D87">
              <w:rPr>
                <w:rFonts w:asciiTheme="majorHAnsi" w:eastAsia="Arial Narrow" w:hAnsiTheme="majorHAnsi" w:cstheme="majorHAnsi"/>
                <w:b/>
              </w:rPr>
              <w:t>Institución que administra</w:t>
            </w:r>
          </w:p>
        </w:tc>
        <w:tc>
          <w:tcPr>
            <w:tcW w:w="3153"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6B3CBE" w:rsidRPr="00DF6D87" w:rsidRDefault="006B3CBE" w:rsidP="00427DD0">
            <w:pPr>
              <w:spacing w:after="0" w:line="240" w:lineRule="auto"/>
              <w:jc w:val="center"/>
              <w:rPr>
                <w:rFonts w:asciiTheme="majorHAnsi" w:eastAsia="Arial Narrow" w:hAnsiTheme="majorHAnsi" w:cstheme="majorHAnsi"/>
              </w:rPr>
            </w:pPr>
            <w:r w:rsidRPr="00DF6D87">
              <w:rPr>
                <w:rFonts w:asciiTheme="majorHAnsi" w:eastAsia="Arial Narrow" w:hAnsiTheme="majorHAnsi" w:cstheme="majorHAnsi"/>
              </w:rPr>
              <w:t>Banco Central  de Costa Rica (BCCR)</w:t>
            </w:r>
          </w:p>
        </w:tc>
        <w:tc>
          <w:tcPr>
            <w:tcW w:w="3856"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6B3CBE" w:rsidRPr="00DF6D87" w:rsidRDefault="006B3CBE" w:rsidP="00427DD0">
            <w:pPr>
              <w:spacing w:after="0" w:line="240" w:lineRule="auto"/>
              <w:ind w:left="420"/>
              <w:jc w:val="center"/>
              <w:rPr>
                <w:rFonts w:asciiTheme="majorHAnsi" w:eastAsia="Arial Narrow" w:hAnsiTheme="majorHAnsi" w:cstheme="majorHAnsi"/>
              </w:rPr>
            </w:pPr>
          </w:p>
        </w:tc>
      </w:tr>
      <w:tr w:rsidR="006B3CBE" w:rsidRPr="00DF6D87" w:rsidTr="002C45C4">
        <w:trPr>
          <w:trHeight w:val="740"/>
          <w:jc w:val="center"/>
        </w:trPr>
        <w:tc>
          <w:tcPr>
            <w:tcW w:w="1617" w:type="dxa"/>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vAlign w:val="center"/>
          </w:tcPr>
          <w:p w:rsidR="006B3CBE" w:rsidRPr="00DF6D87" w:rsidRDefault="006B3CBE" w:rsidP="00427DD0">
            <w:pPr>
              <w:spacing w:after="0" w:line="240" w:lineRule="auto"/>
              <w:jc w:val="center"/>
              <w:rPr>
                <w:rFonts w:asciiTheme="majorHAnsi" w:eastAsia="Arial Narrow" w:hAnsiTheme="majorHAnsi" w:cstheme="majorHAnsi"/>
                <w:b/>
              </w:rPr>
            </w:pPr>
            <w:r w:rsidRPr="00DF6D87">
              <w:rPr>
                <w:rFonts w:asciiTheme="majorHAnsi" w:eastAsia="Arial Narrow" w:hAnsiTheme="majorHAnsi" w:cstheme="majorHAnsi"/>
                <w:b/>
              </w:rPr>
              <w:t>Información a la que se accede</w:t>
            </w:r>
          </w:p>
        </w:tc>
        <w:tc>
          <w:tcPr>
            <w:tcW w:w="3153"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6B3CBE" w:rsidRPr="00DF6D87" w:rsidRDefault="006B3CBE" w:rsidP="00427DD0">
            <w:pPr>
              <w:spacing w:after="0" w:line="240" w:lineRule="auto"/>
              <w:jc w:val="center"/>
              <w:rPr>
                <w:rFonts w:asciiTheme="majorHAnsi" w:eastAsia="Arial Narrow" w:hAnsiTheme="majorHAnsi" w:cstheme="majorHAnsi"/>
              </w:rPr>
            </w:pPr>
            <w:r w:rsidRPr="00DF6D87">
              <w:rPr>
                <w:rFonts w:asciiTheme="majorHAnsi" w:eastAsia="Arial Narrow" w:hAnsiTheme="majorHAnsi" w:cstheme="majorHAnsi"/>
              </w:rPr>
              <w:t>Información de las cuentas de fondos enviadas por las entidades financieras: saldos, los montos acumulados de depósitos y demás datos complementarios del servicio.</w:t>
            </w:r>
          </w:p>
        </w:tc>
        <w:tc>
          <w:tcPr>
            <w:tcW w:w="3856"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6B3CBE" w:rsidRPr="00DF6D87" w:rsidRDefault="006B3CBE" w:rsidP="00427DD0">
            <w:pPr>
              <w:spacing w:after="0" w:line="240" w:lineRule="auto"/>
              <w:ind w:left="420"/>
              <w:jc w:val="center"/>
              <w:rPr>
                <w:rFonts w:asciiTheme="majorHAnsi" w:eastAsia="Arial Narrow" w:hAnsiTheme="majorHAnsi" w:cstheme="majorHAnsi"/>
              </w:rPr>
            </w:pPr>
          </w:p>
        </w:tc>
      </w:tr>
      <w:tr w:rsidR="006B3CBE" w:rsidRPr="00DF6D87" w:rsidTr="002C45C4">
        <w:trPr>
          <w:trHeight w:val="865"/>
          <w:jc w:val="center"/>
        </w:trPr>
        <w:tc>
          <w:tcPr>
            <w:tcW w:w="1617" w:type="dxa"/>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vAlign w:val="center"/>
          </w:tcPr>
          <w:p w:rsidR="006B3CBE" w:rsidRPr="00DF6D87" w:rsidRDefault="006B3CBE" w:rsidP="00427DD0">
            <w:pPr>
              <w:spacing w:after="0" w:line="240" w:lineRule="auto"/>
              <w:jc w:val="center"/>
              <w:rPr>
                <w:rFonts w:asciiTheme="majorHAnsi" w:eastAsia="Arial Narrow" w:hAnsiTheme="majorHAnsi" w:cstheme="majorHAnsi"/>
                <w:b/>
              </w:rPr>
            </w:pPr>
            <w:r w:rsidRPr="00DF6D87">
              <w:rPr>
                <w:rFonts w:asciiTheme="majorHAnsi" w:eastAsia="Arial Narrow" w:hAnsiTheme="majorHAnsi" w:cstheme="majorHAnsi"/>
                <w:b/>
              </w:rPr>
              <w:t>Instituciones que acceden</w:t>
            </w:r>
          </w:p>
        </w:tc>
        <w:tc>
          <w:tcPr>
            <w:tcW w:w="3153"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6B3CBE" w:rsidRPr="00DF6D87" w:rsidRDefault="006B3CBE" w:rsidP="00427DD0">
            <w:pPr>
              <w:spacing w:after="0" w:line="240" w:lineRule="auto"/>
              <w:jc w:val="center"/>
              <w:rPr>
                <w:rFonts w:asciiTheme="majorHAnsi" w:eastAsia="Arial Narrow" w:hAnsiTheme="majorHAnsi" w:cstheme="majorHAnsi"/>
              </w:rPr>
            </w:pPr>
            <w:r w:rsidRPr="00DF6D87">
              <w:rPr>
                <w:rFonts w:asciiTheme="majorHAnsi" w:eastAsia="Arial Narrow" w:hAnsiTheme="majorHAnsi" w:cstheme="majorHAnsi"/>
              </w:rPr>
              <w:t>UIF, jueces de la República y los órganos supervisores.</w:t>
            </w:r>
          </w:p>
        </w:tc>
        <w:tc>
          <w:tcPr>
            <w:tcW w:w="3856"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6B3CBE" w:rsidRPr="00DF6D87" w:rsidRDefault="006B3CBE" w:rsidP="00427DD0">
            <w:pPr>
              <w:spacing w:after="0" w:line="240" w:lineRule="auto"/>
              <w:jc w:val="center"/>
              <w:rPr>
                <w:rFonts w:asciiTheme="majorHAnsi" w:eastAsia="Arial Narrow" w:hAnsiTheme="majorHAnsi" w:cstheme="majorHAnsi"/>
              </w:rPr>
            </w:pPr>
            <w:r w:rsidRPr="00DF6D87">
              <w:rPr>
                <w:rFonts w:asciiTheme="majorHAnsi" w:eastAsia="Arial Narrow" w:hAnsiTheme="majorHAnsi" w:cstheme="majorHAnsi"/>
              </w:rPr>
              <w:t>Las agencias gubernamentales podrán exigir ciertos informes o registros cuando tengan un alto grado de utilidad en investigaciones o procedimientos penales o fiscales, o en la realización de inteligencia, incluido análisis contra el terrorismo internacional.</w:t>
            </w:r>
          </w:p>
        </w:tc>
      </w:tr>
    </w:tbl>
    <w:p w:rsidR="006B3CBE" w:rsidRDefault="006B3CBE" w:rsidP="006B3CBE">
      <w:pPr>
        <w:ind w:left="420"/>
        <w:jc w:val="both"/>
        <w:rPr>
          <w:rFonts w:asciiTheme="majorHAnsi" w:eastAsia="Arial Narrow" w:hAnsiTheme="majorHAnsi" w:cstheme="majorHAnsi"/>
          <w:b/>
        </w:rPr>
      </w:pPr>
      <w:r w:rsidRPr="006B3CBE">
        <w:rPr>
          <w:rFonts w:asciiTheme="majorHAnsi" w:eastAsia="Arial Narrow" w:hAnsiTheme="majorHAnsi" w:cstheme="majorHAnsi"/>
          <w:b/>
        </w:rPr>
        <w:t xml:space="preserve"> </w:t>
      </w:r>
    </w:p>
    <w:p w:rsidR="001A145E" w:rsidRPr="006B3CBE" w:rsidRDefault="001A145E" w:rsidP="006B3CBE">
      <w:pPr>
        <w:ind w:left="420"/>
        <w:jc w:val="both"/>
        <w:rPr>
          <w:rFonts w:asciiTheme="majorHAnsi" w:eastAsia="Arial Narrow" w:hAnsiTheme="majorHAnsi" w:cstheme="majorHAnsi"/>
          <w:b/>
        </w:rPr>
      </w:pPr>
    </w:p>
    <w:p w:rsidR="006B3CBE" w:rsidRDefault="006B3CBE" w:rsidP="001A145E">
      <w:pPr>
        <w:jc w:val="both"/>
        <w:rPr>
          <w:rFonts w:asciiTheme="majorHAnsi" w:eastAsia="Roboto" w:hAnsiTheme="majorHAnsi" w:cstheme="majorHAnsi"/>
          <w:b/>
        </w:rPr>
      </w:pPr>
      <w:r w:rsidRPr="006B3CBE">
        <w:rPr>
          <w:rFonts w:asciiTheme="majorHAnsi" w:eastAsia="Arial Narrow" w:hAnsiTheme="majorHAnsi" w:cstheme="majorHAnsi"/>
          <w:b/>
        </w:rPr>
        <w:t xml:space="preserve"> </w:t>
      </w:r>
      <w:r w:rsidR="00D94538">
        <w:rPr>
          <w:rFonts w:asciiTheme="majorHAnsi" w:eastAsia="Roboto" w:hAnsiTheme="majorHAnsi" w:cstheme="majorHAnsi"/>
          <w:b/>
        </w:rPr>
        <w:t>9</w:t>
      </w:r>
      <w:r w:rsidRPr="006B3CBE">
        <w:rPr>
          <w:rFonts w:asciiTheme="majorHAnsi" w:eastAsia="Roboto" w:hAnsiTheme="majorHAnsi" w:cstheme="majorHAnsi"/>
          <w:b/>
        </w:rPr>
        <w:t>. Fortalecer con mayores recursos humanos, debidamente capacitados, recursos físicos (equipamiento) y tecnológicos la atención de casos de LA a nivel fiscal, policial y de procuraduría pública competente</w:t>
      </w:r>
    </w:p>
    <w:p w:rsidR="002A6886" w:rsidRPr="002A6886" w:rsidRDefault="002A6886" w:rsidP="002A6886">
      <w:pPr>
        <w:spacing w:before="240"/>
        <w:jc w:val="both"/>
        <w:rPr>
          <w:rFonts w:asciiTheme="majorHAnsi" w:hAnsiTheme="majorHAnsi" w:cstheme="majorHAnsi"/>
        </w:rPr>
      </w:pPr>
      <w:r w:rsidRPr="002A6886">
        <w:rPr>
          <w:rFonts w:asciiTheme="majorHAnsi" w:hAnsiTheme="majorHAnsi" w:cstheme="majorHAnsi"/>
        </w:rPr>
        <w:t xml:space="preserve">Esta alternativa busca: i) superar el insuficiente número de peritos y expertos que tienen como apoyo en las investigaciones las fiscalías especializadas de LA, así como el aún insuficiente número de fiscalías especializadas de LA que existen al interior del país para atender estos casos, ii) dotar de mayores efectivos policiales capacitados a la DIRILA PNP para atender los requerimientos que formulen las fiscalías especializadas de LA en el marco de sus investigaciones, iii) reforzar con mayor personal capacitado a la Procuraduría Pública Especializada en Delitos de LA para colaborar con las fiscalías especializadas de LA en el esclarecimiento de los hechos sometidos a proceso y iv) asignar a las Fiscalías Especializadas de LA, a la DIRILA PNP y a la Procuraduría Pública Especializada en Delitos de LA de los equipos físicos y tecnológicos necesarios para el cumplimiento adecuado de sus funciones.   </w:t>
      </w:r>
    </w:p>
    <w:p w:rsidR="006B3CBE" w:rsidRDefault="002A6886" w:rsidP="002A6886">
      <w:pPr>
        <w:spacing w:before="240"/>
        <w:jc w:val="both"/>
        <w:rPr>
          <w:rFonts w:asciiTheme="majorHAnsi" w:hAnsiTheme="majorHAnsi" w:cstheme="majorHAnsi"/>
        </w:rPr>
      </w:pPr>
      <w:r w:rsidRPr="002A6886">
        <w:rPr>
          <w:rFonts w:asciiTheme="majorHAnsi" w:hAnsiTheme="majorHAnsi" w:cstheme="majorHAnsi"/>
        </w:rPr>
        <w:t>En países de la región como Chile, Paraguay y Uruguay se identifican alternativas de solución similares en sus estrategias para combatir el LA/FT, conforme se detallan a continuación.</w:t>
      </w:r>
    </w:p>
    <w:p w:rsidR="001A145E" w:rsidRDefault="001A145E" w:rsidP="002A6886">
      <w:pPr>
        <w:spacing w:before="240"/>
        <w:jc w:val="both"/>
        <w:rPr>
          <w:rFonts w:asciiTheme="majorHAnsi" w:hAnsiTheme="majorHAnsi" w:cstheme="majorHAnsi"/>
        </w:rPr>
      </w:pPr>
    </w:p>
    <w:p w:rsidR="001A145E" w:rsidRPr="006B3CBE" w:rsidRDefault="001A145E" w:rsidP="002A6886">
      <w:pPr>
        <w:spacing w:before="240"/>
        <w:jc w:val="both"/>
        <w:rPr>
          <w:rFonts w:asciiTheme="majorHAnsi" w:hAnsiTheme="majorHAnsi" w:cstheme="majorHAnsi"/>
        </w:rPr>
      </w:pPr>
    </w:p>
    <w:tbl>
      <w:tblPr>
        <w:tblW w:w="4986" w:type="pct"/>
        <w:tblBorders>
          <w:top w:val="nil"/>
          <w:left w:val="nil"/>
          <w:bottom w:val="nil"/>
          <w:right w:val="nil"/>
          <w:insideH w:val="nil"/>
          <w:insideV w:val="nil"/>
        </w:tblBorders>
        <w:tblLook w:val="0600" w:firstRow="0" w:lastRow="0" w:firstColumn="0" w:lastColumn="0" w:noHBand="1" w:noVBand="1"/>
      </w:tblPr>
      <w:tblGrid>
        <w:gridCol w:w="2672"/>
        <w:gridCol w:w="5788"/>
      </w:tblGrid>
      <w:tr w:rsidR="001A145E" w:rsidRPr="006B3CBE" w:rsidTr="001A145E">
        <w:trPr>
          <w:trHeight w:val="105"/>
        </w:trPr>
        <w:tc>
          <w:tcPr>
            <w:tcW w:w="1579" w:type="pct"/>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vAlign w:val="center"/>
          </w:tcPr>
          <w:p w:rsidR="001A145E" w:rsidRPr="006B3CBE" w:rsidRDefault="001A145E" w:rsidP="008138B2">
            <w:pPr>
              <w:spacing w:after="0" w:line="240" w:lineRule="auto"/>
              <w:jc w:val="center"/>
              <w:rPr>
                <w:rFonts w:asciiTheme="majorHAnsi" w:hAnsiTheme="majorHAnsi" w:cstheme="majorHAnsi"/>
                <w:b/>
              </w:rPr>
            </w:pPr>
            <w:r w:rsidRPr="006B3CBE">
              <w:rPr>
                <w:rFonts w:asciiTheme="majorHAnsi" w:hAnsiTheme="majorHAnsi" w:cstheme="majorHAnsi"/>
                <w:b/>
              </w:rPr>
              <w:lastRenderedPageBreak/>
              <w:t>País</w:t>
            </w:r>
          </w:p>
        </w:tc>
        <w:tc>
          <w:tcPr>
            <w:tcW w:w="3421" w:type="pct"/>
            <w:tcBorders>
              <w:top w:val="single" w:sz="8" w:space="0" w:color="000000"/>
              <w:left w:val="nil"/>
              <w:bottom w:val="single" w:sz="8" w:space="0" w:color="000000"/>
              <w:right w:val="single" w:sz="8" w:space="0" w:color="000000"/>
            </w:tcBorders>
            <w:shd w:val="clear" w:color="auto" w:fill="C6D9F1" w:themeFill="text2" w:themeFillTint="33"/>
            <w:tcMar>
              <w:top w:w="100" w:type="dxa"/>
              <w:left w:w="100" w:type="dxa"/>
              <w:bottom w:w="100" w:type="dxa"/>
              <w:right w:w="100" w:type="dxa"/>
            </w:tcMar>
            <w:vAlign w:val="center"/>
          </w:tcPr>
          <w:p w:rsidR="001A145E" w:rsidRPr="006B3CBE" w:rsidRDefault="00C30FF9" w:rsidP="008138B2">
            <w:pPr>
              <w:spacing w:after="0" w:line="240" w:lineRule="auto"/>
              <w:jc w:val="center"/>
              <w:rPr>
                <w:rFonts w:asciiTheme="majorHAnsi" w:hAnsiTheme="majorHAnsi" w:cstheme="majorHAnsi"/>
                <w:b/>
              </w:rPr>
            </w:pPr>
            <w:r>
              <w:rPr>
                <w:rFonts w:asciiTheme="majorHAnsi" w:hAnsiTheme="majorHAnsi" w:cstheme="majorHAnsi"/>
                <w:b/>
              </w:rPr>
              <w:t>Experiencia</w:t>
            </w:r>
          </w:p>
        </w:tc>
      </w:tr>
      <w:tr w:rsidR="001A145E" w:rsidRPr="006B3CBE" w:rsidTr="001A145E">
        <w:trPr>
          <w:trHeight w:val="1177"/>
        </w:trPr>
        <w:tc>
          <w:tcPr>
            <w:tcW w:w="1579"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A145E" w:rsidRPr="00983AD8" w:rsidRDefault="001A145E" w:rsidP="00F30CED">
            <w:pPr>
              <w:spacing w:after="0" w:line="240" w:lineRule="auto"/>
              <w:jc w:val="center"/>
              <w:rPr>
                <w:rFonts w:asciiTheme="majorHAnsi" w:hAnsiTheme="majorHAnsi" w:cstheme="majorHAnsi"/>
                <w:b/>
              </w:rPr>
            </w:pPr>
            <w:r w:rsidRPr="00983AD8">
              <w:rPr>
                <w:rFonts w:asciiTheme="majorHAnsi" w:hAnsiTheme="majorHAnsi" w:cstheme="majorHAnsi"/>
                <w:b/>
              </w:rPr>
              <w:t>Chile</w:t>
            </w:r>
          </w:p>
        </w:tc>
        <w:tc>
          <w:tcPr>
            <w:tcW w:w="3421" w:type="pct"/>
            <w:tcBorders>
              <w:top w:val="nil"/>
              <w:left w:val="nil"/>
              <w:bottom w:val="single" w:sz="8" w:space="0" w:color="000000"/>
              <w:right w:val="single" w:sz="8" w:space="0" w:color="000000"/>
            </w:tcBorders>
            <w:tcMar>
              <w:top w:w="100" w:type="dxa"/>
              <w:left w:w="100" w:type="dxa"/>
              <w:bottom w:w="100" w:type="dxa"/>
              <w:right w:w="100" w:type="dxa"/>
            </w:tcMar>
          </w:tcPr>
          <w:p w:rsidR="001A145E" w:rsidRDefault="001A145E" w:rsidP="008138B2">
            <w:pPr>
              <w:spacing w:after="0" w:line="240" w:lineRule="auto"/>
              <w:jc w:val="both"/>
            </w:pPr>
            <w:r>
              <w:rPr>
                <w:rFonts w:asciiTheme="majorHAnsi" w:hAnsiTheme="majorHAnsi" w:cstheme="majorHAnsi"/>
              </w:rPr>
              <w:t xml:space="preserve">En el </w:t>
            </w:r>
            <w:r w:rsidRPr="006B3CBE">
              <w:rPr>
                <w:rFonts w:asciiTheme="majorHAnsi" w:hAnsiTheme="majorHAnsi" w:cstheme="majorHAnsi"/>
              </w:rPr>
              <w:t>Plan de Acción 2018-2020 en el marco de su Estrategia Nacional para Prevenir y Combatir el Lavado de Activos y el</w:t>
            </w:r>
            <w:r>
              <w:rPr>
                <w:rFonts w:asciiTheme="majorHAnsi" w:hAnsiTheme="majorHAnsi" w:cstheme="majorHAnsi"/>
              </w:rPr>
              <w:t xml:space="preserve"> Financiamiento del Terrorismo</w:t>
            </w:r>
            <w:r>
              <w:t xml:space="preserve"> (</w:t>
            </w:r>
            <w:hyperlink r:id="rId18" w:history="1">
              <w:r w:rsidRPr="008138B2">
                <w:rPr>
                  <w:rStyle w:val="Hipervnculo"/>
                </w:rPr>
                <w:t>Ver fuente</w:t>
              </w:r>
            </w:hyperlink>
            <w:r>
              <w:t>) figura:</w:t>
            </w:r>
          </w:p>
          <w:p w:rsidR="001A145E" w:rsidRPr="001A145E" w:rsidRDefault="001A145E" w:rsidP="001A145E">
            <w:pPr>
              <w:pStyle w:val="Prrafodelista"/>
              <w:numPr>
                <w:ilvl w:val="0"/>
                <w:numId w:val="29"/>
              </w:numPr>
              <w:spacing w:after="0" w:line="240" w:lineRule="auto"/>
              <w:ind w:left="311" w:hanging="284"/>
              <w:jc w:val="both"/>
              <w:rPr>
                <w:rFonts w:asciiTheme="majorHAnsi" w:hAnsiTheme="majorHAnsi" w:cstheme="majorHAnsi"/>
              </w:rPr>
            </w:pPr>
            <w:r w:rsidRPr="001A145E">
              <w:rPr>
                <w:rFonts w:asciiTheme="majorHAnsi" w:hAnsiTheme="majorHAnsi" w:cstheme="majorHAnsi"/>
              </w:rPr>
              <w:t>Línea Estratégica 3. Investigación Patrimonial y Aumento del Decomiso</w:t>
            </w:r>
          </w:p>
          <w:p w:rsidR="001A145E" w:rsidRPr="001A145E" w:rsidRDefault="001A145E" w:rsidP="001A145E">
            <w:pPr>
              <w:pStyle w:val="Prrafodelista"/>
              <w:numPr>
                <w:ilvl w:val="0"/>
                <w:numId w:val="29"/>
              </w:numPr>
              <w:spacing w:after="0" w:line="240" w:lineRule="auto"/>
              <w:ind w:left="311" w:hanging="284"/>
              <w:jc w:val="both"/>
              <w:rPr>
                <w:rFonts w:asciiTheme="majorHAnsi" w:hAnsiTheme="majorHAnsi" w:cstheme="majorHAnsi"/>
              </w:rPr>
            </w:pPr>
            <w:r w:rsidRPr="001A145E">
              <w:rPr>
                <w:rFonts w:asciiTheme="majorHAnsi" w:hAnsiTheme="majorHAnsi" w:cstheme="majorHAnsi"/>
              </w:rPr>
              <w:t>Línea Estratégica 4. Capacitación: Fortalecimiento de las Capacidades y Habilidades para la Prevención y el Combate del LA/FT</w:t>
            </w:r>
          </w:p>
        </w:tc>
      </w:tr>
      <w:tr w:rsidR="001A145E" w:rsidRPr="006B3CBE" w:rsidTr="001A145E">
        <w:trPr>
          <w:trHeight w:val="2476"/>
        </w:trPr>
        <w:tc>
          <w:tcPr>
            <w:tcW w:w="1579"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A145E" w:rsidRPr="00983AD8" w:rsidRDefault="001A145E" w:rsidP="00F30CED">
            <w:pPr>
              <w:spacing w:after="0" w:line="240" w:lineRule="auto"/>
              <w:jc w:val="center"/>
              <w:rPr>
                <w:rFonts w:asciiTheme="majorHAnsi" w:hAnsiTheme="majorHAnsi" w:cstheme="majorHAnsi"/>
                <w:b/>
              </w:rPr>
            </w:pPr>
            <w:r w:rsidRPr="00983AD8">
              <w:rPr>
                <w:rFonts w:asciiTheme="majorHAnsi" w:hAnsiTheme="majorHAnsi" w:cstheme="majorHAnsi"/>
                <w:b/>
              </w:rPr>
              <w:t>Paraguay</w:t>
            </w:r>
          </w:p>
        </w:tc>
        <w:tc>
          <w:tcPr>
            <w:tcW w:w="3421" w:type="pct"/>
            <w:tcBorders>
              <w:top w:val="nil"/>
              <w:left w:val="nil"/>
              <w:bottom w:val="single" w:sz="8" w:space="0" w:color="000000"/>
              <w:right w:val="single" w:sz="8" w:space="0" w:color="000000"/>
            </w:tcBorders>
            <w:tcMar>
              <w:top w:w="100" w:type="dxa"/>
              <w:left w:w="100" w:type="dxa"/>
              <w:bottom w:w="100" w:type="dxa"/>
              <w:right w:w="100" w:type="dxa"/>
            </w:tcMar>
          </w:tcPr>
          <w:p w:rsidR="001A145E" w:rsidRDefault="001A145E" w:rsidP="008138B2">
            <w:pPr>
              <w:spacing w:after="0" w:line="240" w:lineRule="auto"/>
              <w:jc w:val="both"/>
              <w:rPr>
                <w:rFonts w:asciiTheme="majorHAnsi" w:hAnsiTheme="majorHAnsi" w:cstheme="majorHAnsi"/>
              </w:rPr>
            </w:pPr>
            <w:r w:rsidRPr="006B3CBE">
              <w:rPr>
                <w:rFonts w:asciiTheme="majorHAnsi" w:hAnsiTheme="majorHAnsi" w:cstheme="majorHAnsi"/>
              </w:rPr>
              <w:t>Plan de Acción del Plan Estratégico Nacional de Prevención de Lavado de Dinero y Financiamiento del Terrorismo</w:t>
            </w:r>
            <w:r>
              <w:rPr>
                <w:rFonts w:asciiTheme="majorHAnsi" w:hAnsiTheme="majorHAnsi" w:cstheme="majorHAnsi"/>
              </w:rPr>
              <w:t xml:space="preserve"> (</w:t>
            </w:r>
            <w:hyperlink r:id="rId19" w:history="1">
              <w:r w:rsidRPr="008138B2">
                <w:rPr>
                  <w:rStyle w:val="Hipervnculo"/>
                  <w:rFonts w:asciiTheme="majorHAnsi" w:hAnsiTheme="majorHAnsi" w:cstheme="majorHAnsi"/>
                </w:rPr>
                <w:t>Ver fuente</w:t>
              </w:r>
            </w:hyperlink>
            <w:r w:rsidRPr="001A145E">
              <w:t>) figuran los siguientes objetivos:</w:t>
            </w:r>
          </w:p>
          <w:p w:rsidR="001A145E" w:rsidRPr="001A145E" w:rsidRDefault="001A145E" w:rsidP="001A145E">
            <w:pPr>
              <w:pStyle w:val="Prrafodelista"/>
              <w:numPr>
                <w:ilvl w:val="0"/>
                <w:numId w:val="28"/>
              </w:numPr>
              <w:spacing w:after="0" w:line="240" w:lineRule="auto"/>
              <w:ind w:left="311" w:hanging="267"/>
              <w:jc w:val="both"/>
              <w:rPr>
                <w:rFonts w:asciiTheme="majorHAnsi" w:hAnsiTheme="majorHAnsi" w:cstheme="majorHAnsi"/>
              </w:rPr>
            </w:pPr>
            <w:r w:rsidRPr="001A145E">
              <w:rPr>
                <w:rFonts w:asciiTheme="majorHAnsi" w:hAnsiTheme="majorHAnsi" w:cstheme="majorHAnsi"/>
              </w:rPr>
              <w:t>Objetivo 17: Fortalecer el proceso de especialización del Ministerio Público y las Fuerzas de Seguridad en materia de investigación.</w:t>
            </w:r>
          </w:p>
          <w:p w:rsidR="001A145E" w:rsidRPr="001A145E" w:rsidRDefault="001A145E" w:rsidP="001A145E">
            <w:pPr>
              <w:pStyle w:val="Prrafodelista"/>
              <w:numPr>
                <w:ilvl w:val="0"/>
                <w:numId w:val="28"/>
              </w:numPr>
              <w:spacing w:after="0" w:line="240" w:lineRule="auto"/>
              <w:ind w:left="311" w:hanging="267"/>
              <w:jc w:val="both"/>
              <w:rPr>
                <w:rFonts w:asciiTheme="majorHAnsi" w:hAnsiTheme="majorHAnsi" w:cstheme="majorHAnsi"/>
              </w:rPr>
            </w:pPr>
            <w:r w:rsidRPr="001A145E">
              <w:rPr>
                <w:rFonts w:asciiTheme="majorHAnsi" w:hAnsiTheme="majorHAnsi" w:cstheme="majorHAnsi"/>
              </w:rPr>
              <w:t>Objetivo 20: Fortalecer los cuerpos de peritos expertos y asesores técnicos de las agencias especializadas en la investigación de hechos punibles de estos delitos.</w:t>
            </w:r>
          </w:p>
          <w:p w:rsidR="001A145E" w:rsidRPr="001A145E" w:rsidRDefault="001A145E" w:rsidP="001A145E">
            <w:pPr>
              <w:pStyle w:val="Prrafodelista"/>
              <w:numPr>
                <w:ilvl w:val="0"/>
                <w:numId w:val="28"/>
              </w:numPr>
              <w:spacing w:after="0" w:line="240" w:lineRule="auto"/>
              <w:ind w:left="311" w:hanging="267"/>
              <w:jc w:val="both"/>
              <w:rPr>
                <w:rFonts w:asciiTheme="majorHAnsi" w:hAnsiTheme="majorHAnsi" w:cstheme="majorHAnsi"/>
              </w:rPr>
            </w:pPr>
            <w:r w:rsidRPr="001A145E">
              <w:rPr>
                <w:rFonts w:asciiTheme="majorHAnsi" w:hAnsiTheme="majorHAnsi" w:cstheme="majorHAnsi"/>
              </w:rPr>
              <w:t>Objetivo 21: Capacitar a las Agencias especializadas en investigaciones de hechos punibles.</w:t>
            </w:r>
          </w:p>
        </w:tc>
      </w:tr>
      <w:tr w:rsidR="001A145E" w:rsidRPr="006B3CBE" w:rsidTr="001A145E">
        <w:trPr>
          <w:trHeight w:val="135"/>
        </w:trPr>
        <w:tc>
          <w:tcPr>
            <w:tcW w:w="1579" w:type="pc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A145E" w:rsidRPr="00983AD8" w:rsidRDefault="001A145E" w:rsidP="00F30CED">
            <w:pPr>
              <w:spacing w:after="0" w:line="240" w:lineRule="auto"/>
              <w:jc w:val="center"/>
              <w:rPr>
                <w:rFonts w:asciiTheme="majorHAnsi" w:hAnsiTheme="majorHAnsi" w:cstheme="majorHAnsi"/>
                <w:b/>
              </w:rPr>
            </w:pPr>
            <w:r w:rsidRPr="00983AD8">
              <w:rPr>
                <w:rFonts w:asciiTheme="majorHAnsi" w:hAnsiTheme="majorHAnsi" w:cstheme="majorHAnsi"/>
                <w:b/>
              </w:rPr>
              <w:t>Uruguay</w:t>
            </w:r>
          </w:p>
        </w:tc>
        <w:tc>
          <w:tcPr>
            <w:tcW w:w="3421" w:type="pct"/>
            <w:tcBorders>
              <w:top w:val="nil"/>
              <w:left w:val="nil"/>
              <w:bottom w:val="single" w:sz="8" w:space="0" w:color="000000"/>
              <w:right w:val="single" w:sz="8" w:space="0" w:color="000000"/>
            </w:tcBorders>
            <w:tcMar>
              <w:top w:w="100" w:type="dxa"/>
              <w:left w:w="100" w:type="dxa"/>
              <w:bottom w:w="100" w:type="dxa"/>
              <w:right w:w="100" w:type="dxa"/>
            </w:tcMar>
          </w:tcPr>
          <w:p w:rsidR="001A145E" w:rsidRDefault="001A145E" w:rsidP="008138B2">
            <w:pPr>
              <w:spacing w:after="0" w:line="240" w:lineRule="auto"/>
              <w:jc w:val="both"/>
              <w:rPr>
                <w:rFonts w:asciiTheme="majorHAnsi" w:hAnsiTheme="majorHAnsi" w:cstheme="majorHAnsi"/>
              </w:rPr>
            </w:pPr>
            <w:r>
              <w:rPr>
                <w:rFonts w:asciiTheme="majorHAnsi" w:hAnsiTheme="majorHAnsi" w:cstheme="majorHAnsi"/>
              </w:rPr>
              <w:t xml:space="preserve">En el </w:t>
            </w:r>
            <w:r w:rsidRPr="006B3CBE">
              <w:rPr>
                <w:rFonts w:asciiTheme="majorHAnsi" w:hAnsiTheme="majorHAnsi" w:cstheme="majorHAnsi"/>
              </w:rPr>
              <w:t>Plan de Acción de la Estrategia Nacional para la Lucha contra el Lavado de Activos, el Financiamiento del Terrorismo y la Proliferación d</w:t>
            </w:r>
            <w:r>
              <w:rPr>
                <w:rFonts w:asciiTheme="majorHAnsi" w:hAnsiTheme="majorHAnsi" w:cstheme="majorHAnsi"/>
              </w:rPr>
              <w:t>e Armas de Destrucción Masiva (</w:t>
            </w:r>
            <w:hyperlink r:id="rId20" w:history="1">
              <w:r w:rsidRPr="008138B2">
                <w:rPr>
                  <w:rStyle w:val="Hipervnculo"/>
                  <w:rFonts w:asciiTheme="majorHAnsi" w:hAnsiTheme="majorHAnsi" w:cstheme="majorHAnsi"/>
                </w:rPr>
                <w:t>Ver fuente</w:t>
              </w:r>
            </w:hyperlink>
            <w:r>
              <w:rPr>
                <w:rFonts w:asciiTheme="majorHAnsi" w:hAnsiTheme="majorHAnsi" w:cstheme="majorHAnsi"/>
              </w:rPr>
              <w:t>), en el apartado de Represión Penal, figura:</w:t>
            </w:r>
          </w:p>
          <w:p w:rsidR="001A145E" w:rsidRPr="001A145E" w:rsidRDefault="001A145E" w:rsidP="001A145E">
            <w:pPr>
              <w:pStyle w:val="Prrafodelista"/>
              <w:numPr>
                <w:ilvl w:val="0"/>
                <w:numId w:val="30"/>
              </w:numPr>
              <w:spacing w:after="0" w:line="240" w:lineRule="auto"/>
              <w:ind w:left="311" w:hanging="267"/>
              <w:jc w:val="both"/>
              <w:rPr>
                <w:rFonts w:asciiTheme="majorHAnsi" w:hAnsiTheme="majorHAnsi" w:cstheme="majorHAnsi"/>
              </w:rPr>
            </w:pPr>
            <w:r w:rsidRPr="001A145E">
              <w:rPr>
                <w:rFonts w:asciiTheme="majorHAnsi" w:hAnsiTheme="majorHAnsi" w:cstheme="majorHAnsi"/>
              </w:rPr>
              <w:t>Objetivo 13: Reforzar los mecanismos de investigación sobre patrimonios ilícitos</w:t>
            </w:r>
          </w:p>
          <w:p w:rsidR="001A145E" w:rsidRPr="001A145E" w:rsidRDefault="001A145E" w:rsidP="001A145E">
            <w:pPr>
              <w:pStyle w:val="Prrafodelista"/>
              <w:numPr>
                <w:ilvl w:val="0"/>
                <w:numId w:val="30"/>
              </w:numPr>
              <w:spacing w:after="0" w:line="240" w:lineRule="auto"/>
              <w:ind w:left="311" w:hanging="267"/>
              <w:jc w:val="both"/>
              <w:rPr>
                <w:rFonts w:asciiTheme="majorHAnsi" w:hAnsiTheme="majorHAnsi" w:cstheme="majorHAnsi"/>
              </w:rPr>
            </w:pPr>
            <w:r w:rsidRPr="001A145E">
              <w:rPr>
                <w:rFonts w:asciiTheme="majorHAnsi" w:hAnsiTheme="majorHAnsi" w:cstheme="majorHAnsi"/>
              </w:rPr>
              <w:t>Objetivo 14: Fortalecer las Unidades de Investigación</w:t>
            </w:r>
          </w:p>
        </w:tc>
      </w:tr>
    </w:tbl>
    <w:p w:rsidR="002A6886" w:rsidRPr="002A6886" w:rsidRDefault="002A6886" w:rsidP="002A6886">
      <w:pPr>
        <w:spacing w:before="240"/>
        <w:jc w:val="both"/>
        <w:rPr>
          <w:rFonts w:asciiTheme="majorHAnsi" w:hAnsiTheme="majorHAnsi" w:cstheme="majorHAnsi"/>
        </w:rPr>
      </w:pPr>
      <w:r>
        <w:rPr>
          <w:rFonts w:asciiTheme="majorHAnsi" w:hAnsiTheme="majorHAnsi" w:cstheme="majorHAnsi"/>
        </w:rPr>
        <w:t>A nivel nacional, l</w:t>
      </w:r>
      <w:r w:rsidRPr="002A6886">
        <w:rPr>
          <w:rFonts w:asciiTheme="majorHAnsi" w:hAnsiTheme="majorHAnsi" w:cstheme="majorHAnsi"/>
        </w:rPr>
        <w:t>os antecedentes de esta alternativa de solución se encuentran en las siguientes acciones del Plan Nacional contra el LA/FT 2018-2021 (acciones 3.1.1, 3.1.2, 3.1.5 y 3.2.2)</w:t>
      </w:r>
    </w:p>
    <w:p w:rsidR="002A6886" w:rsidRDefault="002A6886" w:rsidP="006B3CBE">
      <w:pPr>
        <w:jc w:val="both"/>
        <w:rPr>
          <w:rFonts w:asciiTheme="majorHAnsi" w:eastAsia="Roboto" w:hAnsiTheme="majorHAnsi" w:cstheme="majorHAnsi"/>
          <w:b/>
        </w:rPr>
      </w:pPr>
    </w:p>
    <w:p w:rsidR="006B3CBE" w:rsidRPr="00B10527" w:rsidRDefault="00D94538" w:rsidP="006B3CBE">
      <w:pPr>
        <w:pBdr>
          <w:top w:val="nil"/>
          <w:left w:val="nil"/>
          <w:bottom w:val="nil"/>
          <w:right w:val="nil"/>
          <w:between w:val="nil"/>
        </w:pBdr>
        <w:jc w:val="both"/>
        <w:rPr>
          <w:rFonts w:asciiTheme="majorHAnsi" w:eastAsia="Roboto" w:hAnsiTheme="majorHAnsi" w:cstheme="majorHAnsi"/>
          <w:b/>
        </w:rPr>
      </w:pPr>
      <w:r>
        <w:rPr>
          <w:rFonts w:asciiTheme="majorHAnsi" w:eastAsia="Roboto" w:hAnsiTheme="majorHAnsi" w:cstheme="majorHAnsi"/>
          <w:b/>
        </w:rPr>
        <w:t>10</w:t>
      </w:r>
      <w:r w:rsidR="006B3CBE" w:rsidRPr="00B10527">
        <w:rPr>
          <w:rFonts w:asciiTheme="majorHAnsi" w:eastAsia="Roboto" w:hAnsiTheme="majorHAnsi" w:cstheme="majorHAnsi"/>
          <w:b/>
        </w:rPr>
        <w:t>. Capacitar a fiscales y jueces en casos de LA en materia de prueba indiciaria y manejo de audiencias</w:t>
      </w:r>
    </w:p>
    <w:p w:rsidR="002A6886" w:rsidRPr="002A6886" w:rsidRDefault="002A6886" w:rsidP="002A6886">
      <w:pPr>
        <w:spacing w:before="240"/>
        <w:jc w:val="both"/>
        <w:rPr>
          <w:rFonts w:asciiTheme="majorHAnsi" w:hAnsiTheme="majorHAnsi" w:cstheme="majorHAnsi"/>
        </w:rPr>
      </w:pPr>
      <w:r w:rsidRPr="002A6886">
        <w:rPr>
          <w:rFonts w:asciiTheme="majorHAnsi" w:hAnsiTheme="majorHAnsi" w:cstheme="majorHAnsi"/>
        </w:rPr>
        <w:t xml:space="preserve">Esta alternativa busca brindar capacitación especializada sobre prueba indiciaria o prueba indirecta en casos de LA: i) a los fiscales para que la utilicen adecuadamente para construir sus requerimientos acusatorios y ii) a los jueces para que la valoren o aprecien adecuadamente en la etapa de juicio oral. Asimismo, tiene por finalidad potenciar las capacidades de los jueces en la dirección de las audiencias que se realizan durante la etapa intermedia para reducir la excesiva duración de esta etapa y no retrasar el inicio del juicio oral.  </w:t>
      </w:r>
    </w:p>
    <w:p w:rsidR="002A6886" w:rsidRPr="002A6886" w:rsidRDefault="002A6886" w:rsidP="002A6886">
      <w:pPr>
        <w:spacing w:after="240" w:line="240" w:lineRule="auto"/>
        <w:jc w:val="both"/>
        <w:rPr>
          <w:rFonts w:asciiTheme="majorHAnsi" w:hAnsiTheme="majorHAnsi" w:cstheme="majorHAnsi"/>
        </w:rPr>
      </w:pPr>
      <w:r w:rsidRPr="002A6886">
        <w:rPr>
          <w:rFonts w:asciiTheme="majorHAnsi" w:hAnsiTheme="majorHAnsi" w:cstheme="majorHAnsi"/>
        </w:rPr>
        <w:t>Sobre el particular, la Corte Suprema de la República en el Acuerdo Plenario 3-2010/CJ-116</w:t>
      </w:r>
      <w:r w:rsidRPr="00D31263">
        <w:rPr>
          <w:rFonts w:asciiTheme="majorHAnsi" w:hAnsiTheme="majorHAnsi" w:cstheme="majorHAnsi"/>
          <w:vertAlign w:val="superscript"/>
        </w:rPr>
        <w:footnoteReference w:id="8"/>
      </w:r>
      <w:r w:rsidRPr="002A6886">
        <w:rPr>
          <w:rFonts w:asciiTheme="majorHAnsi" w:hAnsiTheme="majorHAnsi" w:cstheme="majorHAnsi"/>
        </w:rPr>
        <w:t xml:space="preserve"> ha establecido los presupuestos formales y materiales de la prueba indiciaria en los delitos de LA</w:t>
      </w:r>
      <w:r>
        <w:rPr>
          <w:rFonts w:asciiTheme="majorHAnsi" w:hAnsiTheme="majorHAnsi" w:cstheme="majorHAnsi"/>
        </w:rPr>
        <w:t xml:space="preserve"> </w:t>
      </w:r>
      <w:r w:rsidRPr="002A6886">
        <w:rPr>
          <w:rFonts w:asciiTheme="majorHAnsi" w:hAnsiTheme="majorHAnsi" w:cstheme="majorHAnsi"/>
        </w:rPr>
        <w:lastRenderedPageBreak/>
        <w:t>(Fundamentos 30 al 35) y en la Sentencia Plenaria</w:t>
      </w:r>
      <w:r>
        <w:rPr>
          <w:rFonts w:ascii="Arial" w:eastAsia="Times New Roman" w:hAnsi="Arial" w:cs="Arial"/>
          <w:sz w:val="23"/>
          <w:szCs w:val="23"/>
        </w:rPr>
        <w:t xml:space="preserve"> </w:t>
      </w:r>
      <w:r w:rsidRPr="002A6886">
        <w:rPr>
          <w:rFonts w:asciiTheme="majorHAnsi" w:hAnsiTheme="majorHAnsi" w:cstheme="majorHAnsi"/>
        </w:rPr>
        <w:t>Casatoria</w:t>
      </w:r>
      <w:r>
        <w:rPr>
          <w:rFonts w:asciiTheme="majorHAnsi" w:hAnsiTheme="majorHAnsi" w:cstheme="majorHAnsi"/>
        </w:rPr>
        <w:t xml:space="preserve"> N° </w:t>
      </w:r>
      <w:r w:rsidRPr="002A6886">
        <w:rPr>
          <w:rFonts w:asciiTheme="majorHAnsi" w:hAnsiTheme="majorHAnsi" w:cstheme="majorHAnsi"/>
        </w:rPr>
        <w:t>1/2017/CIJ-433</w:t>
      </w:r>
      <w:r w:rsidRPr="00D31263">
        <w:rPr>
          <w:rFonts w:asciiTheme="majorHAnsi" w:hAnsiTheme="majorHAnsi" w:cstheme="majorHAnsi"/>
          <w:vertAlign w:val="superscript"/>
        </w:rPr>
        <w:footnoteReference w:id="9"/>
      </w:r>
      <w:r w:rsidRPr="002A6886">
        <w:rPr>
          <w:rFonts w:asciiTheme="majorHAnsi" w:hAnsiTheme="majorHAnsi" w:cstheme="majorHAnsi"/>
        </w:rPr>
        <w:t xml:space="preserve"> fija los alcances de la prueba indiciaria en los delitos de LA y detalla a modo de ejemplo una serie de indicios en delitos de LA (Fundamentos 17 a 22). </w:t>
      </w:r>
    </w:p>
    <w:p w:rsidR="002A6886" w:rsidRPr="002A6886" w:rsidRDefault="002A6886" w:rsidP="002A6886">
      <w:pPr>
        <w:spacing w:after="240" w:line="240" w:lineRule="auto"/>
        <w:jc w:val="both"/>
        <w:rPr>
          <w:rFonts w:asciiTheme="majorHAnsi" w:hAnsiTheme="majorHAnsi" w:cstheme="majorHAnsi"/>
        </w:rPr>
      </w:pPr>
      <w:r w:rsidRPr="002A6886">
        <w:rPr>
          <w:rFonts w:asciiTheme="majorHAnsi" w:hAnsiTheme="majorHAnsi" w:cstheme="majorHAnsi"/>
        </w:rPr>
        <w:t xml:space="preserve">Las mencionadas decisiones deben ser consideradas tanto por los fiscales y jueces ya en que en los casos de LA generalmente se cuentan con indicios, tal como se aprecia del II Informe de Sentencias Condenatoria de Lavado de Activos en el Perú (2012-2019).  </w:t>
      </w:r>
    </w:p>
    <w:p w:rsidR="002A6886" w:rsidRPr="008140CE" w:rsidRDefault="002A6886" w:rsidP="002A6886">
      <w:pPr>
        <w:spacing w:after="240" w:line="240" w:lineRule="auto"/>
        <w:jc w:val="both"/>
        <w:rPr>
          <w:rFonts w:ascii="Arial" w:eastAsia="Times New Roman" w:hAnsi="Arial" w:cs="Arial"/>
          <w:sz w:val="23"/>
          <w:szCs w:val="23"/>
        </w:rPr>
      </w:pPr>
      <w:r w:rsidRPr="002A6886">
        <w:rPr>
          <w:rFonts w:asciiTheme="majorHAnsi" w:hAnsiTheme="majorHAnsi" w:cstheme="majorHAnsi"/>
        </w:rPr>
        <w:t>En el Perú, a partir de la problemática identificada, se han desarrollado diversas actividades de capacitación que van en la línea de la alternativa propuestas. Entre ellas, cabe citar el Curso: “Cuestiones problemáticas de lavado de activos”, desarrollado por el Instituto de Democracia y Derechos Humanos de la PUCP, del 6 de junio al 27 de julio de este año. Entre los temas abordados estaba: prueba indiciaria y la</w:t>
      </w:r>
      <w:r>
        <w:rPr>
          <w:rFonts w:asciiTheme="majorHAnsi" w:hAnsiTheme="majorHAnsi" w:cstheme="majorHAnsi"/>
        </w:rPr>
        <w:t>va</w:t>
      </w:r>
      <w:r w:rsidRPr="002A6886">
        <w:rPr>
          <w:rFonts w:asciiTheme="majorHAnsi" w:hAnsiTheme="majorHAnsi" w:cstheme="majorHAnsi"/>
        </w:rPr>
        <w:t>do de activos.</w:t>
      </w:r>
      <w:r>
        <w:rPr>
          <w:rStyle w:val="Refdenotaalpie"/>
          <w:rFonts w:ascii="Arial" w:eastAsia="Times New Roman" w:hAnsi="Arial" w:cs="Arial"/>
          <w:sz w:val="23"/>
          <w:szCs w:val="23"/>
        </w:rPr>
        <w:footnoteReference w:id="10"/>
      </w:r>
      <w:r>
        <w:rPr>
          <w:rFonts w:ascii="Arial" w:eastAsia="Times New Roman" w:hAnsi="Arial" w:cs="Arial"/>
          <w:sz w:val="23"/>
          <w:szCs w:val="23"/>
        </w:rPr>
        <w:t xml:space="preserve">    </w:t>
      </w:r>
    </w:p>
    <w:p w:rsidR="002A6886" w:rsidRPr="00C42124" w:rsidRDefault="002A6886" w:rsidP="002A6886">
      <w:pPr>
        <w:pBdr>
          <w:top w:val="nil"/>
          <w:left w:val="nil"/>
          <w:bottom w:val="nil"/>
          <w:right w:val="nil"/>
          <w:between w:val="nil"/>
        </w:pBdr>
        <w:jc w:val="both"/>
        <w:rPr>
          <w:rFonts w:asciiTheme="majorHAnsi" w:eastAsia="Roboto" w:hAnsiTheme="majorHAnsi" w:cstheme="majorHAnsi"/>
          <w:b/>
        </w:rPr>
      </w:pPr>
    </w:p>
    <w:p w:rsidR="006B3CBE" w:rsidRPr="006B3CBE" w:rsidRDefault="00D94538" w:rsidP="006B3CBE">
      <w:pPr>
        <w:pBdr>
          <w:top w:val="nil"/>
          <w:left w:val="nil"/>
          <w:bottom w:val="nil"/>
          <w:right w:val="nil"/>
          <w:between w:val="nil"/>
        </w:pBdr>
        <w:jc w:val="both"/>
        <w:rPr>
          <w:rFonts w:asciiTheme="majorHAnsi" w:eastAsia="Roboto" w:hAnsiTheme="majorHAnsi" w:cstheme="majorHAnsi"/>
          <w:b/>
        </w:rPr>
      </w:pPr>
      <w:r w:rsidRPr="00C42124">
        <w:rPr>
          <w:rFonts w:asciiTheme="majorHAnsi" w:eastAsia="Roboto" w:hAnsiTheme="majorHAnsi" w:cstheme="majorHAnsi"/>
          <w:b/>
        </w:rPr>
        <w:t>11</w:t>
      </w:r>
      <w:r w:rsidR="006B3CBE" w:rsidRPr="00C42124">
        <w:rPr>
          <w:rFonts w:asciiTheme="majorHAnsi" w:eastAsia="Roboto" w:hAnsiTheme="majorHAnsi" w:cstheme="majorHAnsi"/>
          <w:b/>
        </w:rPr>
        <w:t>. Fortalecer con mayores recursos humanos, debidamente capacitados, recursos físicos (equipamiento) y tecnológicos la atención a nivel judicial de casos de LA</w:t>
      </w:r>
    </w:p>
    <w:p w:rsidR="00FB09F0" w:rsidRPr="00FB09F0" w:rsidRDefault="00FB09F0" w:rsidP="00FB09F0">
      <w:pPr>
        <w:spacing w:after="0" w:line="240" w:lineRule="auto"/>
        <w:jc w:val="both"/>
        <w:rPr>
          <w:rFonts w:asciiTheme="majorHAnsi" w:eastAsia="Times New Roman" w:hAnsiTheme="majorHAnsi" w:cstheme="majorHAnsi"/>
          <w:bCs/>
          <w:color w:val="000000"/>
          <w:szCs w:val="23"/>
        </w:rPr>
      </w:pPr>
      <w:r w:rsidRPr="00FB09F0">
        <w:rPr>
          <w:rFonts w:asciiTheme="majorHAnsi" w:eastAsia="Times New Roman" w:hAnsiTheme="majorHAnsi" w:cstheme="majorHAnsi"/>
          <w:bCs/>
          <w:color w:val="000000"/>
          <w:szCs w:val="23"/>
        </w:rPr>
        <w:t xml:space="preserve">Esta alternativa busca: i) superar el insuficiente número de órganos jurisdiccionales que existen para conocer casaos de LA en la Corte Nacional de Justicia Penal Especializada y la falta de juzgados especializados en LA en cada distrito judicial y ii) asignar a los órganos jurisdiccionales que existen y los que se creen para conocer casos de LA de los equipos físicos y tecnológicos necesarios para el cumplimiento adecuado de sus funciones.   </w:t>
      </w:r>
    </w:p>
    <w:p w:rsidR="00FB09F0" w:rsidRPr="00FB09F0" w:rsidRDefault="00FB09F0" w:rsidP="00FB09F0">
      <w:pPr>
        <w:spacing w:after="0" w:line="240" w:lineRule="auto"/>
        <w:jc w:val="both"/>
        <w:rPr>
          <w:rFonts w:asciiTheme="majorHAnsi" w:eastAsia="Times New Roman" w:hAnsiTheme="majorHAnsi" w:cstheme="majorHAnsi"/>
          <w:bCs/>
          <w:color w:val="000000"/>
          <w:szCs w:val="23"/>
        </w:rPr>
      </w:pPr>
    </w:p>
    <w:p w:rsidR="00FB09F0" w:rsidRPr="00FB09F0" w:rsidRDefault="00FB09F0" w:rsidP="00FB09F0">
      <w:pPr>
        <w:spacing w:after="0" w:line="240" w:lineRule="auto"/>
        <w:jc w:val="both"/>
        <w:rPr>
          <w:rFonts w:asciiTheme="majorHAnsi" w:eastAsia="Times New Roman" w:hAnsiTheme="majorHAnsi" w:cstheme="majorHAnsi"/>
          <w:bCs/>
          <w:color w:val="000000"/>
          <w:szCs w:val="23"/>
        </w:rPr>
      </w:pPr>
      <w:r w:rsidRPr="00FB09F0">
        <w:rPr>
          <w:rFonts w:asciiTheme="majorHAnsi" w:eastAsia="Times New Roman" w:hAnsiTheme="majorHAnsi" w:cstheme="majorHAnsi"/>
          <w:bCs/>
          <w:color w:val="000000"/>
          <w:szCs w:val="23"/>
        </w:rPr>
        <w:t>En países de la región como Paraguay y Bolivia se identifican alternativas de solución similares en sus estrategias para combatir el LA/FT, conforme se detallan a continuación.</w:t>
      </w:r>
    </w:p>
    <w:p w:rsidR="00FB09F0" w:rsidRPr="00FB09F0" w:rsidRDefault="00FB09F0" w:rsidP="00FB09F0">
      <w:pPr>
        <w:spacing w:after="0" w:line="240" w:lineRule="auto"/>
        <w:jc w:val="both"/>
        <w:rPr>
          <w:rFonts w:asciiTheme="majorHAnsi" w:eastAsia="Times New Roman" w:hAnsiTheme="majorHAnsi" w:cstheme="majorHAnsi"/>
          <w:bCs/>
          <w:color w:val="000000"/>
          <w:szCs w:val="23"/>
        </w:rPr>
      </w:pPr>
    </w:p>
    <w:tbl>
      <w:tblPr>
        <w:tblStyle w:val="Tablaconcuadrcula"/>
        <w:tblW w:w="0" w:type="auto"/>
        <w:tblLook w:val="04A0" w:firstRow="1" w:lastRow="0" w:firstColumn="1" w:lastColumn="0" w:noHBand="0" w:noVBand="1"/>
      </w:tblPr>
      <w:tblGrid>
        <w:gridCol w:w="1271"/>
        <w:gridCol w:w="7088"/>
      </w:tblGrid>
      <w:tr w:rsidR="00FB09F0" w:rsidRPr="00FB09F0" w:rsidTr="00C30FF9">
        <w:trPr>
          <w:trHeight w:val="486"/>
        </w:trPr>
        <w:tc>
          <w:tcPr>
            <w:tcW w:w="1271" w:type="dxa"/>
            <w:shd w:val="clear" w:color="auto" w:fill="B8CCE4" w:themeFill="accent1" w:themeFillTint="66"/>
            <w:vAlign w:val="center"/>
          </w:tcPr>
          <w:p w:rsidR="00FB09F0" w:rsidRPr="00FB09F0" w:rsidRDefault="00FB09F0" w:rsidP="00FB09F0">
            <w:pPr>
              <w:jc w:val="center"/>
              <w:rPr>
                <w:rFonts w:asciiTheme="majorHAnsi" w:eastAsia="Times New Roman" w:hAnsiTheme="majorHAnsi" w:cstheme="majorHAnsi"/>
                <w:b/>
                <w:bCs/>
                <w:color w:val="000000"/>
                <w:szCs w:val="23"/>
              </w:rPr>
            </w:pPr>
            <w:r w:rsidRPr="00FB09F0">
              <w:rPr>
                <w:rFonts w:asciiTheme="majorHAnsi" w:eastAsia="Times New Roman" w:hAnsiTheme="majorHAnsi" w:cstheme="majorHAnsi"/>
                <w:b/>
                <w:bCs/>
                <w:color w:val="000000"/>
                <w:szCs w:val="23"/>
              </w:rPr>
              <w:t>País</w:t>
            </w:r>
          </w:p>
        </w:tc>
        <w:tc>
          <w:tcPr>
            <w:tcW w:w="7088" w:type="dxa"/>
            <w:shd w:val="clear" w:color="auto" w:fill="B8CCE4" w:themeFill="accent1" w:themeFillTint="66"/>
            <w:vAlign w:val="center"/>
          </w:tcPr>
          <w:p w:rsidR="00FB09F0" w:rsidRPr="00FB09F0" w:rsidRDefault="00C30FF9" w:rsidP="00FB09F0">
            <w:pPr>
              <w:jc w:val="center"/>
              <w:rPr>
                <w:rFonts w:asciiTheme="majorHAnsi" w:eastAsia="Times New Roman" w:hAnsiTheme="majorHAnsi" w:cstheme="majorHAnsi"/>
                <w:b/>
                <w:bCs/>
                <w:color w:val="000000"/>
                <w:szCs w:val="23"/>
              </w:rPr>
            </w:pPr>
            <w:r>
              <w:rPr>
                <w:rFonts w:asciiTheme="majorHAnsi" w:hAnsiTheme="majorHAnsi" w:cstheme="majorHAnsi"/>
                <w:b/>
              </w:rPr>
              <w:t>Experiencia</w:t>
            </w:r>
          </w:p>
        </w:tc>
      </w:tr>
      <w:tr w:rsidR="00FB09F0" w:rsidRPr="00FB09F0" w:rsidTr="00670CF3">
        <w:tc>
          <w:tcPr>
            <w:tcW w:w="1271" w:type="dxa"/>
            <w:vAlign w:val="center"/>
          </w:tcPr>
          <w:p w:rsidR="00FB09F0" w:rsidRPr="00FB09F0" w:rsidRDefault="00FB09F0" w:rsidP="00FB09F0">
            <w:pPr>
              <w:jc w:val="center"/>
              <w:rPr>
                <w:rFonts w:asciiTheme="majorHAnsi" w:eastAsia="Times New Roman" w:hAnsiTheme="majorHAnsi" w:cstheme="majorHAnsi"/>
                <w:bCs/>
                <w:color w:val="000000"/>
                <w:szCs w:val="23"/>
              </w:rPr>
            </w:pPr>
            <w:r w:rsidRPr="00FB09F0">
              <w:rPr>
                <w:rFonts w:asciiTheme="majorHAnsi" w:eastAsia="Times New Roman" w:hAnsiTheme="majorHAnsi" w:cstheme="majorHAnsi"/>
                <w:bCs/>
                <w:color w:val="000000"/>
                <w:szCs w:val="23"/>
              </w:rPr>
              <w:t>Paraguay</w:t>
            </w:r>
          </w:p>
        </w:tc>
        <w:tc>
          <w:tcPr>
            <w:tcW w:w="7088" w:type="dxa"/>
          </w:tcPr>
          <w:p w:rsidR="00FB09F0" w:rsidRDefault="00FB09F0" w:rsidP="00FB09F0">
            <w:pPr>
              <w:jc w:val="both"/>
              <w:rPr>
                <w:rFonts w:asciiTheme="majorHAnsi" w:eastAsia="Times New Roman" w:hAnsiTheme="majorHAnsi" w:cstheme="majorHAnsi"/>
                <w:bCs/>
                <w:color w:val="000000"/>
                <w:szCs w:val="23"/>
              </w:rPr>
            </w:pPr>
            <w:r>
              <w:rPr>
                <w:rFonts w:asciiTheme="majorHAnsi" w:eastAsia="Times New Roman" w:hAnsiTheme="majorHAnsi" w:cstheme="majorHAnsi"/>
                <w:bCs/>
                <w:color w:val="000000"/>
                <w:szCs w:val="23"/>
              </w:rPr>
              <w:t xml:space="preserve">En el </w:t>
            </w:r>
            <w:r w:rsidRPr="00FB09F0">
              <w:rPr>
                <w:rFonts w:asciiTheme="majorHAnsi" w:eastAsia="Times New Roman" w:hAnsiTheme="majorHAnsi" w:cstheme="majorHAnsi"/>
                <w:bCs/>
                <w:color w:val="000000"/>
                <w:szCs w:val="23"/>
              </w:rPr>
              <w:t>Plan de Acción del Plan Estratégico Nacional de Prevención de Lavado de Dinero y Financiamiento del Terrorismo</w:t>
            </w:r>
            <w:r w:rsidRPr="00FB09F0">
              <w:rPr>
                <w:rStyle w:val="Refdenotaalpie"/>
                <w:rFonts w:asciiTheme="majorHAnsi" w:eastAsia="Times New Roman" w:hAnsiTheme="majorHAnsi" w:cstheme="majorHAnsi"/>
                <w:bCs/>
                <w:color w:val="000000"/>
                <w:szCs w:val="23"/>
              </w:rPr>
              <w:footnoteReference w:id="11"/>
            </w:r>
            <w:r>
              <w:rPr>
                <w:rFonts w:asciiTheme="majorHAnsi" w:eastAsia="Times New Roman" w:hAnsiTheme="majorHAnsi" w:cstheme="majorHAnsi"/>
                <w:bCs/>
                <w:color w:val="000000"/>
                <w:szCs w:val="23"/>
              </w:rPr>
              <w:t xml:space="preserve"> figura el siguiente objetivo: </w:t>
            </w:r>
          </w:p>
          <w:p w:rsidR="00FB09F0" w:rsidRDefault="00FB09F0" w:rsidP="00FB09F0">
            <w:pPr>
              <w:jc w:val="both"/>
              <w:rPr>
                <w:rFonts w:asciiTheme="majorHAnsi" w:eastAsia="Times New Roman" w:hAnsiTheme="majorHAnsi" w:cstheme="majorHAnsi"/>
                <w:bCs/>
                <w:color w:val="000000"/>
                <w:szCs w:val="23"/>
              </w:rPr>
            </w:pPr>
          </w:p>
          <w:p w:rsidR="00FB09F0" w:rsidRPr="00FB09F0" w:rsidRDefault="00FB09F0" w:rsidP="00FB09F0">
            <w:pPr>
              <w:jc w:val="both"/>
              <w:rPr>
                <w:rFonts w:asciiTheme="majorHAnsi" w:eastAsia="Times New Roman" w:hAnsiTheme="majorHAnsi" w:cstheme="majorHAnsi"/>
                <w:bCs/>
                <w:color w:val="000000"/>
                <w:szCs w:val="23"/>
              </w:rPr>
            </w:pPr>
            <w:r w:rsidRPr="00FB09F0">
              <w:rPr>
                <w:rFonts w:asciiTheme="majorHAnsi" w:eastAsia="Times New Roman" w:hAnsiTheme="majorHAnsi" w:cstheme="majorHAnsi"/>
                <w:bCs/>
                <w:color w:val="000000"/>
                <w:szCs w:val="23"/>
              </w:rPr>
              <w:t xml:space="preserve">Objetivo 19: Crear una Jurisdicción Penal especializada para el juzgamiento de hecho punible de estos delitos </w:t>
            </w:r>
          </w:p>
        </w:tc>
      </w:tr>
      <w:tr w:rsidR="00FB09F0" w:rsidRPr="00FB09F0" w:rsidTr="00670CF3">
        <w:tc>
          <w:tcPr>
            <w:tcW w:w="1271" w:type="dxa"/>
            <w:vAlign w:val="center"/>
          </w:tcPr>
          <w:p w:rsidR="00FB09F0" w:rsidRPr="00FB09F0" w:rsidRDefault="00FB09F0" w:rsidP="00FB09F0">
            <w:pPr>
              <w:jc w:val="center"/>
              <w:rPr>
                <w:rFonts w:asciiTheme="majorHAnsi" w:eastAsia="Times New Roman" w:hAnsiTheme="majorHAnsi" w:cstheme="majorHAnsi"/>
                <w:bCs/>
                <w:color w:val="000000"/>
                <w:szCs w:val="23"/>
              </w:rPr>
            </w:pPr>
            <w:r w:rsidRPr="00FB09F0">
              <w:rPr>
                <w:rFonts w:asciiTheme="majorHAnsi" w:eastAsia="Times New Roman" w:hAnsiTheme="majorHAnsi" w:cstheme="majorHAnsi"/>
                <w:bCs/>
                <w:color w:val="000000"/>
                <w:szCs w:val="23"/>
              </w:rPr>
              <w:t>Bolivia</w:t>
            </w:r>
          </w:p>
        </w:tc>
        <w:tc>
          <w:tcPr>
            <w:tcW w:w="7088" w:type="dxa"/>
          </w:tcPr>
          <w:p w:rsidR="00FB09F0" w:rsidRDefault="00FB09F0" w:rsidP="00FB09F0">
            <w:pPr>
              <w:jc w:val="both"/>
              <w:rPr>
                <w:rFonts w:asciiTheme="majorHAnsi" w:eastAsia="Times New Roman" w:hAnsiTheme="majorHAnsi" w:cstheme="majorHAnsi"/>
                <w:bCs/>
                <w:color w:val="000000"/>
                <w:szCs w:val="23"/>
              </w:rPr>
            </w:pPr>
            <w:r>
              <w:rPr>
                <w:rFonts w:asciiTheme="majorHAnsi" w:eastAsia="Times New Roman" w:hAnsiTheme="majorHAnsi" w:cstheme="majorHAnsi"/>
                <w:bCs/>
                <w:color w:val="000000"/>
                <w:szCs w:val="23"/>
              </w:rPr>
              <w:t xml:space="preserve">En el </w:t>
            </w:r>
            <w:r w:rsidRPr="00FB09F0">
              <w:rPr>
                <w:rFonts w:asciiTheme="majorHAnsi" w:eastAsia="Times New Roman" w:hAnsiTheme="majorHAnsi" w:cstheme="majorHAnsi"/>
                <w:bCs/>
                <w:color w:val="000000"/>
                <w:szCs w:val="23"/>
              </w:rPr>
              <w:t>Plan de Acción de la Estrategia Nacional de Lucha contra la Legitimación de Ganancias Ilícitas (LGI) y el Financiamiento del Terrorismo (FT)</w:t>
            </w:r>
            <w:r w:rsidRPr="00FB09F0">
              <w:rPr>
                <w:rStyle w:val="Refdenotaalpie"/>
                <w:rFonts w:asciiTheme="majorHAnsi" w:eastAsia="Times New Roman" w:hAnsiTheme="majorHAnsi" w:cstheme="majorHAnsi"/>
                <w:bCs/>
                <w:color w:val="000000"/>
                <w:szCs w:val="23"/>
              </w:rPr>
              <w:footnoteReference w:id="12"/>
            </w:r>
            <w:r>
              <w:rPr>
                <w:rFonts w:asciiTheme="majorHAnsi" w:eastAsia="Times New Roman" w:hAnsiTheme="majorHAnsi" w:cstheme="majorHAnsi"/>
                <w:bCs/>
                <w:color w:val="000000"/>
                <w:szCs w:val="23"/>
              </w:rPr>
              <w:t xml:space="preserve"> se especifica como un objetivo estratégico el f</w:t>
            </w:r>
            <w:r w:rsidRPr="00FB09F0">
              <w:rPr>
                <w:rFonts w:asciiTheme="majorHAnsi" w:eastAsia="Times New Roman" w:hAnsiTheme="majorHAnsi" w:cstheme="majorHAnsi"/>
                <w:bCs/>
                <w:color w:val="000000"/>
                <w:szCs w:val="23"/>
              </w:rPr>
              <w:t>ortalecer las capacidades y competencia del órgano Judicial para el juzgamiento especializado de casos de LGI/FT</w:t>
            </w:r>
            <w:r>
              <w:rPr>
                <w:rFonts w:asciiTheme="majorHAnsi" w:eastAsia="Times New Roman" w:hAnsiTheme="majorHAnsi" w:cstheme="majorHAnsi"/>
                <w:bCs/>
                <w:color w:val="000000"/>
                <w:szCs w:val="23"/>
              </w:rPr>
              <w:t xml:space="preserve"> (D.3. Especialización del órgano jurisdiccional).</w:t>
            </w:r>
          </w:p>
          <w:p w:rsidR="00FB09F0" w:rsidRPr="00FB09F0" w:rsidRDefault="00FB09F0" w:rsidP="00FB09F0">
            <w:pPr>
              <w:jc w:val="both"/>
              <w:rPr>
                <w:rFonts w:asciiTheme="majorHAnsi" w:eastAsia="Times New Roman" w:hAnsiTheme="majorHAnsi" w:cstheme="majorHAnsi"/>
                <w:bCs/>
                <w:color w:val="000000"/>
                <w:szCs w:val="23"/>
              </w:rPr>
            </w:pPr>
            <w:r>
              <w:rPr>
                <w:rFonts w:asciiTheme="majorHAnsi" w:eastAsia="Times New Roman" w:hAnsiTheme="majorHAnsi" w:cstheme="majorHAnsi"/>
                <w:bCs/>
                <w:color w:val="000000"/>
                <w:szCs w:val="23"/>
              </w:rPr>
              <w:t>Se plantearon las siguiente a</w:t>
            </w:r>
            <w:r w:rsidRPr="00FB09F0">
              <w:rPr>
                <w:rFonts w:asciiTheme="majorHAnsi" w:eastAsia="Times New Roman" w:hAnsiTheme="majorHAnsi" w:cstheme="majorHAnsi"/>
                <w:bCs/>
                <w:color w:val="000000"/>
                <w:szCs w:val="23"/>
              </w:rPr>
              <w:t>cciones a desarrollar:</w:t>
            </w:r>
          </w:p>
          <w:p w:rsidR="00FB09F0" w:rsidRPr="00FB09F0" w:rsidRDefault="00FB09F0" w:rsidP="00FB09F0">
            <w:pPr>
              <w:pStyle w:val="Prrafodelista"/>
              <w:numPr>
                <w:ilvl w:val="0"/>
                <w:numId w:val="26"/>
              </w:numPr>
              <w:shd w:val="clear" w:color="auto" w:fill="FFFFFF"/>
              <w:jc w:val="both"/>
              <w:rPr>
                <w:rFonts w:asciiTheme="majorHAnsi" w:eastAsia="Times New Roman" w:hAnsiTheme="majorHAnsi" w:cstheme="majorHAnsi"/>
                <w:bCs/>
                <w:color w:val="000000"/>
                <w:szCs w:val="23"/>
              </w:rPr>
            </w:pPr>
            <w:r w:rsidRPr="00FB09F0">
              <w:rPr>
                <w:rFonts w:asciiTheme="majorHAnsi" w:eastAsia="Times New Roman" w:hAnsiTheme="majorHAnsi" w:cstheme="majorHAnsi"/>
                <w:bCs/>
                <w:color w:val="000000"/>
                <w:szCs w:val="23"/>
              </w:rPr>
              <w:t xml:space="preserve">Aprobar una disposición por el Tribunal Supremo de Justicia y el Consejo de la Magistratura por la que se reglamente que la atención de casos de LGI/FT son competencia de los juzgados anticorrupción de acuerdo a la creación y competencias de los mismos establecidos en la Ley Nº025 y Ley </w:t>
            </w:r>
            <w:r w:rsidRPr="00FB09F0">
              <w:rPr>
                <w:rFonts w:asciiTheme="majorHAnsi" w:eastAsia="Times New Roman" w:hAnsiTheme="majorHAnsi" w:cstheme="majorHAnsi"/>
                <w:bCs/>
                <w:color w:val="000000"/>
                <w:szCs w:val="23"/>
              </w:rPr>
              <w:lastRenderedPageBreak/>
              <w:t>Nº004, y la reasignación de la materia de Violencia Contra la Mujer de acuerdo a la Ley Nº348.</w:t>
            </w:r>
          </w:p>
          <w:p w:rsidR="00FB09F0" w:rsidRPr="00FB09F0" w:rsidRDefault="00FB09F0" w:rsidP="00FB09F0">
            <w:pPr>
              <w:pStyle w:val="Prrafodelista"/>
              <w:numPr>
                <w:ilvl w:val="0"/>
                <w:numId w:val="26"/>
              </w:numPr>
              <w:shd w:val="clear" w:color="auto" w:fill="FFFFFF"/>
              <w:jc w:val="both"/>
              <w:rPr>
                <w:rFonts w:asciiTheme="majorHAnsi" w:eastAsia="Times New Roman" w:hAnsiTheme="majorHAnsi" w:cstheme="majorHAnsi"/>
                <w:bCs/>
                <w:color w:val="000000"/>
                <w:szCs w:val="23"/>
              </w:rPr>
            </w:pPr>
            <w:r w:rsidRPr="00FB09F0">
              <w:rPr>
                <w:rFonts w:asciiTheme="majorHAnsi" w:eastAsia="Times New Roman" w:hAnsiTheme="majorHAnsi" w:cstheme="majorHAnsi"/>
                <w:bCs/>
                <w:color w:val="000000"/>
                <w:szCs w:val="23"/>
              </w:rPr>
              <w:t>Incrementar el número de juzgados y tribunales de sentencia anticorrupción y LGI/FT, de acuerdo a las competencias establecidas en la Ley de Órgano Judicial</w:t>
            </w:r>
            <w:r w:rsidR="00AB59DC">
              <w:rPr>
                <w:rFonts w:asciiTheme="majorHAnsi" w:eastAsia="Times New Roman" w:hAnsiTheme="majorHAnsi" w:cstheme="majorHAnsi"/>
                <w:bCs/>
                <w:color w:val="000000"/>
                <w:szCs w:val="23"/>
              </w:rPr>
              <w:t>.</w:t>
            </w:r>
          </w:p>
        </w:tc>
      </w:tr>
    </w:tbl>
    <w:p w:rsidR="006F1BDA" w:rsidRDefault="006F1BDA" w:rsidP="006B3CBE">
      <w:pPr>
        <w:pBdr>
          <w:top w:val="nil"/>
          <w:left w:val="nil"/>
          <w:bottom w:val="nil"/>
          <w:right w:val="nil"/>
          <w:between w:val="nil"/>
        </w:pBdr>
        <w:jc w:val="both"/>
        <w:rPr>
          <w:rFonts w:asciiTheme="majorHAnsi" w:eastAsia="Roboto" w:hAnsiTheme="majorHAnsi" w:cstheme="majorHAnsi"/>
          <w:b/>
        </w:rPr>
      </w:pPr>
    </w:p>
    <w:p w:rsidR="00670CF3" w:rsidRPr="00FB09F0" w:rsidRDefault="00670CF3" w:rsidP="00670CF3">
      <w:pPr>
        <w:spacing w:after="0" w:line="240" w:lineRule="auto"/>
        <w:jc w:val="both"/>
        <w:rPr>
          <w:rFonts w:asciiTheme="majorHAnsi" w:eastAsia="Times New Roman" w:hAnsiTheme="majorHAnsi" w:cstheme="majorHAnsi"/>
          <w:bCs/>
          <w:color w:val="000000"/>
          <w:szCs w:val="23"/>
        </w:rPr>
      </w:pPr>
      <w:r>
        <w:rPr>
          <w:rFonts w:asciiTheme="majorHAnsi" w:eastAsia="Times New Roman" w:hAnsiTheme="majorHAnsi" w:cstheme="majorHAnsi"/>
          <w:bCs/>
          <w:color w:val="000000"/>
          <w:szCs w:val="23"/>
        </w:rPr>
        <w:t>En el caso peruano, e</w:t>
      </w:r>
      <w:r w:rsidRPr="00FB09F0">
        <w:rPr>
          <w:rFonts w:asciiTheme="majorHAnsi" w:eastAsia="Times New Roman" w:hAnsiTheme="majorHAnsi" w:cstheme="majorHAnsi"/>
          <w:bCs/>
          <w:color w:val="000000"/>
          <w:szCs w:val="23"/>
        </w:rPr>
        <w:t>l antecedente de esta alternativa de solución se encuentra en la acción 3.1.5 del Plan Nacional contra el LA/FT 2018-2021</w:t>
      </w:r>
      <w:r>
        <w:rPr>
          <w:rFonts w:asciiTheme="majorHAnsi" w:eastAsia="Times New Roman" w:hAnsiTheme="majorHAnsi" w:cstheme="majorHAnsi"/>
          <w:bCs/>
          <w:color w:val="000000"/>
          <w:szCs w:val="23"/>
        </w:rPr>
        <w:t>.</w:t>
      </w:r>
      <w:r w:rsidRPr="00FB09F0">
        <w:rPr>
          <w:rFonts w:asciiTheme="majorHAnsi" w:eastAsia="Times New Roman" w:hAnsiTheme="majorHAnsi" w:cstheme="majorHAnsi"/>
          <w:bCs/>
          <w:color w:val="000000"/>
          <w:szCs w:val="23"/>
        </w:rPr>
        <w:t xml:space="preserve"> </w:t>
      </w:r>
    </w:p>
    <w:p w:rsidR="00670CF3" w:rsidRDefault="00670CF3" w:rsidP="006B3CBE">
      <w:pPr>
        <w:pBdr>
          <w:top w:val="nil"/>
          <w:left w:val="nil"/>
          <w:bottom w:val="nil"/>
          <w:right w:val="nil"/>
          <w:between w:val="nil"/>
        </w:pBdr>
        <w:jc w:val="both"/>
        <w:rPr>
          <w:rFonts w:asciiTheme="majorHAnsi" w:eastAsia="Roboto" w:hAnsiTheme="majorHAnsi" w:cstheme="majorHAnsi"/>
          <w:b/>
        </w:rPr>
      </w:pPr>
    </w:p>
    <w:p w:rsidR="006B3CBE" w:rsidRPr="00D62A0A" w:rsidRDefault="006B3CBE" w:rsidP="0002572F">
      <w:pPr>
        <w:pStyle w:val="Ttulo3"/>
        <w:ind w:left="0" w:hanging="11"/>
        <w:jc w:val="both"/>
        <w:rPr>
          <w:b/>
          <w:color w:val="auto"/>
          <w:szCs w:val="23"/>
          <w:u w:val="single"/>
        </w:rPr>
      </w:pPr>
      <w:bookmarkStart w:id="21" w:name="_Toc113360615"/>
      <w:r w:rsidRPr="00D62A0A">
        <w:rPr>
          <w:b/>
          <w:color w:val="auto"/>
          <w:szCs w:val="23"/>
          <w:u w:val="single"/>
        </w:rPr>
        <w:t xml:space="preserve">Causa 4: </w:t>
      </w:r>
      <w:r w:rsidR="0002572F" w:rsidRPr="0002572F">
        <w:rPr>
          <w:b/>
          <w:color w:val="auto"/>
          <w:szCs w:val="23"/>
          <w:u w:val="single"/>
        </w:rPr>
        <w:t>Insuficiente articulación y participación activa entre el Estado, el sector privado y la sociedad civil en la lucha contra LA</w:t>
      </w:r>
      <w:bookmarkEnd w:id="21"/>
    </w:p>
    <w:p w:rsidR="00983AD8" w:rsidRDefault="00983AD8" w:rsidP="006B3CBE">
      <w:pPr>
        <w:pBdr>
          <w:top w:val="nil"/>
          <w:left w:val="nil"/>
          <w:bottom w:val="nil"/>
          <w:right w:val="nil"/>
          <w:between w:val="nil"/>
        </w:pBdr>
        <w:jc w:val="both"/>
        <w:rPr>
          <w:rFonts w:asciiTheme="majorHAnsi" w:eastAsia="Roboto" w:hAnsiTheme="majorHAnsi" w:cstheme="majorHAnsi"/>
          <w:b/>
        </w:rPr>
      </w:pPr>
    </w:p>
    <w:p w:rsidR="006B3CBE" w:rsidRPr="006B3CBE" w:rsidRDefault="00D94538" w:rsidP="006B3CBE">
      <w:pPr>
        <w:pBdr>
          <w:top w:val="nil"/>
          <w:left w:val="nil"/>
          <w:bottom w:val="nil"/>
          <w:right w:val="nil"/>
          <w:between w:val="nil"/>
        </w:pBdr>
        <w:jc w:val="both"/>
        <w:rPr>
          <w:rFonts w:asciiTheme="majorHAnsi" w:eastAsia="Roboto" w:hAnsiTheme="majorHAnsi" w:cstheme="majorHAnsi"/>
          <w:b/>
        </w:rPr>
      </w:pPr>
      <w:r>
        <w:rPr>
          <w:rFonts w:asciiTheme="majorHAnsi" w:eastAsia="Roboto" w:hAnsiTheme="majorHAnsi" w:cstheme="majorHAnsi"/>
          <w:b/>
        </w:rPr>
        <w:t>12</w:t>
      </w:r>
      <w:r w:rsidR="006B3CBE" w:rsidRPr="006B3CBE">
        <w:rPr>
          <w:rFonts w:asciiTheme="majorHAnsi" w:eastAsia="Roboto" w:hAnsiTheme="majorHAnsi" w:cstheme="majorHAnsi"/>
          <w:b/>
        </w:rPr>
        <w:t>. Optimizar los mecanismos de comunicación de los bienes ilícitos detectados hacia el Sistema de Extinción de Dominio</w:t>
      </w:r>
    </w:p>
    <w:p w:rsidR="0051634A" w:rsidRDefault="006B3CBE" w:rsidP="006B3CBE">
      <w:pPr>
        <w:jc w:val="both"/>
        <w:rPr>
          <w:rFonts w:asciiTheme="majorHAnsi" w:eastAsia="Roboto" w:hAnsiTheme="majorHAnsi" w:cstheme="majorHAnsi"/>
        </w:rPr>
      </w:pPr>
      <w:r w:rsidRPr="006B3CBE">
        <w:rPr>
          <w:rFonts w:asciiTheme="majorHAnsi" w:eastAsia="Roboto" w:hAnsiTheme="majorHAnsi" w:cstheme="majorHAnsi"/>
        </w:rPr>
        <w:t xml:space="preserve">Esta alternativa </w:t>
      </w:r>
      <w:r w:rsidR="0051634A">
        <w:rPr>
          <w:rFonts w:asciiTheme="majorHAnsi" w:eastAsia="Roboto" w:hAnsiTheme="majorHAnsi" w:cstheme="majorHAnsi"/>
        </w:rPr>
        <w:t>comprende la preparación de herramientas que faciliten la comunicación de los bienes ilícitos detectados al Subsistema Fiscal de Extinción de Dominio. Dentro de las herramientas contempladas figuran las guías, manuales, protocolos, así como capacitaciones en dicha materia</w:t>
      </w:r>
      <w:r w:rsidR="00A062FA">
        <w:rPr>
          <w:rFonts w:asciiTheme="majorHAnsi" w:eastAsia="Roboto" w:hAnsiTheme="majorHAnsi" w:cstheme="majorHAnsi"/>
        </w:rPr>
        <w:t xml:space="preserve"> a los operadores jurídicos</w:t>
      </w:r>
      <w:r w:rsidR="0051634A">
        <w:rPr>
          <w:rFonts w:asciiTheme="majorHAnsi" w:eastAsia="Roboto" w:hAnsiTheme="majorHAnsi" w:cstheme="majorHAnsi"/>
        </w:rPr>
        <w:t xml:space="preserve">. </w:t>
      </w:r>
    </w:p>
    <w:p w:rsidR="006B3CBE" w:rsidRPr="006B3CBE" w:rsidRDefault="005A1182" w:rsidP="006B3CBE">
      <w:pPr>
        <w:jc w:val="both"/>
        <w:rPr>
          <w:rFonts w:asciiTheme="majorHAnsi" w:eastAsia="Roboto" w:hAnsiTheme="majorHAnsi" w:cstheme="majorHAnsi"/>
        </w:rPr>
      </w:pPr>
      <w:r>
        <w:rPr>
          <w:rFonts w:asciiTheme="majorHAnsi" w:eastAsia="Roboto" w:hAnsiTheme="majorHAnsi" w:cstheme="majorHAnsi"/>
        </w:rPr>
        <w:t>Como antecedente</w:t>
      </w:r>
      <w:r w:rsidR="00BE71E9">
        <w:rPr>
          <w:rFonts w:asciiTheme="majorHAnsi" w:eastAsia="Roboto" w:hAnsiTheme="majorHAnsi" w:cstheme="majorHAnsi"/>
        </w:rPr>
        <w:t xml:space="preserve"> nacional</w:t>
      </w:r>
      <w:r>
        <w:rPr>
          <w:rFonts w:asciiTheme="majorHAnsi" w:eastAsia="Roboto" w:hAnsiTheme="majorHAnsi" w:cstheme="majorHAnsi"/>
        </w:rPr>
        <w:t xml:space="preserve"> se pu</w:t>
      </w:r>
      <w:r w:rsidR="00C0089D">
        <w:rPr>
          <w:rFonts w:asciiTheme="majorHAnsi" w:eastAsia="Roboto" w:hAnsiTheme="majorHAnsi" w:cstheme="majorHAnsi"/>
        </w:rPr>
        <w:t>e</w:t>
      </w:r>
      <w:r>
        <w:rPr>
          <w:rFonts w:asciiTheme="majorHAnsi" w:eastAsia="Roboto" w:hAnsiTheme="majorHAnsi" w:cstheme="majorHAnsi"/>
        </w:rPr>
        <w:t>de mencionar que</w:t>
      </w:r>
      <w:r w:rsidR="006B3CBE" w:rsidRPr="006B3CBE">
        <w:rPr>
          <w:rFonts w:asciiTheme="majorHAnsi" w:eastAsia="Roboto" w:hAnsiTheme="majorHAnsi" w:cstheme="majorHAnsi"/>
        </w:rPr>
        <w:t xml:space="preserve">, en el marco </w:t>
      </w:r>
      <w:r w:rsidR="00F60E83">
        <w:rPr>
          <w:rFonts w:asciiTheme="majorHAnsi" w:eastAsia="Roboto" w:hAnsiTheme="majorHAnsi" w:cstheme="majorHAnsi"/>
        </w:rPr>
        <w:t>d</w:t>
      </w:r>
      <w:r w:rsidR="006B3CBE" w:rsidRPr="006B3CBE">
        <w:rPr>
          <w:rFonts w:asciiTheme="majorHAnsi" w:eastAsia="Roboto" w:hAnsiTheme="majorHAnsi" w:cstheme="majorHAnsi"/>
        </w:rPr>
        <w:t>el equipo de Trabajo N° 6 Equipo de Trabajo de Extinción de Dominio</w:t>
      </w:r>
      <w:r w:rsidR="00F60E83">
        <w:rPr>
          <w:rFonts w:asciiTheme="majorHAnsi" w:eastAsia="Roboto" w:hAnsiTheme="majorHAnsi" w:cstheme="majorHAnsi"/>
        </w:rPr>
        <w:t xml:space="preserve"> de la CONTRALAFT</w:t>
      </w:r>
      <w:r w:rsidR="006B3CBE" w:rsidRPr="006B3CBE">
        <w:rPr>
          <w:rFonts w:asciiTheme="majorHAnsi" w:eastAsia="Roboto" w:hAnsiTheme="majorHAnsi" w:cstheme="majorHAnsi"/>
        </w:rPr>
        <w:t xml:space="preserve">, se ha establecido un Plan de Implementación para la elaboración de protocolos que permitan operativizar las funciones de cada una de las instituciones del Estado que son parte del Sistema de Extinción de Dominio. A la fecha se vienen evaluando </w:t>
      </w:r>
      <w:r w:rsidR="00C0089D" w:rsidRPr="00C0089D">
        <w:rPr>
          <w:rFonts w:asciiTheme="majorHAnsi" w:eastAsia="Roboto" w:hAnsiTheme="majorHAnsi" w:cstheme="majorHAnsi"/>
          <w:highlight w:val="yellow"/>
        </w:rPr>
        <w:t>alrededor de diez</w:t>
      </w:r>
      <w:r w:rsidR="00C0089D">
        <w:rPr>
          <w:rFonts w:asciiTheme="majorHAnsi" w:eastAsia="Roboto" w:hAnsiTheme="majorHAnsi" w:cstheme="majorHAnsi"/>
        </w:rPr>
        <w:t xml:space="preserve"> </w:t>
      </w:r>
      <w:r w:rsidR="006B3CBE" w:rsidRPr="006B3CBE">
        <w:rPr>
          <w:rFonts w:asciiTheme="majorHAnsi" w:eastAsia="Roboto" w:hAnsiTheme="majorHAnsi" w:cstheme="majorHAnsi"/>
        </w:rPr>
        <w:t>protocolos los cuales una vez estén consensuados al interior del Equipo de Trabajo serán puestos a consideración y aprobación del pleno de la CONTRALAFT.</w:t>
      </w:r>
    </w:p>
    <w:p w:rsidR="006B3CBE" w:rsidRPr="006B3CBE" w:rsidRDefault="006B3CBE" w:rsidP="006B3CBE">
      <w:pPr>
        <w:jc w:val="both"/>
        <w:rPr>
          <w:rFonts w:asciiTheme="majorHAnsi" w:hAnsiTheme="majorHAnsi" w:cstheme="majorHAnsi"/>
          <w:highlight w:val="white"/>
        </w:rPr>
      </w:pPr>
      <w:r w:rsidRPr="006B3CBE">
        <w:rPr>
          <w:rFonts w:asciiTheme="majorHAnsi" w:hAnsiTheme="majorHAnsi" w:cstheme="majorHAnsi"/>
        </w:rPr>
        <w:t xml:space="preserve">Asimismo, en el Plan de Implementación del Subsistema de Extinción de Dominio del Ministerio Público </w:t>
      </w:r>
      <w:r w:rsidRPr="006B3CBE">
        <w:rPr>
          <w:rFonts w:asciiTheme="majorHAnsi" w:hAnsiTheme="majorHAnsi" w:cstheme="majorHAnsi"/>
          <w:highlight w:val="white"/>
        </w:rPr>
        <w:t>se establece como una de sus principales estrategias la capacitación y especialización. A la fecha se han llevado a cabo alrededor de 8 capacitaciones a los operadores jurídicos y se vienen recibiendo asistencias técnicas en la materia por parte de la Embajada Británica y del  Departamento contra la Delincuencia Organizada Transnacional de la Organización de los Estados Americanos</w:t>
      </w:r>
      <w:r w:rsidR="00983AD8">
        <w:rPr>
          <w:rFonts w:asciiTheme="majorHAnsi" w:hAnsiTheme="majorHAnsi" w:cstheme="majorHAnsi"/>
          <w:highlight w:val="white"/>
        </w:rPr>
        <w:t xml:space="preserve"> </w:t>
      </w:r>
      <w:r w:rsidRPr="006B3CBE">
        <w:rPr>
          <w:rFonts w:asciiTheme="majorHAnsi" w:hAnsiTheme="majorHAnsi" w:cstheme="majorHAnsi"/>
          <w:highlight w:val="white"/>
        </w:rPr>
        <w:t>(OEA-DDOT)</w:t>
      </w:r>
      <w:r w:rsidR="00983AD8">
        <w:rPr>
          <w:rFonts w:asciiTheme="majorHAnsi" w:hAnsiTheme="majorHAnsi" w:cstheme="majorHAnsi"/>
          <w:highlight w:val="white"/>
        </w:rPr>
        <w:t>.</w:t>
      </w:r>
    </w:p>
    <w:p w:rsidR="006B3CBE" w:rsidRPr="006B3CBE" w:rsidRDefault="006B3CBE" w:rsidP="006B3CBE">
      <w:pPr>
        <w:jc w:val="both"/>
        <w:rPr>
          <w:rFonts w:asciiTheme="majorHAnsi" w:eastAsia="Roboto" w:hAnsiTheme="majorHAnsi" w:cstheme="majorHAnsi"/>
          <w:b/>
        </w:rPr>
      </w:pPr>
    </w:p>
    <w:p w:rsidR="006B3CBE" w:rsidRPr="006B3CBE" w:rsidRDefault="00D94538" w:rsidP="006B3CBE">
      <w:pPr>
        <w:pBdr>
          <w:top w:val="nil"/>
          <w:left w:val="nil"/>
          <w:bottom w:val="nil"/>
          <w:right w:val="nil"/>
          <w:between w:val="nil"/>
        </w:pBdr>
        <w:jc w:val="both"/>
        <w:rPr>
          <w:rFonts w:asciiTheme="majorHAnsi" w:eastAsia="Roboto" w:hAnsiTheme="majorHAnsi" w:cstheme="majorHAnsi"/>
          <w:b/>
        </w:rPr>
      </w:pPr>
      <w:r>
        <w:rPr>
          <w:rFonts w:asciiTheme="majorHAnsi" w:eastAsia="Roboto" w:hAnsiTheme="majorHAnsi" w:cstheme="majorHAnsi"/>
          <w:b/>
        </w:rPr>
        <w:t>13</w:t>
      </w:r>
      <w:r w:rsidR="006B3CBE" w:rsidRPr="006B3CBE">
        <w:rPr>
          <w:rFonts w:asciiTheme="majorHAnsi" w:eastAsia="Roboto" w:hAnsiTheme="majorHAnsi" w:cstheme="majorHAnsi"/>
          <w:b/>
        </w:rPr>
        <w:t xml:space="preserve">. </w:t>
      </w:r>
      <w:r w:rsidR="007C590F">
        <w:rPr>
          <w:rFonts w:asciiTheme="majorHAnsi" w:eastAsia="Roboto" w:hAnsiTheme="majorHAnsi" w:cstheme="majorHAnsi"/>
          <w:b/>
        </w:rPr>
        <w:t>I</w:t>
      </w:r>
      <w:r w:rsidR="006B3CBE" w:rsidRPr="006B3CBE">
        <w:rPr>
          <w:rFonts w:asciiTheme="majorHAnsi" w:eastAsia="Roboto" w:hAnsiTheme="majorHAnsi" w:cstheme="majorHAnsi"/>
          <w:b/>
        </w:rPr>
        <w:t>m</w:t>
      </w:r>
      <w:r w:rsidR="007C590F" w:rsidRPr="007C590F">
        <w:rPr>
          <w:rFonts w:asciiTheme="majorHAnsi" w:eastAsia="Roboto" w:hAnsiTheme="majorHAnsi" w:cstheme="majorHAnsi"/>
          <w:b/>
        </w:rPr>
        <w:t>plementar proyectos que promuevan la interoperabilidad y el uso de las nuevas tecnologías en la lucha contra el lavado de activos</w:t>
      </w:r>
      <w:r w:rsidR="006B3CBE" w:rsidRPr="006B3CBE">
        <w:rPr>
          <w:rFonts w:asciiTheme="majorHAnsi" w:eastAsia="Roboto" w:hAnsiTheme="majorHAnsi" w:cstheme="majorHAnsi"/>
          <w:b/>
        </w:rPr>
        <w:t>.</w:t>
      </w:r>
    </w:p>
    <w:p w:rsidR="006B3CBE" w:rsidRDefault="006B3CBE" w:rsidP="006B3CBE">
      <w:pPr>
        <w:spacing w:before="240"/>
        <w:jc w:val="both"/>
        <w:rPr>
          <w:rFonts w:asciiTheme="majorHAnsi" w:hAnsiTheme="majorHAnsi" w:cstheme="majorHAnsi"/>
        </w:rPr>
      </w:pPr>
      <w:r w:rsidRPr="006B3CBE">
        <w:rPr>
          <w:rFonts w:asciiTheme="majorHAnsi" w:hAnsiTheme="majorHAnsi" w:cstheme="majorHAnsi"/>
        </w:rPr>
        <w:t>Esta alternativa consiste en el desarrollo de proyectos que se orienten a promover la interoperabilidad entre las entidades que participan en la lucha contra el lavado de activos. Ello implica que los sistemas de tecnologías de la información y aplicaciones de software de las organizaciones tengan la capacidad de comunicarse, intercambiar datos y usar la información sin problemas en tiempo real, permitiendo que todos los participantes operen a través de todos los sistemas.</w:t>
      </w:r>
      <w:r w:rsidR="00A26F4F">
        <w:rPr>
          <w:rFonts w:asciiTheme="majorHAnsi" w:hAnsiTheme="majorHAnsi" w:cstheme="majorHAnsi"/>
        </w:rPr>
        <w:t xml:space="preserve"> </w:t>
      </w:r>
      <w:r w:rsidRPr="006B3CBE">
        <w:rPr>
          <w:rFonts w:asciiTheme="majorHAnsi" w:hAnsiTheme="majorHAnsi" w:cstheme="majorHAnsi"/>
        </w:rPr>
        <w:t xml:space="preserve">Asimismo, incluye proyectos que busquen implementar el uso de nuevas tecnologías para facilitar la colección de información, procesamiento y análisis para identificar y gestionar los riesgos relacionados al lavado de activos de forma más efectiva y en tiempo real. </w:t>
      </w:r>
      <w:r w:rsidRPr="006B3CBE">
        <w:rPr>
          <w:rFonts w:asciiTheme="majorHAnsi" w:hAnsiTheme="majorHAnsi" w:cstheme="majorHAnsi"/>
        </w:rPr>
        <w:lastRenderedPageBreak/>
        <w:t xml:space="preserve">Por ello, esta alternativa requiere la intervención no sólo de las entidades del Estado, sino también de los sujetos obligados y la sociedad civil.  </w:t>
      </w:r>
    </w:p>
    <w:p w:rsidR="009026FA" w:rsidRPr="009026FA" w:rsidRDefault="009026FA" w:rsidP="009026FA">
      <w:pPr>
        <w:spacing w:before="240"/>
        <w:jc w:val="both"/>
        <w:rPr>
          <w:rFonts w:asciiTheme="majorHAnsi" w:hAnsiTheme="majorHAnsi" w:cstheme="majorHAnsi"/>
        </w:rPr>
      </w:pPr>
      <w:r>
        <w:rPr>
          <w:rFonts w:asciiTheme="majorHAnsi" w:hAnsiTheme="majorHAnsi" w:cstheme="majorHAnsi"/>
        </w:rPr>
        <w:t xml:space="preserve">La aplicación de este tipo de proyectos es sugerida por el </w:t>
      </w:r>
      <w:r w:rsidRPr="006B3CBE">
        <w:rPr>
          <w:rFonts w:asciiTheme="majorHAnsi" w:hAnsiTheme="majorHAnsi" w:cstheme="majorHAnsi"/>
        </w:rPr>
        <w:t>GAFI</w:t>
      </w:r>
      <w:r>
        <w:rPr>
          <w:rFonts w:asciiTheme="majorHAnsi" w:hAnsiTheme="majorHAnsi" w:cstheme="majorHAnsi"/>
        </w:rPr>
        <w:t xml:space="preserve"> en un reciente documento de trabajo titulado “</w:t>
      </w:r>
      <w:r w:rsidRPr="009026FA">
        <w:rPr>
          <w:rFonts w:asciiTheme="majorHAnsi" w:hAnsiTheme="majorHAnsi" w:cstheme="majorHAnsi"/>
        </w:rPr>
        <w:t>Oportunidades y desafíos de las nuevas tecnologías para combatir el lavado de dinero y otros delitos financieros</w:t>
      </w:r>
      <w:r>
        <w:rPr>
          <w:rFonts w:asciiTheme="majorHAnsi" w:hAnsiTheme="majorHAnsi" w:cstheme="majorHAnsi"/>
        </w:rPr>
        <w:t xml:space="preserve">”. En dicho documento </w:t>
      </w:r>
      <w:r w:rsidRPr="009026FA">
        <w:rPr>
          <w:rFonts w:asciiTheme="majorHAnsi" w:hAnsiTheme="majorHAnsi" w:cstheme="majorHAnsi"/>
        </w:rPr>
        <w:t>identifica soluciones basadas en tecnología</w:t>
      </w:r>
      <w:r>
        <w:rPr>
          <w:rFonts w:asciiTheme="majorHAnsi" w:hAnsiTheme="majorHAnsi" w:cstheme="majorHAnsi"/>
        </w:rPr>
        <w:t>s</w:t>
      </w:r>
      <w:r w:rsidRPr="009026FA">
        <w:rPr>
          <w:rFonts w:asciiTheme="majorHAnsi" w:hAnsiTheme="majorHAnsi" w:cstheme="majorHAnsi"/>
        </w:rPr>
        <w:t xml:space="preserve"> emergentes y disponibles. El informe destaca las condiciones, políticas y prácticas necesarias que deben existir para utilizar con éxito estas tecnologías a fin de mejorar la eficiencia y la eficacia de ALD/CFT. El informe también examina los obstáculos que podrían surgir para la implementación exitosa de nuevas tecnologías.</w:t>
      </w:r>
    </w:p>
    <w:p w:rsidR="00A26F4F" w:rsidRDefault="009026FA" w:rsidP="009026FA">
      <w:pPr>
        <w:spacing w:before="240"/>
        <w:jc w:val="both"/>
        <w:rPr>
          <w:rFonts w:asciiTheme="majorHAnsi" w:hAnsiTheme="majorHAnsi" w:cstheme="majorHAnsi"/>
        </w:rPr>
      </w:pPr>
      <w:r w:rsidRPr="009026FA">
        <w:rPr>
          <w:rFonts w:asciiTheme="majorHAnsi" w:hAnsiTheme="majorHAnsi" w:cstheme="majorHAnsi"/>
        </w:rPr>
        <w:t>Las nuevas tecnologías ALD/CFT se refieren a:</w:t>
      </w:r>
      <w:r>
        <w:rPr>
          <w:rFonts w:asciiTheme="majorHAnsi" w:hAnsiTheme="majorHAnsi" w:cstheme="majorHAnsi"/>
        </w:rPr>
        <w:t xml:space="preserve"> 1) </w:t>
      </w:r>
      <w:r w:rsidRPr="009026FA">
        <w:rPr>
          <w:rFonts w:asciiTheme="majorHAnsi" w:hAnsiTheme="majorHAnsi" w:cstheme="majorHAnsi"/>
        </w:rPr>
        <w:t>habilidades, métodos y procesos innovadores que se utilizan para lograr las metas relacionadas con la implementación efectiva de los requisitos de ALD/CFT o</w:t>
      </w:r>
      <w:r>
        <w:rPr>
          <w:rFonts w:asciiTheme="majorHAnsi" w:hAnsiTheme="majorHAnsi" w:cstheme="majorHAnsi"/>
        </w:rPr>
        <w:t xml:space="preserve"> 2) </w:t>
      </w:r>
      <w:r w:rsidRPr="009026FA">
        <w:rPr>
          <w:rFonts w:asciiTheme="majorHAnsi" w:hAnsiTheme="majorHAnsi" w:cstheme="majorHAnsi"/>
        </w:rPr>
        <w:t>formas innovadoras de utilizar procesos basados en tecnología establecidos para cumplir con la obligación ALD / CFT</w:t>
      </w:r>
      <w:r>
        <w:rPr>
          <w:rFonts w:asciiTheme="majorHAnsi" w:hAnsiTheme="majorHAnsi" w:cstheme="majorHAnsi"/>
        </w:rPr>
        <w:t>.</w:t>
      </w:r>
      <w:r w:rsidR="00EA2198">
        <w:rPr>
          <w:rFonts w:asciiTheme="majorHAnsi" w:hAnsiTheme="majorHAnsi" w:cstheme="majorHAnsi"/>
        </w:rPr>
        <w:t xml:space="preserve"> </w:t>
      </w:r>
      <w:r w:rsidR="00A86767">
        <w:rPr>
          <w:rFonts w:asciiTheme="majorHAnsi" w:hAnsiTheme="majorHAnsi" w:cstheme="majorHAnsi"/>
        </w:rPr>
        <w:t xml:space="preserve">En dicho informe también se presentan casos de estudios con proyectos o iniciativas implementadas en Brasil, </w:t>
      </w:r>
      <w:r w:rsidR="00A86767" w:rsidRPr="00661619">
        <w:rPr>
          <w:rFonts w:asciiTheme="majorHAnsi" w:hAnsiTheme="majorHAnsi" w:cstheme="majorHAnsi"/>
        </w:rPr>
        <w:t>Hong Kong</w:t>
      </w:r>
      <w:r w:rsidR="00A86767">
        <w:rPr>
          <w:rFonts w:asciiTheme="majorHAnsi" w:hAnsiTheme="majorHAnsi" w:cstheme="majorHAnsi"/>
        </w:rPr>
        <w:t>, Singapur, Malasia, entre otros.</w:t>
      </w:r>
    </w:p>
    <w:p w:rsidR="00983AD8" w:rsidRDefault="00A86767" w:rsidP="009026FA">
      <w:pPr>
        <w:spacing w:before="240"/>
        <w:jc w:val="both"/>
        <w:rPr>
          <w:rFonts w:asciiTheme="majorHAnsi" w:hAnsiTheme="majorHAnsi" w:cstheme="majorHAnsi"/>
        </w:rPr>
      </w:pPr>
      <w:r>
        <w:rPr>
          <w:rFonts w:asciiTheme="majorHAnsi" w:hAnsiTheme="majorHAnsi" w:cstheme="majorHAnsi"/>
        </w:rPr>
        <w:t>Para la presenta alternativa podemos considerar como antecedentes regionales</w:t>
      </w:r>
      <w:r w:rsidR="001D797A">
        <w:rPr>
          <w:rFonts w:asciiTheme="majorHAnsi" w:hAnsiTheme="majorHAnsi" w:cstheme="majorHAnsi"/>
        </w:rPr>
        <w:t xml:space="preserve"> lo</w:t>
      </w:r>
      <w:r>
        <w:rPr>
          <w:rFonts w:asciiTheme="majorHAnsi" w:hAnsiTheme="majorHAnsi" w:cstheme="majorHAnsi"/>
        </w:rPr>
        <w:t>s</w:t>
      </w:r>
      <w:r w:rsidR="001D797A">
        <w:rPr>
          <w:rFonts w:asciiTheme="majorHAnsi" w:hAnsiTheme="majorHAnsi" w:cstheme="majorHAnsi"/>
        </w:rPr>
        <w:t xml:space="preserve"> siguiente</w:t>
      </w:r>
      <w:r>
        <w:rPr>
          <w:rFonts w:asciiTheme="majorHAnsi" w:hAnsiTheme="majorHAnsi" w:cstheme="majorHAnsi"/>
        </w:rPr>
        <w:t>s</w:t>
      </w:r>
      <w:r w:rsidR="001D797A">
        <w:rPr>
          <w:rFonts w:asciiTheme="majorHAnsi" w:hAnsiTheme="majorHAnsi" w:cstheme="majorHAnsi"/>
        </w:rPr>
        <w:t>:</w:t>
      </w:r>
    </w:p>
    <w:tbl>
      <w:tblPr>
        <w:tblStyle w:val="Tablaconcuadrcula"/>
        <w:tblW w:w="0" w:type="auto"/>
        <w:tblLayout w:type="fixed"/>
        <w:tblLook w:val="04A0" w:firstRow="1" w:lastRow="0" w:firstColumn="1" w:lastColumn="0" w:noHBand="0" w:noVBand="1"/>
      </w:tblPr>
      <w:tblGrid>
        <w:gridCol w:w="1129"/>
        <w:gridCol w:w="7365"/>
      </w:tblGrid>
      <w:tr w:rsidR="00B30F22" w:rsidTr="00C30FF9">
        <w:trPr>
          <w:trHeight w:val="405"/>
        </w:trPr>
        <w:tc>
          <w:tcPr>
            <w:tcW w:w="1129" w:type="dxa"/>
            <w:shd w:val="clear" w:color="auto" w:fill="B8CCE4" w:themeFill="accent1" w:themeFillTint="66"/>
            <w:vAlign w:val="center"/>
          </w:tcPr>
          <w:p w:rsidR="00B30F22" w:rsidRPr="00B30F22" w:rsidRDefault="00B30F22" w:rsidP="00B30F22">
            <w:pPr>
              <w:jc w:val="center"/>
              <w:rPr>
                <w:rFonts w:asciiTheme="majorHAnsi" w:hAnsiTheme="majorHAnsi" w:cstheme="majorHAnsi"/>
                <w:b/>
              </w:rPr>
            </w:pPr>
            <w:r w:rsidRPr="00B30F22">
              <w:rPr>
                <w:rFonts w:asciiTheme="majorHAnsi" w:hAnsiTheme="majorHAnsi" w:cstheme="majorHAnsi"/>
                <w:b/>
              </w:rPr>
              <w:t>País</w:t>
            </w:r>
          </w:p>
        </w:tc>
        <w:tc>
          <w:tcPr>
            <w:tcW w:w="7365" w:type="dxa"/>
            <w:shd w:val="clear" w:color="auto" w:fill="B8CCE4" w:themeFill="accent1" w:themeFillTint="66"/>
            <w:vAlign w:val="center"/>
          </w:tcPr>
          <w:p w:rsidR="00B30F22" w:rsidRPr="00B30F22" w:rsidRDefault="00C30FF9" w:rsidP="00B30F22">
            <w:pPr>
              <w:jc w:val="center"/>
              <w:rPr>
                <w:rFonts w:asciiTheme="majorHAnsi" w:hAnsiTheme="majorHAnsi" w:cstheme="majorHAnsi"/>
                <w:b/>
              </w:rPr>
            </w:pPr>
            <w:r>
              <w:rPr>
                <w:rFonts w:asciiTheme="majorHAnsi" w:hAnsiTheme="majorHAnsi" w:cstheme="majorHAnsi"/>
                <w:b/>
              </w:rPr>
              <w:t>Experiencia</w:t>
            </w:r>
          </w:p>
        </w:tc>
      </w:tr>
      <w:tr w:rsidR="00B30F22" w:rsidTr="002D23E4">
        <w:tc>
          <w:tcPr>
            <w:tcW w:w="1129" w:type="dxa"/>
            <w:vAlign w:val="center"/>
          </w:tcPr>
          <w:p w:rsidR="00B30F22" w:rsidRDefault="002D23E4" w:rsidP="002D23E4">
            <w:pPr>
              <w:jc w:val="center"/>
              <w:rPr>
                <w:rFonts w:asciiTheme="majorHAnsi" w:hAnsiTheme="majorHAnsi" w:cstheme="majorHAnsi"/>
              </w:rPr>
            </w:pPr>
            <w:r>
              <w:rPr>
                <w:rFonts w:asciiTheme="majorHAnsi" w:hAnsiTheme="majorHAnsi" w:cstheme="majorHAnsi"/>
              </w:rPr>
              <w:t>Brasil</w:t>
            </w:r>
          </w:p>
        </w:tc>
        <w:tc>
          <w:tcPr>
            <w:tcW w:w="7365" w:type="dxa"/>
          </w:tcPr>
          <w:p w:rsidR="002D23E4" w:rsidRDefault="002D23E4" w:rsidP="002D23E4">
            <w:pPr>
              <w:spacing w:before="120" w:after="120"/>
              <w:jc w:val="both"/>
              <w:rPr>
                <w:rFonts w:asciiTheme="majorHAnsi" w:hAnsiTheme="majorHAnsi" w:cstheme="majorHAnsi"/>
              </w:rPr>
            </w:pPr>
            <w:r w:rsidRPr="002D23E4">
              <w:rPr>
                <w:rFonts w:asciiTheme="majorHAnsi" w:hAnsiTheme="majorHAnsi" w:cstheme="majorHAnsi"/>
              </w:rPr>
              <w:t xml:space="preserve">El Sistema Integrado de Apoyo a la Supervisión del Banco Central de Brasil (SisCom, APS-Siscom a partir de 2018) es un sistema </w:t>
            </w:r>
            <w:r w:rsidR="00F67047">
              <w:rPr>
                <w:rFonts w:asciiTheme="majorHAnsi" w:hAnsiTheme="majorHAnsi" w:cstheme="majorHAnsi"/>
              </w:rPr>
              <w:t xml:space="preserve">que </w:t>
            </w:r>
            <w:r w:rsidRPr="002D23E4">
              <w:rPr>
                <w:rFonts w:asciiTheme="majorHAnsi" w:hAnsiTheme="majorHAnsi" w:cstheme="majorHAnsi"/>
              </w:rPr>
              <w:t>permite la interacción con las entidades supervisadas (SE) en un entorno seguro y fac</w:t>
            </w:r>
            <w:r>
              <w:rPr>
                <w:rFonts w:asciiTheme="majorHAnsi" w:hAnsiTheme="majorHAnsi" w:cstheme="majorHAnsi"/>
              </w:rPr>
              <w:t>ilita la trabajo de supervisión.</w:t>
            </w:r>
          </w:p>
          <w:p w:rsidR="002D23E4" w:rsidRDefault="002D23E4" w:rsidP="002D23E4">
            <w:pPr>
              <w:spacing w:before="120" w:after="120"/>
              <w:jc w:val="both"/>
              <w:rPr>
                <w:rFonts w:asciiTheme="majorHAnsi" w:hAnsiTheme="majorHAnsi" w:cstheme="majorHAnsi"/>
              </w:rPr>
            </w:pPr>
            <w:r w:rsidRPr="002D23E4">
              <w:rPr>
                <w:rFonts w:asciiTheme="majorHAnsi" w:hAnsiTheme="majorHAnsi" w:cstheme="majorHAnsi"/>
              </w:rPr>
              <w:t>En 2018, el Siscom se incorporó a la nueva plataforma de supervisión del BCB, SisAPS, que integra varios sistemas y bases de datos. Se implementaron SisAPS para inspectores, supervisores y gerentes, brindando un panel de registro de lo que el equipo está realizando o ha realizado en cada inspección, así como información gerencial e informes de seguimiento.</w:t>
            </w:r>
          </w:p>
          <w:p w:rsidR="002D23E4" w:rsidRPr="002D23E4" w:rsidRDefault="002D23E4" w:rsidP="002D23E4">
            <w:pPr>
              <w:spacing w:before="120" w:after="120"/>
              <w:jc w:val="both"/>
              <w:rPr>
                <w:rFonts w:asciiTheme="majorHAnsi" w:hAnsiTheme="majorHAnsi" w:cstheme="majorHAnsi"/>
              </w:rPr>
            </w:pPr>
            <w:r w:rsidRPr="002D23E4">
              <w:rPr>
                <w:rFonts w:asciiTheme="majorHAnsi" w:hAnsiTheme="majorHAnsi" w:cstheme="majorHAnsi"/>
              </w:rPr>
              <w:t>Los datos recopilados por APS-Siscom también alimentan una metodología que permite al BCB segmentar y supervisar bancos e instituciones financieras no bancarias (IFNB) por diferentes categorías de riesgo.</w:t>
            </w:r>
          </w:p>
        </w:tc>
      </w:tr>
      <w:tr w:rsidR="00B30F22" w:rsidTr="002D23E4">
        <w:tc>
          <w:tcPr>
            <w:tcW w:w="1129" w:type="dxa"/>
            <w:vAlign w:val="center"/>
          </w:tcPr>
          <w:p w:rsidR="00B30F22" w:rsidRDefault="002D23E4" w:rsidP="002D23E4">
            <w:pPr>
              <w:jc w:val="center"/>
              <w:rPr>
                <w:rFonts w:asciiTheme="majorHAnsi" w:hAnsiTheme="majorHAnsi" w:cstheme="majorHAnsi"/>
              </w:rPr>
            </w:pPr>
            <w:r>
              <w:rPr>
                <w:rFonts w:asciiTheme="majorHAnsi" w:hAnsiTheme="majorHAnsi" w:cstheme="majorHAnsi"/>
              </w:rPr>
              <w:t>Chile</w:t>
            </w:r>
          </w:p>
        </w:tc>
        <w:tc>
          <w:tcPr>
            <w:tcW w:w="7365" w:type="dxa"/>
          </w:tcPr>
          <w:p w:rsidR="00B30F22" w:rsidRDefault="002D23E4" w:rsidP="001D797A">
            <w:pPr>
              <w:spacing w:before="120" w:after="120"/>
              <w:jc w:val="both"/>
              <w:rPr>
                <w:rFonts w:asciiTheme="majorHAnsi" w:hAnsiTheme="majorHAnsi" w:cstheme="majorHAnsi"/>
              </w:rPr>
            </w:pPr>
            <w:r>
              <w:t xml:space="preserve">La UAF en el marco de su proceso de inteligencia financiera emplea diversos sistemas y productos tecnológicos desarrollados por el área de inteligencia estratégica. En particular, cuenta con el Sistema de Monitoreo Estratégico (SIMONE), que es un sistema de detección y búsqueda continua y recursiva de patrones y tipologías de riesgo de LA/FT generando alertas automáticas al proceso de análisis operativo. SIMONE es capaz de analizar más de 60 millones de registros y transacciones a través de diversos </w:t>
            </w:r>
            <w:r w:rsidR="001D797A">
              <w:t>algoritmos</w:t>
            </w:r>
            <w:r>
              <w:t>, enviando alertas mediante visualizaciones interactivas que contengan una elevada probabilidad de coincidencia con alguna de las tipologías programadas, lo que permite, inclusive, detectar nuevos casos de inteligencia. El uso de tecnología de “machine learning”, ligado a inteligencia artificial, es parte central en estos procesos.</w:t>
            </w:r>
            <w:r w:rsidR="001D797A">
              <w:t xml:space="preserve"> (Fuente: Informe de Evaluación Mutua de Chile, 2021)</w:t>
            </w:r>
          </w:p>
        </w:tc>
      </w:tr>
    </w:tbl>
    <w:p w:rsidR="00D92AD6" w:rsidRDefault="00D92AD6" w:rsidP="005F28CF">
      <w:pPr>
        <w:spacing w:after="0" w:line="240" w:lineRule="auto"/>
        <w:jc w:val="both"/>
        <w:rPr>
          <w:rFonts w:asciiTheme="majorHAnsi" w:hAnsiTheme="majorHAnsi" w:cstheme="majorHAnsi"/>
        </w:rPr>
      </w:pPr>
    </w:p>
    <w:p w:rsidR="006B3CBE" w:rsidRPr="006B3CBE" w:rsidRDefault="00D94538" w:rsidP="006B3CBE">
      <w:pPr>
        <w:pBdr>
          <w:top w:val="nil"/>
          <w:left w:val="nil"/>
          <w:bottom w:val="nil"/>
          <w:right w:val="nil"/>
          <w:between w:val="nil"/>
        </w:pBdr>
        <w:jc w:val="both"/>
        <w:rPr>
          <w:rFonts w:asciiTheme="majorHAnsi" w:eastAsia="Roboto" w:hAnsiTheme="majorHAnsi" w:cstheme="majorHAnsi"/>
          <w:b/>
        </w:rPr>
      </w:pPr>
      <w:r>
        <w:rPr>
          <w:rFonts w:asciiTheme="majorHAnsi" w:eastAsia="Roboto" w:hAnsiTheme="majorHAnsi" w:cstheme="majorHAnsi"/>
          <w:b/>
        </w:rPr>
        <w:t>14</w:t>
      </w:r>
      <w:r w:rsidR="006B3CBE" w:rsidRPr="006B3CBE">
        <w:rPr>
          <w:rFonts w:asciiTheme="majorHAnsi" w:eastAsia="Roboto" w:hAnsiTheme="majorHAnsi" w:cstheme="majorHAnsi"/>
          <w:b/>
        </w:rPr>
        <w:t xml:space="preserve">. </w:t>
      </w:r>
      <w:r w:rsidR="00EA6097" w:rsidRPr="00EA6097">
        <w:rPr>
          <w:rFonts w:asciiTheme="majorHAnsi" w:eastAsia="Roboto" w:hAnsiTheme="majorHAnsi" w:cstheme="majorHAnsi"/>
          <w:b/>
        </w:rPr>
        <w:t>Diseñar e implementar sistemas de información para mejorar la comprensión del LA</w:t>
      </w:r>
    </w:p>
    <w:p w:rsidR="00BE0AAD" w:rsidRDefault="009743D8" w:rsidP="00983AD8">
      <w:pPr>
        <w:spacing w:before="120" w:after="120" w:line="240" w:lineRule="auto"/>
        <w:jc w:val="both"/>
        <w:rPr>
          <w:rFonts w:asciiTheme="majorHAnsi" w:hAnsiTheme="majorHAnsi" w:cstheme="majorHAnsi"/>
        </w:rPr>
      </w:pPr>
      <w:r>
        <w:rPr>
          <w:rFonts w:asciiTheme="majorHAnsi" w:hAnsiTheme="majorHAnsi" w:cstheme="majorHAnsi"/>
        </w:rPr>
        <w:lastRenderedPageBreak/>
        <w:t xml:space="preserve">Esta alternativa consiste en el desarrollo de herramientas que provean información que facilite la comprensión del fenómeno de lavado de activos a la ciudadanía en general. </w:t>
      </w:r>
    </w:p>
    <w:p w:rsidR="009743D8" w:rsidRDefault="00BE0AAD" w:rsidP="00983AD8">
      <w:pPr>
        <w:spacing w:before="120" w:after="120" w:line="240" w:lineRule="auto"/>
        <w:jc w:val="both"/>
        <w:rPr>
          <w:rFonts w:asciiTheme="majorHAnsi" w:hAnsiTheme="majorHAnsi" w:cstheme="majorHAnsi"/>
        </w:rPr>
      </w:pPr>
      <w:r>
        <w:rPr>
          <w:rFonts w:asciiTheme="majorHAnsi" w:hAnsiTheme="majorHAnsi" w:cstheme="majorHAnsi"/>
        </w:rPr>
        <w:t xml:space="preserve">Dicha alternativa se enmarca en la recomendación N° 33 del GAFI, en la que se especifica que los países deben mantener estadísticas actualizadas sobre los asuntos relacionados </w:t>
      </w:r>
      <w:r w:rsidRPr="006B3CBE">
        <w:rPr>
          <w:rFonts w:asciiTheme="majorHAnsi" w:hAnsiTheme="majorHAnsi" w:cstheme="majorHAnsi"/>
        </w:rPr>
        <w:t>a la eficiencia y eficacia de sus sistemas antilavado de activos y contra el financiamiento del terrorismo</w:t>
      </w:r>
      <w:r>
        <w:rPr>
          <w:rFonts w:asciiTheme="majorHAnsi" w:hAnsiTheme="majorHAnsi" w:cstheme="majorHAnsi"/>
        </w:rPr>
        <w:t>.</w:t>
      </w:r>
    </w:p>
    <w:p w:rsidR="00CC2CB9" w:rsidRDefault="00CC2CB9" w:rsidP="00983AD8">
      <w:pPr>
        <w:spacing w:before="120" w:after="120" w:line="240" w:lineRule="auto"/>
        <w:jc w:val="both"/>
        <w:rPr>
          <w:rFonts w:asciiTheme="majorHAnsi" w:hAnsiTheme="majorHAnsi" w:cstheme="majorHAnsi"/>
        </w:rPr>
      </w:pPr>
      <w:r>
        <w:rPr>
          <w:rFonts w:asciiTheme="majorHAnsi" w:hAnsiTheme="majorHAnsi" w:cstheme="majorHAnsi"/>
        </w:rPr>
        <w:t>Se identificaron las siguientes experiencias a nivel regional:</w:t>
      </w:r>
    </w:p>
    <w:tbl>
      <w:tblPr>
        <w:tblStyle w:val="Tablaconcuadrcula"/>
        <w:tblW w:w="0" w:type="auto"/>
        <w:tblLook w:val="04A0" w:firstRow="1" w:lastRow="0" w:firstColumn="1" w:lastColumn="0" w:noHBand="0" w:noVBand="1"/>
      </w:tblPr>
      <w:tblGrid>
        <w:gridCol w:w="988"/>
        <w:gridCol w:w="7506"/>
      </w:tblGrid>
      <w:tr w:rsidR="00CC2CB9" w:rsidTr="00563772">
        <w:tc>
          <w:tcPr>
            <w:tcW w:w="988" w:type="dxa"/>
            <w:shd w:val="clear" w:color="auto" w:fill="B8CCE4" w:themeFill="accent1" w:themeFillTint="66"/>
          </w:tcPr>
          <w:p w:rsidR="00CC2CB9" w:rsidRPr="00563772" w:rsidRDefault="00CC2CB9" w:rsidP="00563772">
            <w:pPr>
              <w:spacing w:before="120" w:after="120"/>
              <w:jc w:val="center"/>
              <w:rPr>
                <w:rFonts w:asciiTheme="majorHAnsi" w:hAnsiTheme="majorHAnsi" w:cstheme="majorHAnsi"/>
                <w:b/>
              </w:rPr>
            </w:pPr>
            <w:r w:rsidRPr="00563772">
              <w:rPr>
                <w:rFonts w:asciiTheme="majorHAnsi" w:hAnsiTheme="majorHAnsi" w:cstheme="majorHAnsi"/>
                <w:b/>
              </w:rPr>
              <w:t>País</w:t>
            </w:r>
          </w:p>
        </w:tc>
        <w:tc>
          <w:tcPr>
            <w:tcW w:w="7506" w:type="dxa"/>
            <w:shd w:val="clear" w:color="auto" w:fill="B8CCE4" w:themeFill="accent1" w:themeFillTint="66"/>
          </w:tcPr>
          <w:p w:rsidR="00CC2CB9" w:rsidRPr="00563772" w:rsidRDefault="00563772" w:rsidP="00563772">
            <w:pPr>
              <w:spacing w:before="120" w:after="120"/>
              <w:jc w:val="center"/>
              <w:rPr>
                <w:rFonts w:asciiTheme="majorHAnsi" w:hAnsiTheme="majorHAnsi" w:cstheme="majorHAnsi"/>
                <w:b/>
              </w:rPr>
            </w:pPr>
            <w:r w:rsidRPr="00563772">
              <w:rPr>
                <w:rFonts w:asciiTheme="majorHAnsi" w:hAnsiTheme="majorHAnsi" w:cstheme="majorHAnsi"/>
                <w:b/>
              </w:rPr>
              <w:t>Experiencia</w:t>
            </w:r>
          </w:p>
        </w:tc>
      </w:tr>
      <w:tr w:rsidR="00CC2CB9" w:rsidTr="003B2ED4">
        <w:tc>
          <w:tcPr>
            <w:tcW w:w="988" w:type="dxa"/>
            <w:vAlign w:val="center"/>
          </w:tcPr>
          <w:p w:rsidR="00CC2CB9" w:rsidRDefault="00CC2CB9" w:rsidP="003B2ED4">
            <w:pPr>
              <w:spacing w:before="120" w:after="120"/>
              <w:jc w:val="center"/>
              <w:rPr>
                <w:rFonts w:asciiTheme="majorHAnsi" w:hAnsiTheme="majorHAnsi" w:cstheme="majorHAnsi"/>
              </w:rPr>
            </w:pPr>
            <w:r w:rsidRPr="006B3CBE">
              <w:rPr>
                <w:rFonts w:asciiTheme="majorHAnsi" w:hAnsiTheme="majorHAnsi" w:cstheme="majorHAnsi"/>
              </w:rPr>
              <w:t>Chile</w:t>
            </w:r>
          </w:p>
        </w:tc>
        <w:tc>
          <w:tcPr>
            <w:tcW w:w="7506" w:type="dxa"/>
          </w:tcPr>
          <w:p w:rsidR="00CC2CB9" w:rsidRPr="006B3CBE" w:rsidRDefault="00CC2CB9" w:rsidP="00CC2CB9">
            <w:pPr>
              <w:spacing w:before="120" w:after="120"/>
              <w:jc w:val="both"/>
              <w:rPr>
                <w:rFonts w:asciiTheme="majorHAnsi" w:hAnsiTheme="majorHAnsi" w:cstheme="majorHAnsi"/>
              </w:rPr>
            </w:pPr>
            <w:r>
              <w:rPr>
                <w:rFonts w:asciiTheme="majorHAnsi" w:hAnsiTheme="majorHAnsi" w:cstheme="majorHAnsi"/>
              </w:rPr>
              <w:t>D</w:t>
            </w:r>
            <w:r w:rsidRPr="006B3CBE">
              <w:rPr>
                <w:rFonts w:asciiTheme="majorHAnsi" w:hAnsiTheme="majorHAnsi" w:cstheme="majorHAnsi"/>
              </w:rPr>
              <w:t>entro del Plan de Acción 2018-2020 de la Estrategia Nacional para Prevenir y Combatir el Lavado de Activos y el Financiamiento del Terrorismo, se planteó como acción 5.2 el fortalecer el intercambio de información entre organismos que participan en la prevención, detección y persecución de los delitos de LA/FT. Específicamente implicaba la generación de mecanismos e instrumentos que faciliten el intercambio de información estadística y cualitativa a nivel interinstitucional en materia de LA/FT y delitos precedentes, en forma oportuna y bajo adecuados estándares de seguridad de información (acción 5.2.1).</w:t>
            </w:r>
          </w:p>
          <w:p w:rsidR="00CC2CB9" w:rsidRDefault="00CC2CB9" w:rsidP="00983AD8">
            <w:pPr>
              <w:spacing w:before="120" w:after="120"/>
              <w:jc w:val="both"/>
              <w:rPr>
                <w:rFonts w:asciiTheme="majorHAnsi" w:hAnsiTheme="majorHAnsi" w:cstheme="majorHAnsi"/>
              </w:rPr>
            </w:pPr>
          </w:p>
        </w:tc>
      </w:tr>
      <w:tr w:rsidR="00CC2CB9" w:rsidTr="003B2ED4">
        <w:tc>
          <w:tcPr>
            <w:tcW w:w="988" w:type="dxa"/>
            <w:vAlign w:val="center"/>
          </w:tcPr>
          <w:p w:rsidR="00CC2CB9" w:rsidRDefault="00062518" w:rsidP="003B2ED4">
            <w:pPr>
              <w:spacing w:before="120" w:after="120"/>
              <w:jc w:val="center"/>
              <w:rPr>
                <w:rFonts w:asciiTheme="majorHAnsi" w:hAnsiTheme="majorHAnsi" w:cstheme="majorHAnsi"/>
              </w:rPr>
            </w:pPr>
            <w:r>
              <w:rPr>
                <w:rFonts w:asciiTheme="majorHAnsi" w:hAnsiTheme="majorHAnsi" w:cstheme="majorHAnsi"/>
              </w:rPr>
              <w:t>Bolivia</w:t>
            </w:r>
          </w:p>
        </w:tc>
        <w:tc>
          <w:tcPr>
            <w:tcW w:w="7506" w:type="dxa"/>
          </w:tcPr>
          <w:p w:rsidR="00CC2CB9" w:rsidRDefault="00062518" w:rsidP="00062518">
            <w:pPr>
              <w:spacing w:before="120" w:after="120"/>
              <w:jc w:val="both"/>
              <w:rPr>
                <w:rFonts w:asciiTheme="majorHAnsi" w:eastAsia="Times New Roman" w:hAnsiTheme="majorHAnsi" w:cstheme="majorHAnsi"/>
                <w:bCs/>
                <w:color w:val="000000"/>
                <w:szCs w:val="23"/>
              </w:rPr>
            </w:pPr>
            <w:r>
              <w:rPr>
                <w:rFonts w:asciiTheme="majorHAnsi" w:eastAsia="Times New Roman" w:hAnsiTheme="majorHAnsi" w:cstheme="majorHAnsi"/>
                <w:bCs/>
                <w:color w:val="000000"/>
                <w:szCs w:val="23"/>
              </w:rPr>
              <w:t xml:space="preserve">En el </w:t>
            </w:r>
            <w:r w:rsidRPr="00FB09F0">
              <w:rPr>
                <w:rFonts w:asciiTheme="majorHAnsi" w:eastAsia="Times New Roman" w:hAnsiTheme="majorHAnsi" w:cstheme="majorHAnsi"/>
                <w:bCs/>
                <w:color w:val="000000"/>
                <w:szCs w:val="23"/>
              </w:rPr>
              <w:t>Plan de Acción de la Estrategia Nacional de Lucha contra la Legitimación de Ganancias Ilícitas (LGI) y el Financiamiento del Terrorismo (FT)</w:t>
            </w:r>
            <w:r w:rsidRPr="00FB09F0">
              <w:rPr>
                <w:rStyle w:val="Refdenotaalpie"/>
                <w:rFonts w:asciiTheme="majorHAnsi" w:eastAsia="Times New Roman" w:hAnsiTheme="majorHAnsi" w:cstheme="majorHAnsi"/>
                <w:bCs/>
                <w:color w:val="000000"/>
                <w:szCs w:val="23"/>
              </w:rPr>
              <w:footnoteReference w:id="13"/>
            </w:r>
            <w:r>
              <w:rPr>
                <w:rFonts w:asciiTheme="majorHAnsi" w:eastAsia="Times New Roman" w:hAnsiTheme="majorHAnsi" w:cstheme="majorHAnsi"/>
                <w:bCs/>
                <w:color w:val="000000"/>
                <w:szCs w:val="23"/>
              </w:rPr>
              <w:t xml:space="preserve"> figura el siguiente objetivo estratégico: conocer cuantitativamente la magnitud de la LGI/FT  y los resultados de las medidas adoptadas, contra este tipo de delincuencia. Como acciones de este objetivo se consideró:</w:t>
            </w:r>
          </w:p>
          <w:p w:rsidR="00062518" w:rsidRDefault="00563772" w:rsidP="00062518">
            <w:pPr>
              <w:pStyle w:val="Prrafodelista"/>
              <w:numPr>
                <w:ilvl w:val="0"/>
                <w:numId w:val="27"/>
              </w:numPr>
              <w:spacing w:before="120" w:after="120"/>
              <w:jc w:val="both"/>
              <w:rPr>
                <w:rFonts w:asciiTheme="majorHAnsi" w:hAnsiTheme="majorHAnsi" w:cstheme="majorHAnsi"/>
              </w:rPr>
            </w:pPr>
            <w:r>
              <w:rPr>
                <w:rFonts w:asciiTheme="majorHAnsi" w:hAnsiTheme="majorHAnsi" w:cstheme="majorHAnsi"/>
              </w:rPr>
              <w:t xml:space="preserve">Suscribir acuerdos interinstitucionales entre la UIF y el Ministerio Público, Órgano Judicial, Consejo de la Magistratura, Instituto Nacional de Estadística, Ministerio de Gobierno, Ministerio de Justicia y Transparencia Institucional y Entidades de Supervisión de sujetos obligados en materia de LGI/FT precisando el tipo de información a ser requerida a cada institución, la forma de transmisión a la UIF y su periodicidad. </w:t>
            </w:r>
          </w:p>
          <w:p w:rsidR="00563772" w:rsidRPr="00062518" w:rsidRDefault="00563772" w:rsidP="00062518">
            <w:pPr>
              <w:pStyle w:val="Prrafodelista"/>
              <w:numPr>
                <w:ilvl w:val="0"/>
                <w:numId w:val="27"/>
              </w:numPr>
              <w:spacing w:before="120" w:after="120"/>
              <w:jc w:val="both"/>
              <w:rPr>
                <w:rFonts w:asciiTheme="majorHAnsi" w:hAnsiTheme="majorHAnsi" w:cstheme="majorHAnsi"/>
              </w:rPr>
            </w:pPr>
            <w:r>
              <w:rPr>
                <w:rFonts w:asciiTheme="majorHAnsi" w:hAnsiTheme="majorHAnsi" w:cstheme="majorHAnsi"/>
              </w:rPr>
              <w:t xml:space="preserve">Diseñar e implementar un sistema informático que permita a la UIF centralizar y procesar datos para la elaboración de estadísticas de manera continua en función a los acuerdos interinstitucionales y la información disponible. </w:t>
            </w:r>
          </w:p>
        </w:tc>
      </w:tr>
    </w:tbl>
    <w:p w:rsidR="00CC2CB9" w:rsidRDefault="00CC2CB9" w:rsidP="00983AD8">
      <w:pPr>
        <w:spacing w:before="120" w:after="120" w:line="240" w:lineRule="auto"/>
        <w:jc w:val="both"/>
        <w:rPr>
          <w:rFonts w:asciiTheme="majorHAnsi" w:hAnsiTheme="majorHAnsi" w:cstheme="majorHAnsi"/>
        </w:rPr>
      </w:pPr>
    </w:p>
    <w:p w:rsidR="006B3CBE" w:rsidRPr="006B3CBE" w:rsidRDefault="006B3CBE" w:rsidP="00983AD8">
      <w:pPr>
        <w:spacing w:before="120" w:after="120" w:line="240" w:lineRule="auto"/>
        <w:jc w:val="both"/>
        <w:rPr>
          <w:rFonts w:asciiTheme="majorHAnsi" w:hAnsiTheme="majorHAnsi" w:cstheme="majorHAnsi"/>
        </w:rPr>
      </w:pPr>
      <w:r w:rsidRPr="006B3CBE">
        <w:rPr>
          <w:rFonts w:asciiTheme="majorHAnsi" w:hAnsiTheme="majorHAnsi" w:cstheme="majorHAnsi"/>
        </w:rPr>
        <w:t>Como antecedente</w:t>
      </w:r>
      <w:r w:rsidR="00BE0AAD">
        <w:rPr>
          <w:rFonts w:asciiTheme="majorHAnsi" w:hAnsiTheme="majorHAnsi" w:cstheme="majorHAnsi"/>
        </w:rPr>
        <w:t xml:space="preserve"> a nivel nacional</w:t>
      </w:r>
      <w:r w:rsidRPr="006B3CBE">
        <w:rPr>
          <w:rFonts w:asciiTheme="majorHAnsi" w:hAnsiTheme="majorHAnsi" w:cstheme="majorHAnsi"/>
        </w:rPr>
        <w:t xml:space="preserve"> se puede mencionar la acción 4.4.3 del Plan Nacional contra el LA/FT 2018-2021, </w:t>
      </w:r>
      <w:r w:rsidR="00BE0AAD">
        <w:rPr>
          <w:rFonts w:asciiTheme="majorHAnsi" w:hAnsiTheme="majorHAnsi" w:cstheme="majorHAnsi"/>
        </w:rPr>
        <w:t>el</w:t>
      </w:r>
      <w:r w:rsidRPr="006B3CBE">
        <w:rPr>
          <w:rFonts w:asciiTheme="majorHAnsi" w:hAnsiTheme="majorHAnsi" w:cstheme="majorHAnsi"/>
        </w:rPr>
        <w:t xml:space="preserve"> cual consistía en implementar y poner en funcionamiento el Módulo de Información Estadística sobre Lavado de Activos y Financiamiento del Terrorismo en la plataforma del Sistema Integrado de Estadística de la Criminalidad y Seguridad Ciudadana del Instituto Nacional de Estadística e Informática. Esta iniciativa involucró a diversas instituciones como el INEI, la UIF, el Ministerio Público, la PNP y el Poder Judicial. El objetivo fue ayudar a las instituciones proveedoras de la información a establecer sistemas automatizados al interior de sus instituciones que permitan recopilar la información estadística y el envío de dicha información al INEI. </w:t>
      </w:r>
    </w:p>
    <w:p w:rsidR="006B3CBE" w:rsidRPr="006B3CBE" w:rsidRDefault="006B3CBE" w:rsidP="006B3CBE">
      <w:pPr>
        <w:pBdr>
          <w:top w:val="nil"/>
          <w:left w:val="nil"/>
          <w:bottom w:val="nil"/>
          <w:right w:val="nil"/>
          <w:between w:val="nil"/>
        </w:pBdr>
        <w:jc w:val="both"/>
        <w:rPr>
          <w:rFonts w:asciiTheme="majorHAnsi" w:eastAsia="Roboto" w:hAnsiTheme="majorHAnsi" w:cstheme="majorHAnsi"/>
          <w:b/>
        </w:rPr>
      </w:pPr>
    </w:p>
    <w:p w:rsidR="006B3CBE" w:rsidRPr="006B3CBE" w:rsidRDefault="00D94538" w:rsidP="006B3CBE">
      <w:pPr>
        <w:pBdr>
          <w:top w:val="nil"/>
          <w:left w:val="nil"/>
          <w:bottom w:val="nil"/>
          <w:right w:val="nil"/>
          <w:between w:val="nil"/>
        </w:pBdr>
        <w:jc w:val="both"/>
        <w:rPr>
          <w:rFonts w:asciiTheme="majorHAnsi" w:eastAsia="Roboto" w:hAnsiTheme="majorHAnsi" w:cstheme="majorHAnsi"/>
          <w:b/>
        </w:rPr>
      </w:pPr>
      <w:r>
        <w:rPr>
          <w:rFonts w:asciiTheme="majorHAnsi" w:eastAsia="Roboto" w:hAnsiTheme="majorHAnsi" w:cstheme="majorHAnsi"/>
          <w:b/>
        </w:rPr>
        <w:t>15</w:t>
      </w:r>
      <w:r w:rsidR="006B3CBE" w:rsidRPr="006B3CBE">
        <w:rPr>
          <w:rFonts w:asciiTheme="majorHAnsi" w:eastAsia="Roboto" w:hAnsiTheme="majorHAnsi" w:cstheme="majorHAnsi"/>
          <w:b/>
        </w:rPr>
        <w:t>. Fomentar la concientización sobre los daños que produce el LA en los sujetos obligados y los clientes</w:t>
      </w:r>
    </w:p>
    <w:p w:rsidR="006B3CBE" w:rsidRDefault="006B3CBE" w:rsidP="00983AD8">
      <w:pPr>
        <w:pBdr>
          <w:top w:val="nil"/>
          <w:left w:val="nil"/>
          <w:bottom w:val="nil"/>
          <w:right w:val="nil"/>
          <w:between w:val="nil"/>
        </w:pBdr>
        <w:spacing w:before="120" w:after="120" w:line="240" w:lineRule="auto"/>
        <w:jc w:val="both"/>
        <w:rPr>
          <w:rFonts w:asciiTheme="majorHAnsi" w:hAnsiTheme="majorHAnsi" w:cstheme="majorHAnsi"/>
          <w:highlight w:val="white"/>
        </w:rPr>
      </w:pPr>
      <w:r w:rsidRPr="006B3CBE">
        <w:rPr>
          <w:rFonts w:asciiTheme="majorHAnsi" w:hAnsiTheme="majorHAnsi" w:cstheme="majorHAnsi"/>
        </w:rPr>
        <w:t xml:space="preserve">Esta alternativa busca brindar y afianzar los </w:t>
      </w:r>
      <w:r w:rsidRPr="006B3CBE">
        <w:rPr>
          <w:rFonts w:asciiTheme="majorHAnsi" w:hAnsiTheme="majorHAnsi" w:cstheme="majorHAnsi"/>
          <w:highlight w:val="white"/>
        </w:rPr>
        <w:t>conocimientos de los  ciudadanos en general sobre las consecuencias del LA.</w:t>
      </w:r>
    </w:p>
    <w:p w:rsidR="00BE637F" w:rsidRPr="006B3CBE" w:rsidRDefault="00BE637F" w:rsidP="00983AD8">
      <w:pPr>
        <w:pBdr>
          <w:top w:val="nil"/>
          <w:left w:val="nil"/>
          <w:bottom w:val="nil"/>
          <w:right w:val="nil"/>
          <w:between w:val="nil"/>
        </w:pBdr>
        <w:spacing w:before="120" w:after="120" w:line="240" w:lineRule="auto"/>
        <w:jc w:val="both"/>
        <w:rPr>
          <w:rFonts w:asciiTheme="majorHAnsi" w:hAnsiTheme="majorHAnsi" w:cstheme="majorHAnsi"/>
          <w:highlight w:val="white"/>
        </w:rPr>
      </w:pPr>
      <w:r>
        <w:rPr>
          <w:rFonts w:asciiTheme="majorHAnsi" w:hAnsiTheme="majorHAnsi" w:cstheme="majorHAnsi"/>
          <w:highlight w:val="white"/>
        </w:rPr>
        <w:t>A nivel regional se pueden identificar los siguientes antecedentes:</w:t>
      </w:r>
    </w:p>
    <w:tbl>
      <w:tblPr>
        <w:tblStyle w:val="Tablaconcuadrcula"/>
        <w:tblW w:w="0" w:type="auto"/>
        <w:tblLook w:val="04A0" w:firstRow="1" w:lastRow="0" w:firstColumn="1" w:lastColumn="0" w:noHBand="0" w:noVBand="1"/>
      </w:tblPr>
      <w:tblGrid>
        <w:gridCol w:w="988"/>
        <w:gridCol w:w="7506"/>
      </w:tblGrid>
      <w:tr w:rsidR="00A72623" w:rsidRPr="00563772" w:rsidTr="00C94A1C">
        <w:tc>
          <w:tcPr>
            <w:tcW w:w="988" w:type="dxa"/>
            <w:shd w:val="clear" w:color="auto" w:fill="B8CCE4" w:themeFill="accent1" w:themeFillTint="66"/>
          </w:tcPr>
          <w:p w:rsidR="00A72623" w:rsidRPr="00563772" w:rsidRDefault="00A72623" w:rsidP="00C94A1C">
            <w:pPr>
              <w:spacing w:before="120" w:after="120"/>
              <w:jc w:val="center"/>
              <w:rPr>
                <w:rFonts w:asciiTheme="majorHAnsi" w:hAnsiTheme="majorHAnsi" w:cstheme="majorHAnsi"/>
                <w:b/>
              </w:rPr>
            </w:pPr>
            <w:r w:rsidRPr="00563772">
              <w:rPr>
                <w:rFonts w:asciiTheme="majorHAnsi" w:hAnsiTheme="majorHAnsi" w:cstheme="majorHAnsi"/>
                <w:b/>
              </w:rPr>
              <w:t>País</w:t>
            </w:r>
          </w:p>
        </w:tc>
        <w:tc>
          <w:tcPr>
            <w:tcW w:w="7506" w:type="dxa"/>
            <w:shd w:val="clear" w:color="auto" w:fill="B8CCE4" w:themeFill="accent1" w:themeFillTint="66"/>
          </w:tcPr>
          <w:p w:rsidR="00A72623" w:rsidRPr="00563772" w:rsidRDefault="00A72623" w:rsidP="00C94A1C">
            <w:pPr>
              <w:spacing w:before="120" w:after="120"/>
              <w:jc w:val="center"/>
              <w:rPr>
                <w:rFonts w:asciiTheme="majorHAnsi" w:hAnsiTheme="majorHAnsi" w:cstheme="majorHAnsi"/>
                <w:b/>
              </w:rPr>
            </w:pPr>
            <w:r w:rsidRPr="00563772">
              <w:rPr>
                <w:rFonts w:asciiTheme="majorHAnsi" w:hAnsiTheme="majorHAnsi" w:cstheme="majorHAnsi"/>
                <w:b/>
              </w:rPr>
              <w:t>Experiencia</w:t>
            </w:r>
          </w:p>
        </w:tc>
      </w:tr>
      <w:tr w:rsidR="00A72623" w:rsidTr="00D92AD6">
        <w:tc>
          <w:tcPr>
            <w:tcW w:w="988" w:type="dxa"/>
            <w:vAlign w:val="center"/>
          </w:tcPr>
          <w:p w:rsidR="00A72623" w:rsidRDefault="00A72623" w:rsidP="00D92AD6">
            <w:pPr>
              <w:spacing w:before="120" w:after="120"/>
              <w:jc w:val="center"/>
              <w:rPr>
                <w:rFonts w:asciiTheme="majorHAnsi" w:hAnsiTheme="majorHAnsi" w:cstheme="majorHAnsi"/>
              </w:rPr>
            </w:pPr>
            <w:r w:rsidRPr="006B3CBE">
              <w:rPr>
                <w:rFonts w:asciiTheme="majorHAnsi" w:hAnsiTheme="majorHAnsi" w:cstheme="majorHAnsi"/>
              </w:rPr>
              <w:t>Chile</w:t>
            </w:r>
          </w:p>
        </w:tc>
        <w:tc>
          <w:tcPr>
            <w:tcW w:w="7506" w:type="dxa"/>
          </w:tcPr>
          <w:p w:rsidR="00A72623" w:rsidRDefault="00A72623" w:rsidP="00C94A1C">
            <w:pPr>
              <w:spacing w:before="120" w:after="120"/>
              <w:jc w:val="both"/>
              <w:rPr>
                <w:rFonts w:asciiTheme="majorHAnsi" w:hAnsiTheme="majorHAnsi" w:cstheme="majorHAnsi"/>
              </w:rPr>
            </w:pPr>
            <w:r>
              <w:rPr>
                <w:rFonts w:asciiTheme="majorHAnsi" w:hAnsiTheme="majorHAnsi" w:cstheme="majorHAnsi"/>
              </w:rPr>
              <w:t>D</w:t>
            </w:r>
            <w:r w:rsidRPr="006B3CBE">
              <w:rPr>
                <w:rFonts w:asciiTheme="majorHAnsi" w:hAnsiTheme="majorHAnsi" w:cstheme="majorHAnsi"/>
              </w:rPr>
              <w:t xml:space="preserve">entro del Plan de Acción 2018-2020 de la Estrategia Nacional para Prevenir y Combatir el Lavado de Activos y el Financiamiento del Terrorismo, planteó como acción 4.4 </w:t>
            </w:r>
            <w:r w:rsidRPr="006B3CBE">
              <w:rPr>
                <w:rFonts w:asciiTheme="majorHAnsi" w:eastAsia="Roboto" w:hAnsiTheme="majorHAnsi" w:cstheme="majorHAnsi"/>
              </w:rPr>
              <w:t xml:space="preserve"> Difundir  la temática del LA/FT en el público general. </w:t>
            </w:r>
            <w:r w:rsidRPr="006B3CBE">
              <w:rPr>
                <w:rFonts w:asciiTheme="majorHAnsi" w:hAnsiTheme="majorHAnsi" w:cstheme="majorHAnsi"/>
              </w:rPr>
              <w:t xml:space="preserve">A través de iniciativas de difusión masiva, el Plan de Acción tiene como finalidad  dar a conocer la problemática a los ciudadanos, contribuyendo a generar una cultura de responsabilidad y prevención. Para lo cual emplean campañas virtuales, o a través de su inclusión en iniciativas existentes desarrolladas por los distintos miembros que conforman la Estrategia Nacional, lo que buscan es difundir  la problemática del LA/FT para así  generar conciencia entre la comunidad. (Acciones 4.4.1 y 4.4.2). </w:t>
            </w:r>
          </w:p>
        </w:tc>
      </w:tr>
      <w:tr w:rsidR="00A72623" w:rsidTr="00D92AD6">
        <w:tc>
          <w:tcPr>
            <w:tcW w:w="988" w:type="dxa"/>
            <w:vAlign w:val="center"/>
          </w:tcPr>
          <w:p w:rsidR="00A72623" w:rsidRPr="006B3CBE" w:rsidRDefault="00A72623" w:rsidP="00D92AD6">
            <w:pPr>
              <w:spacing w:before="120" w:after="120"/>
              <w:jc w:val="center"/>
              <w:rPr>
                <w:rFonts w:asciiTheme="majorHAnsi" w:hAnsiTheme="majorHAnsi" w:cstheme="majorHAnsi"/>
              </w:rPr>
            </w:pPr>
            <w:r>
              <w:rPr>
                <w:rFonts w:asciiTheme="majorHAnsi" w:hAnsiTheme="majorHAnsi" w:cstheme="majorHAnsi"/>
              </w:rPr>
              <w:t>Ecuador</w:t>
            </w:r>
          </w:p>
        </w:tc>
        <w:tc>
          <w:tcPr>
            <w:tcW w:w="7506" w:type="dxa"/>
          </w:tcPr>
          <w:p w:rsidR="00A72623" w:rsidRDefault="00A72623" w:rsidP="00A72623">
            <w:pPr>
              <w:spacing w:before="120" w:after="120"/>
              <w:jc w:val="both"/>
              <w:rPr>
                <w:rFonts w:asciiTheme="majorHAnsi" w:hAnsiTheme="majorHAnsi" w:cstheme="majorHAnsi"/>
              </w:rPr>
            </w:pPr>
            <w:r>
              <w:rPr>
                <w:rFonts w:asciiTheme="majorHAnsi" w:hAnsiTheme="majorHAnsi" w:cstheme="majorHAnsi"/>
              </w:rPr>
              <w:t>A</w:t>
            </w:r>
            <w:r w:rsidRPr="006B3CBE">
              <w:rPr>
                <w:rFonts w:asciiTheme="majorHAnsi" w:hAnsiTheme="majorHAnsi" w:cstheme="majorHAnsi"/>
              </w:rPr>
              <w:t xml:space="preserve"> través de la Unidad de An</w:t>
            </w:r>
            <w:r>
              <w:rPr>
                <w:rFonts w:asciiTheme="majorHAnsi" w:hAnsiTheme="majorHAnsi" w:cstheme="majorHAnsi"/>
              </w:rPr>
              <w:t>álisis Financiero y Económico (</w:t>
            </w:r>
            <w:r w:rsidRPr="006B3CBE">
              <w:rPr>
                <w:rFonts w:asciiTheme="majorHAnsi" w:hAnsiTheme="majorHAnsi" w:cstheme="majorHAnsi"/>
              </w:rPr>
              <w:t>UAFE) y con cooperación de la Unidad de Análisis Financie</w:t>
            </w:r>
            <w:r>
              <w:rPr>
                <w:rFonts w:asciiTheme="majorHAnsi" w:hAnsiTheme="majorHAnsi" w:cstheme="majorHAnsi"/>
              </w:rPr>
              <w:t>ro de la República Dominicana (</w:t>
            </w:r>
            <w:r w:rsidRPr="006B3CBE">
              <w:rPr>
                <w:rFonts w:asciiTheme="majorHAnsi" w:hAnsiTheme="majorHAnsi" w:cstheme="majorHAnsi"/>
              </w:rPr>
              <w:t>UAF)</w:t>
            </w:r>
            <w:r>
              <w:rPr>
                <w:rFonts w:asciiTheme="majorHAnsi" w:hAnsiTheme="majorHAnsi" w:cstheme="majorHAnsi"/>
              </w:rPr>
              <w:t xml:space="preserve"> se implementó </w:t>
            </w:r>
            <w:r w:rsidRPr="006B3CBE">
              <w:rPr>
                <w:rFonts w:asciiTheme="majorHAnsi" w:hAnsiTheme="majorHAnsi" w:cstheme="majorHAnsi"/>
              </w:rPr>
              <w:t>la campaña de prevención en materia de LA “Fábrica</w:t>
            </w:r>
            <w:r>
              <w:rPr>
                <w:rFonts w:asciiTheme="majorHAnsi" w:hAnsiTheme="majorHAnsi" w:cstheme="majorHAnsi"/>
              </w:rPr>
              <w:t xml:space="preserve"> de Sueños”. Esta tuvo la</w:t>
            </w:r>
            <w:r w:rsidRPr="006B3CBE">
              <w:rPr>
                <w:rFonts w:asciiTheme="majorHAnsi" w:hAnsiTheme="majorHAnsi" w:cstheme="majorHAnsi"/>
              </w:rPr>
              <w:t xml:space="preserve"> finalidad de concientizar a los adolescentes y brindarles conocimientos respecto a lo importante que es prevenir los delitos precedentes de LA.</w:t>
            </w:r>
          </w:p>
        </w:tc>
      </w:tr>
    </w:tbl>
    <w:p w:rsidR="00A72623" w:rsidRPr="006B3CBE" w:rsidRDefault="00D92AD6" w:rsidP="00A72623">
      <w:pPr>
        <w:spacing w:before="120" w:after="120" w:line="240" w:lineRule="auto"/>
        <w:jc w:val="both"/>
        <w:rPr>
          <w:rFonts w:asciiTheme="majorHAnsi" w:hAnsiTheme="majorHAnsi" w:cstheme="majorHAnsi"/>
        </w:rPr>
      </w:pPr>
      <w:r>
        <w:rPr>
          <w:rFonts w:asciiTheme="majorHAnsi" w:hAnsiTheme="majorHAnsi" w:cstheme="majorHAnsi"/>
        </w:rPr>
        <w:t>A nivel nacional, c</w:t>
      </w:r>
      <w:r w:rsidR="00A72623">
        <w:rPr>
          <w:rFonts w:asciiTheme="majorHAnsi" w:hAnsiTheme="majorHAnsi" w:cstheme="majorHAnsi"/>
        </w:rPr>
        <w:t>omo antecedente, e</w:t>
      </w:r>
      <w:r w:rsidR="00A72623" w:rsidRPr="006B3CBE">
        <w:rPr>
          <w:rFonts w:asciiTheme="majorHAnsi" w:hAnsiTheme="majorHAnsi" w:cstheme="majorHAnsi"/>
        </w:rPr>
        <w:t>s importante resaltar, que la SBS a través de la UIF realiza campañas de difusión mediante afiches, trípticos, historietas y volantes que buscan prevenir y dar a conocer la problemática de LA en nuestro país.</w:t>
      </w:r>
      <w:r w:rsidR="00A72623">
        <w:rPr>
          <w:rFonts w:asciiTheme="majorHAnsi" w:hAnsiTheme="majorHAnsi" w:cstheme="majorHAnsi"/>
        </w:rPr>
        <w:t xml:space="preserve"> </w:t>
      </w:r>
      <w:r w:rsidR="00A72623" w:rsidRPr="006B3CBE">
        <w:rPr>
          <w:rFonts w:asciiTheme="majorHAnsi" w:hAnsiTheme="majorHAnsi" w:cstheme="majorHAnsi"/>
        </w:rPr>
        <w:t>Toda la información la podemos encontrar en el Portal de Prevención de LA en  página web de la SBS.</w:t>
      </w:r>
    </w:p>
    <w:p w:rsidR="003A7993" w:rsidRDefault="003A7993"/>
    <w:p w:rsidR="00A72623" w:rsidRDefault="00A72623"/>
    <w:p w:rsidR="00DC6F16" w:rsidRDefault="00DC6F16" w:rsidP="00724DB6">
      <w:pPr>
        <w:rPr>
          <w:b/>
          <w:color w:val="000000"/>
        </w:rPr>
      </w:pPr>
    </w:p>
    <w:p w:rsidR="00DC6F16" w:rsidRDefault="00DC6F16" w:rsidP="00724DB6">
      <w:pPr>
        <w:rPr>
          <w:b/>
          <w:color w:val="000000"/>
        </w:rPr>
      </w:pPr>
    </w:p>
    <w:p w:rsidR="00C12B2B" w:rsidRDefault="00C12B2B" w:rsidP="00724DB6">
      <w:pPr>
        <w:rPr>
          <w:b/>
          <w:color w:val="000000"/>
        </w:rPr>
      </w:pPr>
    </w:p>
    <w:p w:rsidR="00C12B2B" w:rsidRDefault="00C12B2B" w:rsidP="00724DB6">
      <w:pPr>
        <w:rPr>
          <w:b/>
          <w:color w:val="000000"/>
        </w:rPr>
      </w:pPr>
    </w:p>
    <w:p w:rsidR="00C12B2B" w:rsidRDefault="00C12B2B" w:rsidP="00724DB6">
      <w:pPr>
        <w:rPr>
          <w:b/>
          <w:color w:val="000000"/>
        </w:rPr>
      </w:pPr>
    </w:p>
    <w:p w:rsidR="00C12B2B" w:rsidRDefault="00C12B2B" w:rsidP="00724DB6">
      <w:pPr>
        <w:rPr>
          <w:b/>
          <w:color w:val="000000"/>
        </w:rPr>
      </w:pPr>
    </w:p>
    <w:p w:rsidR="00C12B2B" w:rsidRDefault="00C12B2B" w:rsidP="00724DB6">
      <w:pPr>
        <w:rPr>
          <w:b/>
          <w:color w:val="000000"/>
        </w:rPr>
      </w:pPr>
    </w:p>
    <w:p w:rsidR="00C12B2B" w:rsidRDefault="00C12B2B" w:rsidP="00724DB6">
      <w:pPr>
        <w:rPr>
          <w:b/>
          <w:color w:val="000000"/>
        </w:rPr>
      </w:pPr>
    </w:p>
    <w:p w:rsidR="00C12B2B" w:rsidRDefault="00C12B2B" w:rsidP="00724DB6">
      <w:pPr>
        <w:rPr>
          <w:b/>
          <w:color w:val="000000"/>
        </w:rPr>
      </w:pPr>
    </w:p>
    <w:p w:rsidR="00C12B2B" w:rsidRDefault="00C12B2B" w:rsidP="00724DB6">
      <w:pPr>
        <w:rPr>
          <w:b/>
          <w:color w:val="000000"/>
        </w:rPr>
      </w:pPr>
    </w:p>
    <w:p w:rsidR="00C12B2B" w:rsidRDefault="00C12B2B" w:rsidP="00724DB6">
      <w:pPr>
        <w:rPr>
          <w:b/>
          <w:color w:val="000000"/>
        </w:rPr>
      </w:pPr>
    </w:p>
    <w:p w:rsidR="00C12B2B" w:rsidRDefault="00C12B2B" w:rsidP="00724DB6">
      <w:pPr>
        <w:rPr>
          <w:b/>
          <w:color w:val="000000"/>
        </w:rPr>
      </w:pPr>
    </w:p>
    <w:p w:rsidR="00C12B2B" w:rsidRDefault="00C12B2B" w:rsidP="00724DB6">
      <w:pPr>
        <w:rPr>
          <w:b/>
          <w:color w:val="000000"/>
        </w:rPr>
      </w:pPr>
    </w:p>
    <w:p w:rsidR="00DC6F16" w:rsidRDefault="00DC6F16" w:rsidP="00724DB6">
      <w:pPr>
        <w:rPr>
          <w:b/>
          <w:color w:val="000000"/>
        </w:rPr>
      </w:pPr>
    </w:p>
    <w:p w:rsidR="00DC6F16" w:rsidRDefault="00DC6F16" w:rsidP="00724DB6">
      <w:pPr>
        <w:rPr>
          <w:b/>
          <w:color w:val="000000"/>
        </w:rPr>
      </w:pPr>
    </w:p>
    <w:p w:rsidR="00DC6F16" w:rsidRDefault="00DC6F16" w:rsidP="00724DB6">
      <w:pPr>
        <w:rPr>
          <w:b/>
          <w:color w:val="000000"/>
        </w:rPr>
      </w:pPr>
    </w:p>
    <w:p w:rsidR="00DC6F16" w:rsidRDefault="00DC6F16" w:rsidP="00724DB6">
      <w:pPr>
        <w:rPr>
          <w:b/>
          <w:color w:val="000000"/>
        </w:rPr>
      </w:pPr>
    </w:p>
    <w:p w:rsidR="00DC6F16" w:rsidRDefault="00DC6F16" w:rsidP="00724DB6">
      <w:pPr>
        <w:rPr>
          <w:b/>
          <w:color w:val="000000"/>
        </w:rPr>
      </w:pPr>
    </w:p>
    <w:p w:rsidR="00DC6F16" w:rsidRDefault="00DC6F16" w:rsidP="00724DB6">
      <w:pPr>
        <w:rPr>
          <w:b/>
          <w:color w:val="000000"/>
        </w:rPr>
      </w:pPr>
    </w:p>
    <w:p w:rsidR="00724DB6" w:rsidRDefault="00724DB6" w:rsidP="00724DB6">
      <w:pPr>
        <w:rPr>
          <w:b/>
          <w:color w:val="000000"/>
        </w:rPr>
      </w:pPr>
    </w:p>
    <w:p w:rsidR="00724DB6" w:rsidRDefault="00724DB6" w:rsidP="00724DB6">
      <w:pPr>
        <w:rPr>
          <w:b/>
          <w:color w:val="000000"/>
        </w:rPr>
      </w:pPr>
    </w:p>
    <w:p w:rsidR="00724DB6" w:rsidRDefault="00724DB6" w:rsidP="00724DB6">
      <w:pPr>
        <w:rPr>
          <w:b/>
          <w:color w:val="000000"/>
        </w:rPr>
      </w:pPr>
    </w:p>
    <w:p w:rsidR="00724DB6" w:rsidRDefault="00724DB6" w:rsidP="00724DB6">
      <w:pPr>
        <w:rPr>
          <w:b/>
          <w:color w:val="000000"/>
        </w:rPr>
      </w:pPr>
    </w:p>
    <w:p w:rsidR="00000AA1" w:rsidRPr="00724DB6" w:rsidRDefault="003A7993" w:rsidP="00724DB6">
      <w:pPr>
        <w:pStyle w:val="Ttulo1"/>
        <w:spacing w:before="0" w:line="240" w:lineRule="auto"/>
        <w:ind w:left="0" w:firstLine="0"/>
        <w:jc w:val="center"/>
        <w:rPr>
          <w:b/>
          <w:color w:val="000000"/>
          <w:sz w:val="72"/>
          <w:szCs w:val="22"/>
        </w:rPr>
      </w:pPr>
      <w:bookmarkStart w:id="22" w:name="_Toc113360616"/>
      <w:r w:rsidRPr="00724DB6">
        <w:rPr>
          <w:b/>
          <w:color w:val="000000"/>
          <w:sz w:val="72"/>
          <w:szCs w:val="22"/>
        </w:rPr>
        <w:t>ANEXO</w:t>
      </w:r>
      <w:bookmarkEnd w:id="22"/>
    </w:p>
    <w:p w:rsidR="003A7993" w:rsidRPr="003A7993" w:rsidRDefault="003A7993" w:rsidP="003A7993"/>
    <w:p w:rsidR="00000AA1" w:rsidRDefault="001347DD">
      <w:r>
        <w:br w:type="page"/>
      </w:r>
    </w:p>
    <w:p w:rsidR="001347DD" w:rsidRPr="001347DD" w:rsidRDefault="001347DD" w:rsidP="001347DD">
      <w:pPr>
        <w:pStyle w:val="Ttulo1"/>
        <w:jc w:val="center"/>
        <w:rPr>
          <w:b/>
          <w:color w:val="auto"/>
        </w:rPr>
      </w:pPr>
      <w:bookmarkStart w:id="23" w:name="_Toc113360617"/>
      <w:r w:rsidRPr="001347DD">
        <w:rPr>
          <w:b/>
          <w:color w:val="auto"/>
        </w:rPr>
        <w:lastRenderedPageBreak/>
        <w:t>Anexo N° 1</w:t>
      </w:r>
      <w:bookmarkEnd w:id="23"/>
    </w:p>
    <w:p w:rsidR="001347DD" w:rsidRPr="00324C9C" w:rsidRDefault="001347DD" w:rsidP="001347DD">
      <w:pPr>
        <w:jc w:val="center"/>
        <w:rPr>
          <w:b/>
          <w:sz w:val="28"/>
        </w:rPr>
      </w:pPr>
      <w:r w:rsidRPr="00324C9C">
        <w:rPr>
          <w:b/>
          <w:sz w:val="28"/>
        </w:rPr>
        <w:t>I Encuesta sobre percepciones de LA en el Perú</w:t>
      </w:r>
    </w:p>
    <w:p w:rsidR="00AC4F67" w:rsidRPr="00FC4115" w:rsidRDefault="00AC4F67" w:rsidP="00AC4F67">
      <w:pPr>
        <w:pStyle w:val="Textoindependiente"/>
        <w:spacing w:line="273" w:lineRule="auto"/>
        <w:ind w:right="-1"/>
        <w:jc w:val="both"/>
        <w:rPr>
          <w:rFonts w:asciiTheme="majorHAnsi" w:hAnsiTheme="majorHAnsi" w:cstheme="majorHAnsi"/>
        </w:rPr>
      </w:pPr>
      <w:r w:rsidRPr="00FC4115">
        <w:rPr>
          <w:rFonts w:asciiTheme="majorHAnsi" w:hAnsiTheme="majorHAnsi" w:cstheme="majorHAnsi"/>
          <w:color w:val="202024"/>
        </w:rPr>
        <w:t>La</w:t>
      </w:r>
      <w:r w:rsidRPr="00FC4115">
        <w:rPr>
          <w:rFonts w:asciiTheme="majorHAnsi" w:hAnsiTheme="majorHAnsi" w:cstheme="majorHAnsi"/>
          <w:color w:val="202024"/>
          <w:spacing w:val="-10"/>
        </w:rPr>
        <w:t xml:space="preserve"> </w:t>
      </w:r>
      <w:r w:rsidRPr="00FC4115">
        <w:rPr>
          <w:rFonts w:asciiTheme="majorHAnsi" w:hAnsiTheme="majorHAnsi" w:cstheme="majorHAnsi"/>
          <w:color w:val="202024"/>
        </w:rPr>
        <w:t>Superintendencia</w:t>
      </w:r>
      <w:r w:rsidRPr="00FC4115">
        <w:rPr>
          <w:rFonts w:asciiTheme="majorHAnsi" w:hAnsiTheme="majorHAnsi" w:cstheme="majorHAnsi"/>
          <w:color w:val="202024"/>
          <w:spacing w:val="-9"/>
        </w:rPr>
        <w:t xml:space="preserve"> </w:t>
      </w:r>
      <w:r w:rsidRPr="00FC4115">
        <w:rPr>
          <w:rFonts w:asciiTheme="majorHAnsi" w:hAnsiTheme="majorHAnsi" w:cstheme="majorHAnsi"/>
          <w:color w:val="202024"/>
        </w:rPr>
        <w:t>de</w:t>
      </w:r>
      <w:r w:rsidRPr="00FC4115">
        <w:rPr>
          <w:rFonts w:asciiTheme="majorHAnsi" w:hAnsiTheme="majorHAnsi" w:cstheme="majorHAnsi"/>
          <w:color w:val="202024"/>
          <w:spacing w:val="-10"/>
        </w:rPr>
        <w:t xml:space="preserve"> </w:t>
      </w:r>
      <w:r w:rsidRPr="00FC4115">
        <w:rPr>
          <w:rFonts w:asciiTheme="majorHAnsi" w:hAnsiTheme="majorHAnsi" w:cstheme="majorHAnsi"/>
          <w:color w:val="202024"/>
        </w:rPr>
        <w:t>Banca,</w:t>
      </w:r>
      <w:r w:rsidRPr="00FC4115">
        <w:rPr>
          <w:rFonts w:asciiTheme="majorHAnsi" w:hAnsiTheme="majorHAnsi" w:cstheme="majorHAnsi"/>
          <w:color w:val="202024"/>
          <w:spacing w:val="-9"/>
        </w:rPr>
        <w:t xml:space="preserve"> </w:t>
      </w:r>
      <w:r w:rsidRPr="00FC4115">
        <w:rPr>
          <w:rFonts w:asciiTheme="majorHAnsi" w:hAnsiTheme="majorHAnsi" w:cstheme="majorHAnsi"/>
          <w:color w:val="202024"/>
        </w:rPr>
        <w:t>Seguros</w:t>
      </w:r>
      <w:r w:rsidRPr="00FC4115">
        <w:rPr>
          <w:rFonts w:asciiTheme="majorHAnsi" w:hAnsiTheme="majorHAnsi" w:cstheme="majorHAnsi"/>
          <w:color w:val="202024"/>
          <w:spacing w:val="-10"/>
        </w:rPr>
        <w:t xml:space="preserve"> </w:t>
      </w:r>
      <w:r w:rsidRPr="00FC4115">
        <w:rPr>
          <w:rFonts w:asciiTheme="majorHAnsi" w:hAnsiTheme="majorHAnsi" w:cstheme="majorHAnsi"/>
          <w:color w:val="202024"/>
        </w:rPr>
        <w:t>y</w:t>
      </w:r>
      <w:r w:rsidRPr="00FC4115">
        <w:rPr>
          <w:rFonts w:asciiTheme="majorHAnsi" w:hAnsiTheme="majorHAnsi" w:cstheme="majorHAnsi"/>
          <w:color w:val="202024"/>
          <w:spacing w:val="-9"/>
        </w:rPr>
        <w:t xml:space="preserve"> </w:t>
      </w:r>
      <w:r w:rsidRPr="00FC4115">
        <w:rPr>
          <w:rFonts w:asciiTheme="majorHAnsi" w:hAnsiTheme="majorHAnsi" w:cstheme="majorHAnsi"/>
          <w:color w:val="202024"/>
        </w:rPr>
        <w:t>AFP</w:t>
      </w:r>
      <w:r w:rsidRPr="00FC4115">
        <w:rPr>
          <w:rFonts w:asciiTheme="majorHAnsi" w:hAnsiTheme="majorHAnsi" w:cstheme="majorHAnsi"/>
          <w:color w:val="202024"/>
          <w:spacing w:val="-9"/>
        </w:rPr>
        <w:t xml:space="preserve"> </w:t>
      </w:r>
      <w:r w:rsidRPr="00FC4115">
        <w:rPr>
          <w:rFonts w:asciiTheme="majorHAnsi" w:hAnsiTheme="majorHAnsi" w:cstheme="majorHAnsi"/>
          <w:color w:val="202024"/>
        </w:rPr>
        <w:t>(SBS),</w:t>
      </w:r>
      <w:r w:rsidRPr="00FC4115">
        <w:rPr>
          <w:rFonts w:asciiTheme="majorHAnsi" w:hAnsiTheme="majorHAnsi" w:cstheme="majorHAnsi"/>
          <w:color w:val="202024"/>
          <w:spacing w:val="-10"/>
        </w:rPr>
        <w:t xml:space="preserve"> </w:t>
      </w:r>
      <w:r w:rsidRPr="00FC4115">
        <w:rPr>
          <w:rFonts w:asciiTheme="majorHAnsi" w:hAnsiTheme="majorHAnsi" w:cstheme="majorHAnsi"/>
          <w:color w:val="202024"/>
        </w:rPr>
        <w:t>a</w:t>
      </w:r>
      <w:r w:rsidRPr="00FC4115">
        <w:rPr>
          <w:rFonts w:asciiTheme="majorHAnsi" w:hAnsiTheme="majorHAnsi" w:cstheme="majorHAnsi"/>
          <w:color w:val="202024"/>
          <w:spacing w:val="-9"/>
        </w:rPr>
        <w:t xml:space="preserve"> </w:t>
      </w:r>
      <w:r w:rsidRPr="00FC4115">
        <w:rPr>
          <w:rFonts w:asciiTheme="majorHAnsi" w:hAnsiTheme="majorHAnsi" w:cstheme="majorHAnsi"/>
          <w:color w:val="202024"/>
        </w:rPr>
        <w:t>través</w:t>
      </w:r>
      <w:r w:rsidRPr="00FC4115">
        <w:rPr>
          <w:rFonts w:asciiTheme="majorHAnsi" w:hAnsiTheme="majorHAnsi" w:cstheme="majorHAnsi"/>
          <w:color w:val="202024"/>
          <w:spacing w:val="-10"/>
        </w:rPr>
        <w:t xml:space="preserve"> </w:t>
      </w:r>
      <w:r w:rsidRPr="00FC4115">
        <w:rPr>
          <w:rFonts w:asciiTheme="majorHAnsi" w:hAnsiTheme="majorHAnsi" w:cstheme="majorHAnsi"/>
          <w:color w:val="202024"/>
        </w:rPr>
        <w:t>de</w:t>
      </w:r>
      <w:r w:rsidRPr="00FC4115">
        <w:rPr>
          <w:rFonts w:asciiTheme="majorHAnsi" w:hAnsiTheme="majorHAnsi" w:cstheme="majorHAnsi"/>
          <w:color w:val="202024"/>
          <w:spacing w:val="-9"/>
        </w:rPr>
        <w:t xml:space="preserve"> </w:t>
      </w:r>
      <w:r w:rsidRPr="00FC4115">
        <w:rPr>
          <w:rFonts w:asciiTheme="majorHAnsi" w:hAnsiTheme="majorHAnsi" w:cstheme="majorHAnsi"/>
          <w:color w:val="202024"/>
        </w:rPr>
        <w:t>la</w:t>
      </w:r>
      <w:r w:rsidRPr="00FC4115">
        <w:rPr>
          <w:rFonts w:asciiTheme="majorHAnsi" w:hAnsiTheme="majorHAnsi" w:cstheme="majorHAnsi"/>
          <w:color w:val="202024"/>
          <w:spacing w:val="-9"/>
        </w:rPr>
        <w:t xml:space="preserve"> </w:t>
      </w:r>
      <w:r w:rsidRPr="00FC4115">
        <w:rPr>
          <w:rFonts w:asciiTheme="majorHAnsi" w:hAnsiTheme="majorHAnsi" w:cstheme="majorHAnsi"/>
          <w:color w:val="202024"/>
        </w:rPr>
        <w:t>Unidad</w:t>
      </w:r>
      <w:r w:rsidRPr="00FC4115">
        <w:rPr>
          <w:rFonts w:asciiTheme="majorHAnsi" w:hAnsiTheme="majorHAnsi" w:cstheme="majorHAnsi"/>
          <w:color w:val="202024"/>
          <w:spacing w:val="-10"/>
        </w:rPr>
        <w:t xml:space="preserve"> </w:t>
      </w:r>
      <w:r w:rsidRPr="00FC4115">
        <w:rPr>
          <w:rFonts w:asciiTheme="majorHAnsi" w:hAnsiTheme="majorHAnsi" w:cstheme="majorHAnsi"/>
          <w:color w:val="202024"/>
        </w:rPr>
        <w:t>de</w:t>
      </w:r>
      <w:r w:rsidRPr="00FC4115">
        <w:rPr>
          <w:rFonts w:asciiTheme="majorHAnsi" w:hAnsiTheme="majorHAnsi" w:cstheme="majorHAnsi"/>
          <w:color w:val="202024"/>
          <w:spacing w:val="-9"/>
        </w:rPr>
        <w:t xml:space="preserve"> </w:t>
      </w:r>
      <w:r w:rsidRPr="00FC4115">
        <w:rPr>
          <w:rFonts w:asciiTheme="majorHAnsi" w:hAnsiTheme="majorHAnsi" w:cstheme="majorHAnsi"/>
          <w:color w:val="202024"/>
        </w:rPr>
        <w:t>Inteligencia</w:t>
      </w:r>
      <w:r w:rsidRPr="00FC4115">
        <w:rPr>
          <w:rFonts w:asciiTheme="majorHAnsi" w:hAnsiTheme="majorHAnsi" w:cstheme="majorHAnsi"/>
          <w:color w:val="202024"/>
          <w:spacing w:val="-52"/>
        </w:rPr>
        <w:t xml:space="preserve"> </w:t>
      </w:r>
      <w:r w:rsidRPr="00FC4115">
        <w:rPr>
          <w:rFonts w:asciiTheme="majorHAnsi" w:hAnsiTheme="majorHAnsi" w:cstheme="majorHAnsi"/>
          <w:color w:val="202024"/>
        </w:rPr>
        <w:t>Financiera (UIF) y con la colaboración de la Cooperación Alemana al Desarrollo</w:t>
      </w:r>
      <w:r w:rsidRPr="00FC4115">
        <w:rPr>
          <w:rFonts w:asciiTheme="majorHAnsi" w:hAnsiTheme="majorHAnsi" w:cstheme="majorHAnsi"/>
          <w:color w:val="202024"/>
          <w:spacing w:val="1"/>
        </w:rPr>
        <w:t xml:space="preserve"> </w:t>
      </w:r>
      <w:r w:rsidRPr="00FC4115">
        <w:rPr>
          <w:rFonts w:asciiTheme="majorHAnsi" w:hAnsiTheme="majorHAnsi" w:cstheme="majorHAnsi"/>
          <w:color w:val="202024"/>
        </w:rPr>
        <w:t>implementada por la GIZ, viene trabajando con el concurso de diversas entidades</w:t>
      </w:r>
      <w:r w:rsidRPr="00FC4115">
        <w:rPr>
          <w:rFonts w:asciiTheme="majorHAnsi" w:hAnsiTheme="majorHAnsi" w:cstheme="majorHAnsi"/>
          <w:color w:val="202024"/>
          <w:spacing w:val="1"/>
        </w:rPr>
        <w:t xml:space="preserve"> </w:t>
      </w:r>
      <w:r w:rsidRPr="00FC4115">
        <w:rPr>
          <w:rFonts w:asciiTheme="majorHAnsi" w:hAnsiTheme="majorHAnsi" w:cstheme="majorHAnsi"/>
          <w:color w:val="202024"/>
        </w:rPr>
        <w:t>públicas,</w:t>
      </w:r>
      <w:r w:rsidRPr="00FC4115">
        <w:rPr>
          <w:rFonts w:asciiTheme="majorHAnsi" w:hAnsiTheme="majorHAnsi" w:cstheme="majorHAnsi"/>
          <w:color w:val="202024"/>
          <w:spacing w:val="-3"/>
        </w:rPr>
        <w:t xml:space="preserve"> </w:t>
      </w:r>
      <w:r w:rsidRPr="00FC4115">
        <w:rPr>
          <w:rFonts w:asciiTheme="majorHAnsi" w:hAnsiTheme="majorHAnsi" w:cstheme="majorHAnsi"/>
          <w:color w:val="202024"/>
        </w:rPr>
        <w:t>en</w:t>
      </w:r>
      <w:r w:rsidRPr="00FC4115">
        <w:rPr>
          <w:rFonts w:asciiTheme="majorHAnsi" w:hAnsiTheme="majorHAnsi" w:cstheme="majorHAnsi"/>
          <w:color w:val="202024"/>
          <w:spacing w:val="-3"/>
        </w:rPr>
        <w:t xml:space="preserve"> </w:t>
      </w:r>
      <w:r w:rsidRPr="00FC4115">
        <w:rPr>
          <w:rFonts w:asciiTheme="majorHAnsi" w:hAnsiTheme="majorHAnsi" w:cstheme="majorHAnsi"/>
          <w:color w:val="202024"/>
        </w:rPr>
        <w:t>el</w:t>
      </w:r>
      <w:r w:rsidRPr="00FC4115">
        <w:rPr>
          <w:rFonts w:asciiTheme="majorHAnsi" w:hAnsiTheme="majorHAnsi" w:cstheme="majorHAnsi"/>
          <w:color w:val="202024"/>
          <w:spacing w:val="-3"/>
        </w:rPr>
        <w:t xml:space="preserve"> </w:t>
      </w:r>
      <w:r w:rsidRPr="00FC4115">
        <w:rPr>
          <w:rFonts w:asciiTheme="majorHAnsi" w:hAnsiTheme="majorHAnsi" w:cstheme="majorHAnsi"/>
          <w:color w:val="202024"/>
        </w:rPr>
        <w:t>diseño</w:t>
      </w:r>
      <w:r w:rsidRPr="00FC4115">
        <w:rPr>
          <w:rFonts w:asciiTheme="majorHAnsi" w:hAnsiTheme="majorHAnsi" w:cstheme="majorHAnsi"/>
          <w:color w:val="202024"/>
          <w:spacing w:val="-3"/>
        </w:rPr>
        <w:t xml:space="preserve"> </w:t>
      </w:r>
      <w:r w:rsidRPr="00FC4115">
        <w:rPr>
          <w:rFonts w:asciiTheme="majorHAnsi" w:hAnsiTheme="majorHAnsi" w:cstheme="majorHAnsi"/>
          <w:color w:val="202024"/>
        </w:rPr>
        <w:t>de</w:t>
      </w:r>
      <w:r w:rsidRPr="00FC4115">
        <w:rPr>
          <w:rFonts w:asciiTheme="majorHAnsi" w:hAnsiTheme="majorHAnsi" w:cstheme="majorHAnsi"/>
          <w:color w:val="202024"/>
          <w:spacing w:val="-3"/>
        </w:rPr>
        <w:t xml:space="preserve"> </w:t>
      </w:r>
      <w:r w:rsidRPr="00FC4115">
        <w:rPr>
          <w:rFonts w:asciiTheme="majorHAnsi" w:hAnsiTheme="majorHAnsi" w:cstheme="majorHAnsi"/>
          <w:color w:val="202024"/>
        </w:rPr>
        <w:t>la</w:t>
      </w:r>
      <w:r w:rsidRPr="00FC4115">
        <w:rPr>
          <w:rFonts w:asciiTheme="majorHAnsi" w:hAnsiTheme="majorHAnsi" w:cstheme="majorHAnsi"/>
          <w:color w:val="202024"/>
          <w:spacing w:val="-3"/>
        </w:rPr>
        <w:t xml:space="preserve"> </w:t>
      </w:r>
      <w:r w:rsidRPr="00FC4115">
        <w:rPr>
          <w:rFonts w:asciiTheme="majorHAnsi" w:hAnsiTheme="majorHAnsi" w:cstheme="majorHAnsi"/>
          <w:color w:val="202024"/>
        </w:rPr>
        <w:t>Política</w:t>
      </w:r>
      <w:r w:rsidRPr="00FC4115">
        <w:rPr>
          <w:rFonts w:asciiTheme="majorHAnsi" w:hAnsiTheme="majorHAnsi" w:cstheme="majorHAnsi"/>
          <w:color w:val="202024"/>
          <w:spacing w:val="-3"/>
        </w:rPr>
        <w:t xml:space="preserve"> </w:t>
      </w:r>
      <w:r w:rsidRPr="00FC4115">
        <w:rPr>
          <w:rFonts w:asciiTheme="majorHAnsi" w:hAnsiTheme="majorHAnsi" w:cstheme="majorHAnsi"/>
          <w:color w:val="202024"/>
        </w:rPr>
        <w:t>Nacional</w:t>
      </w:r>
      <w:r w:rsidRPr="00FC4115">
        <w:rPr>
          <w:rFonts w:asciiTheme="majorHAnsi" w:hAnsiTheme="majorHAnsi" w:cstheme="majorHAnsi"/>
          <w:color w:val="202024"/>
          <w:spacing w:val="-3"/>
        </w:rPr>
        <w:t xml:space="preserve"> </w:t>
      </w:r>
      <w:r w:rsidRPr="00FC4115">
        <w:rPr>
          <w:rFonts w:asciiTheme="majorHAnsi" w:hAnsiTheme="majorHAnsi" w:cstheme="majorHAnsi"/>
          <w:color w:val="202024"/>
        </w:rPr>
        <w:t>contra</w:t>
      </w:r>
      <w:r w:rsidRPr="00FC4115">
        <w:rPr>
          <w:rFonts w:asciiTheme="majorHAnsi" w:hAnsiTheme="majorHAnsi" w:cstheme="majorHAnsi"/>
          <w:color w:val="202024"/>
          <w:spacing w:val="-3"/>
        </w:rPr>
        <w:t xml:space="preserve"> </w:t>
      </w:r>
      <w:r w:rsidRPr="00FC4115">
        <w:rPr>
          <w:rFonts w:asciiTheme="majorHAnsi" w:hAnsiTheme="majorHAnsi" w:cstheme="majorHAnsi"/>
          <w:color w:val="202024"/>
        </w:rPr>
        <w:t>el</w:t>
      </w:r>
      <w:r w:rsidRPr="00FC4115">
        <w:rPr>
          <w:rFonts w:asciiTheme="majorHAnsi" w:hAnsiTheme="majorHAnsi" w:cstheme="majorHAnsi"/>
          <w:color w:val="202024"/>
          <w:spacing w:val="-3"/>
        </w:rPr>
        <w:t xml:space="preserve"> </w:t>
      </w:r>
      <w:r w:rsidRPr="00FC4115">
        <w:rPr>
          <w:rFonts w:asciiTheme="majorHAnsi" w:hAnsiTheme="majorHAnsi" w:cstheme="majorHAnsi"/>
          <w:color w:val="202024"/>
        </w:rPr>
        <w:t>Lavado</w:t>
      </w:r>
      <w:r w:rsidRPr="00FC4115">
        <w:rPr>
          <w:rFonts w:asciiTheme="majorHAnsi" w:hAnsiTheme="majorHAnsi" w:cstheme="majorHAnsi"/>
          <w:color w:val="202024"/>
          <w:spacing w:val="-3"/>
        </w:rPr>
        <w:t xml:space="preserve"> </w:t>
      </w:r>
      <w:r w:rsidRPr="00FC4115">
        <w:rPr>
          <w:rFonts w:asciiTheme="majorHAnsi" w:hAnsiTheme="majorHAnsi" w:cstheme="majorHAnsi"/>
          <w:color w:val="202024"/>
        </w:rPr>
        <w:t>de</w:t>
      </w:r>
      <w:r w:rsidRPr="00FC4115">
        <w:rPr>
          <w:rFonts w:asciiTheme="majorHAnsi" w:hAnsiTheme="majorHAnsi" w:cstheme="majorHAnsi"/>
          <w:color w:val="202024"/>
          <w:spacing w:val="-3"/>
        </w:rPr>
        <w:t xml:space="preserve"> </w:t>
      </w:r>
      <w:r w:rsidRPr="00FC4115">
        <w:rPr>
          <w:rFonts w:asciiTheme="majorHAnsi" w:hAnsiTheme="majorHAnsi" w:cstheme="majorHAnsi"/>
          <w:color w:val="202024"/>
        </w:rPr>
        <w:t>Activos.</w:t>
      </w:r>
    </w:p>
    <w:p w:rsidR="00AC4F67" w:rsidRPr="00FC4115" w:rsidRDefault="00AC4F67" w:rsidP="00AC4F67">
      <w:pPr>
        <w:pStyle w:val="Textoindependiente"/>
        <w:spacing w:before="9"/>
        <w:jc w:val="both"/>
        <w:rPr>
          <w:rFonts w:asciiTheme="majorHAnsi" w:hAnsiTheme="majorHAnsi" w:cstheme="majorHAnsi"/>
          <w:sz w:val="24"/>
        </w:rPr>
      </w:pPr>
    </w:p>
    <w:p w:rsidR="00AC4F67" w:rsidRPr="00FC4115" w:rsidRDefault="00AC4F67" w:rsidP="00AC4F67">
      <w:pPr>
        <w:pStyle w:val="Textoindependiente"/>
        <w:spacing w:line="273" w:lineRule="auto"/>
        <w:ind w:right="-1"/>
        <w:jc w:val="both"/>
        <w:rPr>
          <w:rFonts w:asciiTheme="majorHAnsi" w:hAnsiTheme="majorHAnsi" w:cstheme="majorHAnsi"/>
          <w:color w:val="202024"/>
        </w:rPr>
      </w:pPr>
      <w:r w:rsidRPr="00FC4115">
        <w:rPr>
          <w:rFonts w:asciiTheme="majorHAnsi" w:hAnsiTheme="majorHAnsi" w:cstheme="majorHAnsi"/>
          <w:color w:val="202024"/>
        </w:rPr>
        <w:t>En tal sentido, consideramos importante explorar la percepción de los ciudadanos  y  ciudadanas al respecto. Esta encuesta, que es anónima, es un insumo clave en esa dirección. Su contribución será sumamente importante, por lo que lo/a invitamos a responder con sinceridad las preguntas planteadas a continuación.</w:t>
      </w:r>
    </w:p>
    <w:p w:rsidR="00AC4F67" w:rsidRDefault="00AC4F67" w:rsidP="00AC4F67">
      <w:pPr>
        <w:pStyle w:val="Textoindependiente"/>
        <w:spacing w:before="1"/>
        <w:rPr>
          <w:sz w:val="23"/>
        </w:rPr>
      </w:pPr>
    </w:p>
    <w:p w:rsidR="001347DD" w:rsidRDefault="00AC4F67" w:rsidP="00AC4F67">
      <w:pPr>
        <w:pStyle w:val="Prrafodelista"/>
        <w:numPr>
          <w:ilvl w:val="0"/>
          <w:numId w:val="22"/>
        </w:numPr>
        <w:ind w:left="0"/>
      </w:pPr>
      <w:r>
        <w:t>Edad</w:t>
      </w:r>
    </w:p>
    <w:p w:rsidR="00AC4F67" w:rsidRDefault="00AC4F67" w:rsidP="00AC4F67">
      <w:pPr>
        <w:pStyle w:val="Prrafodelista"/>
        <w:numPr>
          <w:ilvl w:val="0"/>
          <w:numId w:val="22"/>
        </w:numPr>
        <w:ind w:left="0"/>
      </w:pPr>
      <w:r>
        <w:t>Género</w:t>
      </w:r>
    </w:p>
    <w:p w:rsidR="00AC4F67" w:rsidRDefault="00AC4F67" w:rsidP="00AC4F67">
      <w:pPr>
        <w:pStyle w:val="Prrafodelista"/>
        <w:numPr>
          <w:ilvl w:val="0"/>
          <w:numId w:val="22"/>
        </w:numPr>
        <w:ind w:left="0"/>
      </w:pPr>
      <w:r>
        <w:t>¿A qué región pertenece?</w:t>
      </w:r>
    </w:p>
    <w:p w:rsidR="00AC4F67" w:rsidRDefault="00C22311" w:rsidP="00AC4F67">
      <w:pPr>
        <w:pStyle w:val="Prrafodelista"/>
        <w:numPr>
          <w:ilvl w:val="0"/>
          <w:numId w:val="22"/>
        </w:numPr>
        <w:ind w:left="0"/>
      </w:pPr>
      <w:r>
        <w:rPr>
          <w:noProof/>
        </w:rPr>
        <w:drawing>
          <wp:anchor distT="0" distB="0" distL="114300" distR="114300" simplePos="0" relativeHeight="251658240" behindDoc="0" locked="0" layoutInCell="1" allowOverlap="1" wp14:anchorId="3D16E0DC" wp14:editId="5FDE1110">
            <wp:simplePos x="0" y="0"/>
            <wp:positionH relativeFrom="column">
              <wp:posOffset>1270</wp:posOffset>
            </wp:positionH>
            <wp:positionV relativeFrom="paragraph">
              <wp:posOffset>184785</wp:posOffset>
            </wp:positionV>
            <wp:extent cx="1557020" cy="1360805"/>
            <wp:effectExtent l="0" t="0" r="5080" b="0"/>
            <wp:wrapTopAndBottom/>
            <wp:docPr id="305" name="Imagen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57020" cy="1360805"/>
                    </a:xfrm>
                    <a:prstGeom prst="rect">
                      <a:avLst/>
                    </a:prstGeom>
                    <a:noFill/>
                    <a:ln>
                      <a:noFill/>
                    </a:ln>
                  </pic:spPr>
                </pic:pic>
              </a:graphicData>
            </a:graphic>
            <wp14:sizeRelH relativeFrom="page">
              <wp14:pctWidth>0</wp14:pctWidth>
            </wp14:sizeRelH>
            <wp14:sizeRelV relativeFrom="page">
              <wp14:pctHeight>0</wp14:pctHeight>
            </wp14:sizeRelV>
          </wp:anchor>
        </w:drawing>
      </w:r>
      <w:r w:rsidR="00AC4F67" w:rsidRPr="00AC4F67">
        <w:t>¿Qué nivel de conocimiento considera que tiene usted sobre el lavado de activos?</w:t>
      </w:r>
    </w:p>
    <w:p w:rsidR="00AC4F67" w:rsidRDefault="00AC4F67" w:rsidP="00AC4F67">
      <w:pPr>
        <w:pStyle w:val="Prrafodelista"/>
        <w:numPr>
          <w:ilvl w:val="0"/>
          <w:numId w:val="22"/>
        </w:numPr>
        <w:ind w:left="0"/>
      </w:pPr>
      <w:r w:rsidRPr="00AC4F67">
        <w:t>¿Qué situaciones cree usted que podrían constituir delito de lavado de activos? Marque todas las opciones que considere pertinentes.</w:t>
      </w:r>
    </w:p>
    <w:p w:rsidR="00AC4F67" w:rsidRDefault="00C22311" w:rsidP="00AC4F67">
      <w:r>
        <w:rPr>
          <w:noProof/>
        </w:rPr>
        <w:drawing>
          <wp:inline distT="0" distB="0" distL="0" distR="0" wp14:anchorId="379B1ACA" wp14:editId="279017D2">
            <wp:extent cx="5395595" cy="2630170"/>
            <wp:effectExtent l="0" t="0" r="0" b="0"/>
            <wp:docPr id="306" name="Imagen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5595" cy="2630170"/>
                    </a:xfrm>
                    <a:prstGeom prst="rect">
                      <a:avLst/>
                    </a:prstGeom>
                    <a:noFill/>
                    <a:ln>
                      <a:noFill/>
                    </a:ln>
                  </pic:spPr>
                </pic:pic>
              </a:graphicData>
            </a:graphic>
          </wp:inline>
        </w:drawing>
      </w:r>
    </w:p>
    <w:p w:rsidR="00AC4F67" w:rsidRDefault="00AC4F67" w:rsidP="00AC4F67"/>
    <w:p w:rsidR="00C22311" w:rsidRDefault="00C22311" w:rsidP="00C22311">
      <w:pPr>
        <w:pStyle w:val="Prrafodelista"/>
        <w:numPr>
          <w:ilvl w:val="0"/>
          <w:numId w:val="22"/>
        </w:numPr>
        <w:ind w:left="0"/>
      </w:pPr>
      <w:r w:rsidRPr="00C22311">
        <w:t>¿Qué tanto impacto considera usted que tiene el lavado de activos en su vida cotidiana?</w:t>
      </w:r>
    </w:p>
    <w:p w:rsidR="00AC4F67" w:rsidRDefault="00AC4F67" w:rsidP="00AC4F67"/>
    <w:p w:rsidR="00AC4F67" w:rsidRDefault="00AC4F67"/>
    <w:p w:rsidR="00C22311" w:rsidRDefault="00C22311">
      <w:r>
        <w:rPr>
          <w:noProof/>
        </w:rPr>
        <w:lastRenderedPageBreak/>
        <w:drawing>
          <wp:inline distT="0" distB="0" distL="0" distR="0" wp14:anchorId="158A441C" wp14:editId="53BDB225">
            <wp:extent cx="2989580" cy="1990725"/>
            <wp:effectExtent l="0" t="0" r="1270" b="9525"/>
            <wp:docPr id="307" name="Imagen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89580" cy="1990725"/>
                    </a:xfrm>
                    <a:prstGeom prst="rect">
                      <a:avLst/>
                    </a:prstGeom>
                    <a:noFill/>
                    <a:ln>
                      <a:noFill/>
                    </a:ln>
                  </pic:spPr>
                </pic:pic>
              </a:graphicData>
            </a:graphic>
          </wp:inline>
        </w:drawing>
      </w:r>
    </w:p>
    <w:p w:rsidR="00AC4F67" w:rsidRDefault="00AC4F67"/>
    <w:p w:rsidR="00C22311" w:rsidRDefault="00C22311" w:rsidP="00C22311">
      <w:pPr>
        <w:pStyle w:val="Prrafodelista"/>
        <w:numPr>
          <w:ilvl w:val="0"/>
          <w:numId w:val="22"/>
        </w:numPr>
        <w:ind w:left="0"/>
      </w:pPr>
      <w:r w:rsidRPr="00C22311">
        <w:t>El lavado de activos tiene consecuencias económicas y sociales que afectan considerablemente al Perú. Por favor ordene las siguientes en orden de prioridad, donde 1 es la que considera más grave y 6 la que considera menos grave. Marque UNA sola respuesta en cada columna.</w:t>
      </w:r>
    </w:p>
    <w:p w:rsidR="00AC4F67" w:rsidRDefault="00EE1B5D" w:rsidP="00EE1B5D">
      <w:pPr>
        <w:jc w:val="center"/>
      </w:pPr>
      <w:r>
        <w:rPr>
          <w:noProof/>
        </w:rPr>
        <w:drawing>
          <wp:inline distT="0" distB="0" distL="0" distR="0" wp14:anchorId="1AE42F02" wp14:editId="559EC02F">
            <wp:extent cx="3960056" cy="5782124"/>
            <wp:effectExtent l="0" t="0" r="2540" b="9525"/>
            <wp:docPr id="308" name="Imagen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66314" cy="5791262"/>
                    </a:xfrm>
                    <a:prstGeom prst="rect">
                      <a:avLst/>
                    </a:prstGeom>
                    <a:noFill/>
                    <a:ln>
                      <a:noFill/>
                    </a:ln>
                  </pic:spPr>
                </pic:pic>
              </a:graphicData>
            </a:graphic>
          </wp:inline>
        </w:drawing>
      </w:r>
    </w:p>
    <w:p w:rsidR="00AC4F67" w:rsidRDefault="00EE1B5D" w:rsidP="00EE1B5D">
      <w:pPr>
        <w:pStyle w:val="Prrafodelista"/>
        <w:numPr>
          <w:ilvl w:val="0"/>
          <w:numId w:val="22"/>
        </w:numPr>
        <w:ind w:left="0"/>
      </w:pPr>
      <w:r w:rsidRPr="00EE1B5D">
        <w:lastRenderedPageBreak/>
        <w:t>¿Qué nivel de conocimiento considera que tiene usted sobre las funciones y el rol que cumplen las siguientes entidades que integran el Sistema Nacional contra el Lavado de Activos? Por favor marque una respuesta para cada entidad.</w:t>
      </w:r>
    </w:p>
    <w:p w:rsidR="00AC4F67" w:rsidRDefault="00EE1B5D" w:rsidP="00D37448">
      <w:pPr>
        <w:jc w:val="center"/>
      </w:pPr>
      <w:r>
        <w:rPr>
          <w:noProof/>
        </w:rPr>
        <w:drawing>
          <wp:inline distT="0" distB="0" distL="0" distR="0" wp14:anchorId="008CB234" wp14:editId="6DA4B157">
            <wp:extent cx="4119315" cy="2658794"/>
            <wp:effectExtent l="0" t="0" r="0" b="8255"/>
            <wp:docPr id="309" name="Imagen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28177" cy="2664514"/>
                    </a:xfrm>
                    <a:prstGeom prst="rect">
                      <a:avLst/>
                    </a:prstGeom>
                    <a:noFill/>
                    <a:ln>
                      <a:noFill/>
                    </a:ln>
                  </pic:spPr>
                </pic:pic>
              </a:graphicData>
            </a:graphic>
          </wp:inline>
        </w:drawing>
      </w:r>
    </w:p>
    <w:p w:rsidR="00EE1B5D" w:rsidRDefault="00EE1B5D" w:rsidP="00EE1B5D">
      <w:pPr>
        <w:pStyle w:val="Prrafodelista"/>
        <w:numPr>
          <w:ilvl w:val="0"/>
          <w:numId w:val="22"/>
        </w:numPr>
        <w:ind w:left="0"/>
      </w:pPr>
      <w:r w:rsidRPr="00EE1B5D">
        <w:t>¿Qué tan eficaces considera usted que son las medidas que el Estado Peruano ha tomado frente al lavado de activos? Por favor marque una respuesta para cada medida.</w:t>
      </w:r>
    </w:p>
    <w:p w:rsidR="00AC4F67" w:rsidRDefault="00EE1B5D" w:rsidP="00D37448">
      <w:pPr>
        <w:jc w:val="center"/>
      </w:pPr>
      <w:r>
        <w:rPr>
          <w:noProof/>
        </w:rPr>
        <w:drawing>
          <wp:inline distT="0" distB="0" distL="0" distR="0" wp14:anchorId="3499C550" wp14:editId="5B948941">
            <wp:extent cx="4262511" cy="4575551"/>
            <wp:effectExtent l="0" t="0" r="5080" b="0"/>
            <wp:docPr id="310" name="Imagen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rotWithShape="1">
                    <a:blip r:embed="rId26">
                      <a:extLst>
                        <a:ext uri="{28A0092B-C50C-407E-A947-70E740481C1C}">
                          <a14:useLocalDpi xmlns:a14="http://schemas.microsoft.com/office/drawing/2010/main" val="0"/>
                        </a:ext>
                      </a:extLst>
                    </a:blip>
                    <a:srcRect t="11437"/>
                    <a:stretch/>
                  </pic:blipFill>
                  <pic:spPr bwMode="auto">
                    <a:xfrm>
                      <a:off x="0" y="0"/>
                      <a:ext cx="4273470" cy="4587315"/>
                    </a:xfrm>
                    <a:prstGeom prst="rect">
                      <a:avLst/>
                    </a:prstGeom>
                    <a:noFill/>
                    <a:ln>
                      <a:noFill/>
                    </a:ln>
                    <a:extLst>
                      <a:ext uri="{53640926-AAD7-44D8-BBD7-CCE9431645EC}">
                        <a14:shadowObscured xmlns:a14="http://schemas.microsoft.com/office/drawing/2010/main"/>
                      </a:ext>
                    </a:extLst>
                  </pic:spPr>
                </pic:pic>
              </a:graphicData>
            </a:graphic>
          </wp:inline>
        </w:drawing>
      </w:r>
    </w:p>
    <w:p w:rsidR="00AC4F67" w:rsidRDefault="00AC4F67"/>
    <w:p w:rsidR="007B1EE4" w:rsidRDefault="007B1EE4" w:rsidP="00D37448">
      <w:pPr>
        <w:jc w:val="center"/>
      </w:pPr>
      <w:r>
        <w:rPr>
          <w:noProof/>
        </w:rPr>
        <w:lastRenderedPageBreak/>
        <w:drawing>
          <wp:inline distT="0" distB="0" distL="0" distR="0" wp14:anchorId="7AAE91E4" wp14:editId="644D4C93">
            <wp:extent cx="4642485" cy="3298825"/>
            <wp:effectExtent l="0" t="0" r="5715" b="0"/>
            <wp:docPr id="311" name="Imagen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42485" cy="3298825"/>
                    </a:xfrm>
                    <a:prstGeom prst="rect">
                      <a:avLst/>
                    </a:prstGeom>
                    <a:noFill/>
                    <a:ln>
                      <a:noFill/>
                    </a:ln>
                  </pic:spPr>
                </pic:pic>
              </a:graphicData>
            </a:graphic>
          </wp:inline>
        </w:drawing>
      </w:r>
    </w:p>
    <w:p w:rsidR="007B1EE4" w:rsidRDefault="007B1EE4"/>
    <w:p w:rsidR="007B1EE4" w:rsidRDefault="007B1EE4" w:rsidP="007B1EE4">
      <w:pPr>
        <w:pStyle w:val="Prrafodelista"/>
        <w:numPr>
          <w:ilvl w:val="0"/>
          <w:numId w:val="22"/>
        </w:numPr>
        <w:ind w:left="0"/>
      </w:pPr>
      <w:r w:rsidRPr="007B1EE4">
        <w:t>¿Qué tan eficientemente considera que han realizado sus funciones las siguientes entidades del Sistema Nacional contra el Lavado de Activos? Por favor marque una respuesta para cada entidad</w:t>
      </w:r>
    </w:p>
    <w:p w:rsidR="007B1EE4" w:rsidRDefault="007B1EE4" w:rsidP="00D37448">
      <w:pPr>
        <w:jc w:val="center"/>
      </w:pPr>
      <w:r>
        <w:rPr>
          <w:noProof/>
        </w:rPr>
        <w:drawing>
          <wp:inline distT="0" distB="0" distL="0" distR="0" wp14:anchorId="0DA2080B" wp14:editId="2B52A768">
            <wp:extent cx="4874456" cy="3363100"/>
            <wp:effectExtent l="0" t="0" r="2540" b="8890"/>
            <wp:docPr id="312" name="Imagen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8132" cy="3365636"/>
                    </a:xfrm>
                    <a:prstGeom prst="rect">
                      <a:avLst/>
                    </a:prstGeom>
                    <a:noFill/>
                    <a:ln>
                      <a:noFill/>
                    </a:ln>
                  </pic:spPr>
                </pic:pic>
              </a:graphicData>
            </a:graphic>
          </wp:inline>
        </w:drawing>
      </w:r>
    </w:p>
    <w:p w:rsidR="007B1EE4" w:rsidRDefault="007B1EE4" w:rsidP="007B1EE4"/>
    <w:p w:rsidR="007B1EE4" w:rsidRDefault="007B1EE4" w:rsidP="007B1EE4">
      <w:pPr>
        <w:pStyle w:val="Prrafodelista"/>
        <w:numPr>
          <w:ilvl w:val="0"/>
          <w:numId w:val="22"/>
        </w:numPr>
        <w:ind w:left="0"/>
        <w:jc w:val="both"/>
      </w:pPr>
      <w:r w:rsidRPr="007B1EE4">
        <w:t>Para el año 2030, ¿qué esperaría usted que se haya logrado en la lucha contra el lavado de activos en el Perú? Por favor ordene las siguientes acciones en orden de prioridad, donde 1 es la que considera más prioritaria y 6 la que considera menos prioritaria. Marque UNA sola respuesta en cada columna</w:t>
      </w:r>
    </w:p>
    <w:p w:rsidR="007B1EE4" w:rsidRDefault="007B1EE4" w:rsidP="00D37448">
      <w:pPr>
        <w:pStyle w:val="Prrafodelista"/>
        <w:ind w:left="0"/>
        <w:jc w:val="center"/>
      </w:pPr>
      <w:r>
        <w:rPr>
          <w:noProof/>
        </w:rPr>
        <w:lastRenderedPageBreak/>
        <w:drawing>
          <wp:inline distT="0" distB="0" distL="0" distR="0" wp14:anchorId="4B02281E" wp14:editId="3807317C">
            <wp:extent cx="4650740" cy="3783965"/>
            <wp:effectExtent l="0" t="0" r="0" b="6985"/>
            <wp:docPr id="313" name="Imagen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50740" cy="3783965"/>
                    </a:xfrm>
                    <a:prstGeom prst="rect">
                      <a:avLst/>
                    </a:prstGeom>
                    <a:noFill/>
                    <a:ln>
                      <a:noFill/>
                    </a:ln>
                  </pic:spPr>
                </pic:pic>
              </a:graphicData>
            </a:graphic>
          </wp:inline>
        </w:drawing>
      </w:r>
      <w:r>
        <w:rPr>
          <w:noProof/>
        </w:rPr>
        <w:drawing>
          <wp:inline distT="0" distB="0" distL="0" distR="0" wp14:anchorId="5562074E" wp14:editId="3AE51816">
            <wp:extent cx="4524616" cy="3736340"/>
            <wp:effectExtent l="0" t="0" r="9525" b="0"/>
            <wp:docPr id="314" name="Imagen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rotWithShape="1">
                    <a:blip r:embed="rId30">
                      <a:extLst>
                        <a:ext uri="{28A0092B-C50C-407E-A947-70E740481C1C}">
                          <a14:useLocalDpi xmlns:a14="http://schemas.microsoft.com/office/drawing/2010/main" val="0"/>
                        </a:ext>
                      </a:extLst>
                    </a:blip>
                    <a:srcRect l="2712"/>
                    <a:stretch/>
                  </pic:blipFill>
                  <pic:spPr bwMode="auto">
                    <a:xfrm>
                      <a:off x="0" y="0"/>
                      <a:ext cx="4524616" cy="3736340"/>
                    </a:xfrm>
                    <a:prstGeom prst="rect">
                      <a:avLst/>
                    </a:prstGeom>
                    <a:noFill/>
                    <a:ln>
                      <a:noFill/>
                    </a:ln>
                    <a:extLst>
                      <a:ext uri="{53640926-AAD7-44D8-BBD7-CCE9431645EC}">
                        <a14:shadowObscured xmlns:a14="http://schemas.microsoft.com/office/drawing/2010/main"/>
                      </a:ext>
                    </a:extLst>
                  </pic:spPr>
                </pic:pic>
              </a:graphicData>
            </a:graphic>
          </wp:inline>
        </w:drawing>
      </w:r>
    </w:p>
    <w:p w:rsidR="007B1EE4" w:rsidRDefault="007B1EE4" w:rsidP="007B1EE4"/>
    <w:p w:rsidR="00862EF2" w:rsidRDefault="00862EF2" w:rsidP="007B1EE4"/>
    <w:p w:rsidR="00862EF2" w:rsidRDefault="00862EF2" w:rsidP="007B1EE4"/>
    <w:p w:rsidR="00862EF2" w:rsidRDefault="00862EF2" w:rsidP="007B1EE4"/>
    <w:p w:rsidR="00862EF2" w:rsidRPr="001347DD" w:rsidRDefault="00862EF2" w:rsidP="00862EF2">
      <w:pPr>
        <w:pStyle w:val="Ttulo1"/>
        <w:ind w:left="0" w:firstLine="0"/>
        <w:jc w:val="center"/>
        <w:rPr>
          <w:b/>
          <w:color w:val="auto"/>
        </w:rPr>
      </w:pPr>
      <w:bookmarkStart w:id="24" w:name="_Toc113360618"/>
      <w:r w:rsidRPr="005B1941">
        <w:rPr>
          <w:b/>
          <w:color w:val="auto"/>
          <w:highlight w:val="yellow"/>
        </w:rPr>
        <w:lastRenderedPageBreak/>
        <w:t>Anexo N° 2</w:t>
      </w:r>
      <w:bookmarkEnd w:id="24"/>
    </w:p>
    <w:p w:rsidR="001270CF" w:rsidRPr="004A1649" w:rsidRDefault="001270CF" w:rsidP="001270CF">
      <w:pPr>
        <w:jc w:val="center"/>
        <w:rPr>
          <w:rFonts w:ascii="Arial" w:hAnsi="Arial" w:cs="Arial"/>
          <w:b/>
          <w:sz w:val="24"/>
        </w:rPr>
      </w:pPr>
      <w:r w:rsidRPr="004A1649">
        <w:rPr>
          <w:rFonts w:ascii="Arial" w:hAnsi="Arial" w:cs="Arial"/>
          <w:b/>
          <w:sz w:val="24"/>
        </w:rPr>
        <w:t>Métricas para la situación futura deseada</w:t>
      </w:r>
    </w:p>
    <w:p w:rsidR="001270CF" w:rsidRPr="00EF4CF0" w:rsidRDefault="001270CF" w:rsidP="001270CF">
      <w:pPr>
        <w:tabs>
          <w:tab w:val="left" w:pos="1817"/>
        </w:tabs>
        <w:spacing w:after="0" w:line="240" w:lineRule="auto"/>
        <w:jc w:val="both"/>
        <w:rPr>
          <w:rFonts w:ascii="Arial" w:hAnsi="Arial" w:cs="Arial"/>
          <w:color w:val="000000"/>
        </w:rPr>
      </w:pPr>
      <w:r w:rsidRPr="00EF4CF0">
        <w:rPr>
          <w:rFonts w:ascii="Arial" w:hAnsi="Arial" w:cs="Arial"/>
          <w:color w:val="000000"/>
        </w:rPr>
        <w:t xml:space="preserve">Para la formulación de la situación futura deseada la Guía de Políticas Nacionales recomienda incluir un valor numérico esperado en relación a la situación actual del problema público. </w:t>
      </w:r>
    </w:p>
    <w:p w:rsidR="001270CF" w:rsidRPr="00EF4CF0" w:rsidRDefault="001270CF" w:rsidP="001270CF">
      <w:pPr>
        <w:tabs>
          <w:tab w:val="left" w:pos="1817"/>
        </w:tabs>
        <w:spacing w:after="0" w:line="240" w:lineRule="auto"/>
        <w:jc w:val="both"/>
        <w:rPr>
          <w:rFonts w:ascii="Arial" w:hAnsi="Arial" w:cs="Arial"/>
          <w:color w:val="000000"/>
        </w:rPr>
      </w:pPr>
    </w:p>
    <w:p w:rsidR="001270CF" w:rsidRPr="00EF4CF0" w:rsidRDefault="001270CF" w:rsidP="001270CF">
      <w:pPr>
        <w:tabs>
          <w:tab w:val="left" w:pos="1817"/>
        </w:tabs>
        <w:spacing w:after="0" w:line="240" w:lineRule="auto"/>
        <w:jc w:val="both"/>
        <w:rPr>
          <w:rFonts w:ascii="Arial" w:hAnsi="Arial" w:cs="Arial"/>
          <w:color w:val="000000"/>
        </w:rPr>
      </w:pPr>
      <w:r w:rsidRPr="00EF4CF0">
        <w:rPr>
          <w:rFonts w:ascii="Arial" w:hAnsi="Arial" w:cs="Arial"/>
          <w:color w:val="000000"/>
        </w:rPr>
        <w:t xml:space="preserve">Por ello, la situación futura deseada en la presente política se expresa en tres métricas, las cuales fueron seleccionadas debido a que: a) existe información disponible que provienen de fuentes oficiales; 2) se cuenta con valores históricos con una antigüedad no menor de 8 años y medidos con periodicidad anual; y 3) abordan temáticas medulares que repercuten directamente en la incidencia del lavado de activos en el país. </w:t>
      </w:r>
    </w:p>
    <w:p w:rsidR="001270CF" w:rsidRPr="00EF4CF0" w:rsidRDefault="001270CF" w:rsidP="001270CF">
      <w:pPr>
        <w:tabs>
          <w:tab w:val="left" w:pos="1817"/>
        </w:tabs>
        <w:spacing w:after="0" w:line="240" w:lineRule="auto"/>
        <w:jc w:val="both"/>
        <w:rPr>
          <w:rFonts w:ascii="Arial" w:hAnsi="Arial" w:cs="Arial"/>
          <w:color w:val="000000"/>
        </w:rPr>
      </w:pPr>
    </w:p>
    <w:p w:rsidR="001270CF" w:rsidRPr="00EF4CF0" w:rsidRDefault="001270CF" w:rsidP="001270CF">
      <w:pPr>
        <w:tabs>
          <w:tab w:val="left" w:pos="1817"/>
        </w:tabs>
        <w:spacing w:after="0" w:line="240" w:lineRule="auto"/>
        <w:jc w:val="both"/>
        <w:rPr>
          <w:rFonts w:ascii="Arial" w:hAnsi="Arial" w:cs="Arial"/>
          <w:b/>
          <w:color w:val="000000"/>
          <w:u w:val="single"/>
        </w:rPr>
      </w:pPr>
      <w:r w:rsidRPr="00EF4CF0">
        <w:rPr>
          <w:rFonts w:ascii="Arial" w:hAnsi="Arial" w:cs="Arial"/>
          <w:b/>
          <w:color w:val="000000"/>
          <w:u w:val="single"/>
        </w:rPr>
        <w:t xml:space="preserve">Métrica 1: Número de </w:t>
      </w:r>
      <w:r>
        <w:rPr>
          <w:rFonts w:ascii="Arial" w:hAnsi="Arial" w:cs="Arial"/>
          <w:b/>
          <w:color w:val="000000"/>
          <w:u w:val="single"/>
        </w:rPr>
        <w:t>sujetos obligados</w:t>
      </w:r>
      <w:r w:rsidRPr="00EF4CF0">
        <w:rPr>
          <w:rFonts w:ascii="Arial" w:hAnsi="Arial" w:cs="Arial"/>
          <w:b/>
          <w:color w:val="000000"/>
          <w:u w:val="single"/>
        </w:rPr>
        <w:t xml:space="preserve"> inscritos con </w:t>
      </w:r>
      <w:r>
        <w:rPr>
          <w:rFonts w:ascii="Arial" w:hAnsi="Arial" w:cs="Arial"/>
          <w:b/>
          <w:color w:val="000000"/>
          <w:u w:val="single"/>
        </w:rPr>
        <w:t>oficial de cumplimiento</w:t>
      </w:r>
      <w:r w:rsidRPr="00EF4CF0">
        <w:rPr>
          <w:rFonts w:ascii="Arial" w:hAnsi="Arial" w:cs="Arial"/>
          <w:b/>
          <w:color w:val="000000"/>
          <w:u w:val="single"/>
        </w:rPr>
        <w:t xml:space="preserve"> vigente en la UIF</w:t>
      </w:r>
    </w:p>
    <w:p w:rsidR="001270CF" w:rsidRPr="00EF4CF0" w:rsidRDefault="001270CF" w:rsidP="001270CF">
      <w:pPr>
        <w:rPr>
          <w:rFonts w:ascii="Arial" w:hAnsi="Arial" w:cs="Arial"/>
        </w:rPr>
      </w:pPr>
    </w:p>
    <w:p w:rsidR="001270CF" w:rsidRPr="00EF4CF0" w:rsidRDefault="001270CF" w:rsidP="001270CF">
      <w:pPr>
        <w:rPr>
          <w:rFonts w:ascii="Arial" w:hAnsi="Arial" w:cs="Arial"/>
          <w:b/>
        </w:rPr>
      </w:pPr>
      <w:r w:rsidRPr="00EF4CF0">
        <w:rPr>
          <w:rFonts w:ascii="Arial" w:hAnsi="Arial" w:cs="Arial"/>
          <w:b/>
        </w:rPr>
        <w:t>Objetivo</w:t>
      </w:r>
    </w:p>
    <w:p w:rsidR="001270CF" w:rsidRPr="00EF4CF0" w:rsidRDefault="001270CF" w:rsidP="001270CF">
      <w:pPr>
        <w:tabs>
          <w:tab w:val="left" w:pos="1817"/>
        </w:tabs>
        <w:spacing w:after="0" w:line="240" w:lineRule="auto"/>
        <w:jc w:val="both"/>
        <w:rPr>
          <w:rFonts w:ascii="Arial" w:hAnsi="Arial" w:cs="Arial"/>
          <w:color w:val="000000"/>
        </w:rPr>
      </w:pPr>
      <w:r>
        <w:rPr>
          <w:rFonts w:ascii="Arial" w:hAnsi="Arial" w:cs="Arial"/>
          <w:color w:val="000000"/>
        </w:rPr>
        <w:t xml:space="preserve">Determinar el número de los SO inscritos con OC vigente en la base de datos de la UIF. </w:t>
      </w:r>
    </w:p>
    <w:p w:rsidR="001270CF" w:rsidRPr="00EF4CF0" w:rsidRDefault="001270CF" w:rsidP="001270CF">
      <w:pPr>
        <w:tabs>
          <w:tab w:val="left" w:pos="1817"/>
        </w:tabs>
        <w:spacing w:after="0" w:line="240" w:lineRule="auto"/>
        <w:jc w:val="both"/>
        <w:rPr>
          <w:rFonts w:ascii="Arial" w:hAnsi="Arial" w:cs="Arial"/>
          <w:color w:val="000000"/>
        </w:rPr>
      </w:pPr>
    </w:p>
    <w:p w:rsidR="001270CF" w:rsidRPr="00EF4CF0" w:rsidRDefault="001270CF" w:rsidP="001270CF">
      <w:pPr>
        <w:tabs>
          <w:tab w:val="left" w:pos="1817"/>
        </w:tabs>
        <w:spacing w:after="0" w:line="240" w:lineRule="auto"/>
        <w:jc w:val="both"/>
        <w:rPr>
          <w:rFonts w:ascii="Arial" w:hAnsi="Arial" w:cs="Arial"/>
          <w:color w:val="000000"/>
        </w:rPr>
      </w:pPr>
    </w:p>
    <w:p w:rsidR="001270CF" w:rsidRPr="00EF4CF0" w:rsidRDefault="001270CF" w:rsidP="001270CF">
      <w:pPr>
        <w:rPr>
          <w:rFonts w:ascii="Arial" w:hAnsi="Arial" w:cs="Arial"/>
          <w:b/>
        </w:rPr>
      </w:pPr>
      <w:r w:rsidRPr="00EF4CF0">
        <w:rPr>
          <w:rFonts w:ascii="Arial" w:hAnsi="Arial" w:cs="Arial"/>
          <w:b/>
        </w:rPr>
        <w:t>Antecedentes</w:t>
      </w:r>
    </w:p>
    <w:p w:rsidR="001270CF" w:rsidRDefault="001270CF" w:rsidP="001270CF">
      <w:pPr>
        <w:rPr>
          <w:rFonts w:ascii="Arial" w:hAnsi="Arial" w:cs="Arial"/>
        </w:rPr>
      </w:pPr>
      <w:r>
        <w:rPr>
          <w:rFonts w:ascii="Arial" w:hAnsi="Arial" w:cs="Arial"/>
        </w:rPr>
        <w:t xml:space="preserve">Al 2022, existen 6618 SO inscritos con OC vigente. </w:t>
      </w:r>
    </w:p>
    <w:tbl>
      <w:tblPr>
        <w:tblW w:w="5000" w:type="pct"/>
        <w:tblCellMar>
          <w:left w:w="70" w:type="dxa"/>
          <w:right w:w="70" w:type="dxa"/>
        </w:tblCellMar>
        <w:tblLook w:val="04A0" w:firstRow="1" w:lastRow="0" w:firstColumn="1" w:lastColumn="0" w:noHBand="0" w:noVBand="1"/>
      </w:tblPr>
      <w:tblGrid>
        <w:gridCol w:w="7411"/>
        <w:gridCol w:w="1083"/>
      </w:tblGrid>
      <w:tr w:rsidR="001270CF" w:rsidRPr="00F51A38" w:rsidTr="006C102C">
        <w:trPr>
          <w:trHeight w:val="945"/>
        </w:trPr>
        <w:tc>
          <w:tcPr>
            <w:tcW w:w="4362" w:type="pct"/>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1270CF" w:rsidRPr="00F51A38" w:rsidRDefault="001270CF" w:rsidP="006C102C">
            <w:pPr>
              <w:spacing w:after="0" w:line="240" w:lineRule="auto"/>
              <w:jc w:val="center"/>
              <w:rPr>
                <w:rFonts w:eastAsia="Times New Roman"/>
                <w:b/>
                <w:bCs/>
                <w:color w:val="000000"/>
              </w:rPr>
            </w:pPr>
            <w:r w:rsidRPr="00F51A38">
              <w:rPr>
                <w:rFonts w:eastAsia="Times New Roman"/>
                <w:b/>
                <w:bCs/>
                <w:color w:val="000000"/>
              </w:rPr>
              <w:t xml:space="preserve">Tipo </w:t>
            </w:r>
            <w:r>
              <w:rPr>
                <w:rFonts w:eastAsia="Times New Roman"/>
                <w:b/>
                <w:bCs/>
                <w:color w:val="000000"/>
              </w:rPr>
              <w:t>SO</w:t>
            </w:r>
          </w:p>
        </w:tc>
        <w:tc>
          <w:tcPr>
            <w:tcW w:w="638" w:type="pct"/>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1270CF" w:rsidRPr="00F51A38" w:rsidRDefault="001270CF" w:rsidP="006C102C">
            <w:pPr>
              <w:spacing w:after="0" w:line="240" w:lineRule="auto"/>
              <w:jc w:val="center"/>
              <w:rPr>
                <w:rFonts w:eastAsia="Times New Roman"/>
                <w:b/>
                <w:bCs/>
                <w:color w:val="000000"/>
              </w:rPr>
            </w:pPr>
            <w:r w:rsidRPr="00F51A38">
              <w:rPr>
                <w:rFonts w:eastAsia="Times New Roman"/>
                <w:b/>
                <w:bCs/>
                <w:color w:val="000000"/>
              </w:rPr>
              <w:t xml:space="preserve">Nº de SO con OC vigente </w:t>
            </w:r>
            <w:r w:rsidRPr="00F51A38">
              <w:rPr>
                <w:rFonts w:eastAsia="Times New Roman"/>
                <w:b/>
                <w:bCs/>
                <w:color w:val="000000"/>
              </w:rPr>
              <w:br/>
              <w:t>2022*</w:t>
            </w:r>
          </w:p>
        </w:tc>
      </w:tr>
      <w:tr w:rsidR="001270CF" w:rsidRPr="00F51A38" w:rsidTr="006C102C">
        <w:trPr>
          <w:trHeight w:val="290"/>
        </w:trPr>
        <w:tc>
          <w:tcPr>
            <w:tcW w:w="4362" w:type="pct"/>
            <w:tcBorders>
              <w:top w:val="nil"/>
              <w:left w:val="single" w:sz="4" w:space="0" w:color="auto"/>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rPr>
                <w:rFonts w:eastAsia="Times New Roman"/>
                <w:color w:val="000000"/>
              </w:rPr>
            </w:pPr>
            <w:r w:rsidRPr="00F51A38">
              <w:rPr>
                <w:rFonts w:eastAsia="Times New Roman"/>
                <w:color w:val="000000"/>
              </w:rPr>
              <w:t>CONSTRUCCIÓN</w:t>
            </w:r>
          </w:p>
        </w:tc>
        <w:tc>
          <w:tcPr>
            <w:tcW w:w="638" w:type="pct"/>
            <w:tcBorders>
              <w:top w:val="nil"/>
              <w:left w:val="nil"/>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jc w:val="right"/>
              <w:rPr>
                <w:rFonts w:eastAsia="Times New Roman"/>
                <w:color w:val="000000"/>
              </w:rPr>
            </w:pPr>
            <w:r w:rsidRPr="00F51A38">
              <w:rPr>
                <w:rFonts w:eastAsia="Times New Roman"/>
                <w:color w:val="000000"/>
              </w:rPr>
              <w:t>2299</w:t>
            </w:r>
          </w:p>
        </w:tc>
      </w:tr>
      <w:tr w:rsidR="001270CF" w:rsidRPr="00F51A38" w:rsidTr="006C102C">
        <w:trPr>
          <w:trHeight w:val="290"/>
        </w:trPr>
        <w:tc>
          <w:tcPr>
            <w:tcW w:w="4362" w:type="pct"/>
            <w:tcBorders>
              <w:top w:val="nil"/>
              <w:left w:val="single" w:sz="4" w:space="0" w:color="auto"/>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rPr>
                <w:rFonts w:eastAsia="Times New Roman"/>
                <w:color w:val="000000"/>
              </w:rPr>
            </w:pPr>
            <w:r w:rsidRPr="00F51A38">
              <w:rPr>
                <w:rFonts w:eastAsia="Times New Roman"/>
                <w:color w:val="000000"/>
              </w:rPr>
              <w:t>INMOBILIARIA</w:t>
            </w:r>
          </w:p>
        </w:tc>
        <w:tc>
          <w:tcPr>
            <w:tcW w:w="638" w:type="pct"/>
            <w:tcBorders>
              <w:top w:val="nil"/>
              <w:left w:val="nil"/>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jc w:val="right"/>
              <w:rPr>
                <w:rFonts w:eastAsia="Times New Roman"/>
                <w:color w:val="000000"/>
              </w:rPr>
            </w:pPr>
            <w:r w:rsidRPr="00F51A38">
              <w:rPr>
                <w:rFonts w:eastAsia="Times New Roman"/>
                <w:color w:val="000000"/>
              </w:rPr>
              <w:t>1218</w:t>
            </w:r>
          </w:p>
        </w:tc>
      </w:tr>
      <w:tr w:rsidR="001270CF" w:rsidRPr="00F51A38" w:rsidTr="006C102C">
        <w:trPr>
          <w:trHeight w:val="290"/>
        </w:trPr>
        <w:tc>
          <w:tcPr>
            <w:tcW w:w="4362" w:type="pct"/>
            <w:tcBorders>
              <w:top w:val="nil"/>
              <w:left w:val="single" w:sz="4" w:space="0" w:color="auto"/>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rPr>
                <w:rFonts w:eastAsia="Times New Roman"/>
                <w:color w:val="000000"/>
              </w:rPr>
            </w:pPr>
            <w:r w:rsidRPr="00F51A38">
              <w:rPr>
                <w:rFonts w:eastAsia="Times New Roman"/>
                <w:color w:val="000000"/>
              </w:rPr>
              <w:t>COMPRAVENTA DE DIVISAS</w:t>
            </w:r>
          </w:p>
        </w:tc>
        <w:tc>
          <w:tcPr>
            <w:tcW w:w="638" w:type="pct"/>
            <w:tcBorders>
              <w:top w:val="nil"/>
              <w:left w:val="nil"/>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jc w:val="right"/>
              <w:rPr>
                <w:rFonts w:eastAsia="Times New Roman"/>
                <w:color w:val="000000"/>
              </w:rPr>
            </w:pPr>
            <w:r w:rsidRPr="00F51A38">
              <w:rPr>
                <w:rFonts w:eastAsia="Times New Roman"/>
                <w:color w:val="000000"/>
              </w:rPr>
              <w:t>959</w:t>
            </w:r>
          </w:p>
        </w:tc>
      </w:tr>
      <w:tr w:rsidR="001270CF" w:rsidRPr="00F51A38" w:rsidTr="006C102C">
        <w:trPr>
          <w:trHeight w:val="290"/>
        </w:trPr>
        <w:tc>
          <w:tcPr>
            <w:tcW w:w="4362" w:type="pct"/>
            <w:tcBorders>
              <w:top w:val="nil"/>
              <w:left w:val="single" w:sz="4" w:space="0" w:color="auto"/>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rPr>
                <w:rFonts w:eastAsia="Times New Roman"/>
                <w:color w:val="000000"/>
              </w:rPr>
            </w:pPr>
            <w:r w:rsidRPr="00F51A38">
              <w:rPr>
                <w:rFonts w:eastAsia="Times New Roman"/>
                <w:color w:val="000000"/>
              </w:rPr>
              <w:t>NOTARIOS PÚBLICOS</w:t>
            </w:r>
          </w:p>
        </w:tc>
        <w:tc>
          <w:tcPr>
            <w:tcW w:w="638" w:type="pct"/>
            <w:tcBorders>
              <w:top w:val="nil"/>
              <w:left w:val="nil"/>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jc w:val="right"/>
              <w:rPr>
                <w:rFonts w:eastAsia="Times New Roman"/>
                <w:color w:val="000000"/>
              </w:rPr>
            </w:pPr>
            <w:r w:rsidRPr="00F51A38">
              <w:rPr>
                <w:rFonts w:eastAsia="Times New Roman"/>
                <w:color w:val="000000"/>
              </w:rPr>
              <w:t>538</w:t>
            </w:r>
          </w:p>
        </w:tc>
      </w:tr>
      <w:tr w:rsidR="001270CF" w:rsidRPr="00F51A38" w:rsidTr="006C102C">
        <w:trPr>
          <w:trHeight w:val="290"/>
        </w:trPr>
        <w:tc>
          <w:tcPr>
            <w:tcW w:w="4362" w:type="pct"/>
            <w:tcBorders>
              <w:top w:val="nil"/>
              <w:left w:val="single" w:sz="4" w:space="0" w:color="auto"/>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rPr>
                <w:rFonts w:eastAsia="Times New Roman"/>
                <w:color w:val="000000"/>
              </w:rPr>
            </w:pPr>
            <w:r w:rsidRPr="00F51A38">
              <w:rPr>
                <w:rFonts w:eastAsia="Times New Roman"/>
                <w:color w:val="000000"/>
              </w:rPr>
              <w:t>COMERCIALIZADORES DE ORO</w:t>
            </w:r>
          </w:p>
        </w:tc>
        <w:tc>
          <w:tcPr>
            <w:tcW w:w="638" w:type="pct"/>
            <w:tcBorders>
              <w:top w:val="nil"/>
              <w:left w:val="nil"/>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jc w:val="right"/>
              <w:rPr>
                <w:rFonts w:eastAsia="Times New Roman"/>
                <w:color w:val="000000"/>
              </w:rPr>
            </w:pPr>
            <w:r w:rsidRPr="00F51A38">
              <w:rPr>
                <w:rFonts w:eastAsia="Times New Roman"/>
                <w:color w:val="000000"/>
              </w:rPr>
              <w:t>297</w:t>
            </w:r>
          </w:p>
        </w:tc>
      </w:tr>
      <w:tr w:rsidR="001270CF" w:rsidRPr="00F51A38" w:rsidTr="006C102C">
        <w:trPr>
          <w:trHeight w:val="290"/>
        </w:trPr>
        <w:tc>
          <w:tcPr>
            <w:tcW w:w="4362" w:type="pct"/>
            <w:tcBorders>
              <w:top w:val="nil"/>
              <w:left w:val="single" w:sz="4" w:space="0" w:color="auto"/>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rPr>
                <w:rFonts w:eastAsia="Times New Roman"/>
                <w:color w:val="000000"/>
              </w:rPr>
            </w:pPr>
            <w:r w:rsidRPr="00F51A38">
              <w:rPr>
                <w:rFonts w:eastAsia="Times New Roman"/>
                <w:color w:val="000000"/>
              </w:rPr>
              <w:t>CASINOS Y MÁQUINAS TRAGAMONEDAS</w:t>
            </w:r>
          </w:p>
        </w:tc>
        <w:tc>
          <w:tcPr>
            <w:tcW w:w="638" w:type="pct"/>
            <w:tcBorders>
              <w:top w:val="nil"/>
              <w:left w:val="nil"/>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jc w:val="right"/>
              <w:rPr>
                <w:rFonts w:eastAsia="Times New Roman"/>
                <w:color w:val="000000"/>
              </w:rPr>
            </w:pPr>
            <w:r w:rsidRPr="00F51A38">
              <w:rPr>
                <w:rFonts w:eastAsia="Times New Roman"/>
                <w:color w:val="000000"/>
              </w:rPr>
              <w:t>286</w:t>
            </w:r>
          </w:p>
        </w:tc>
      </w:tr>
      <w:tr w:rsidR="001270CF" w:rsidRPr="00F51A38" w:rsidTr="006C102C">
        <w:trPr>
          <w:trHeight w:val="290"/>
        </w:trPr>
        <w:tc>
          <w:tcPr>
            <w:tcW w:w="4362" w:type="pct"/>
            <w:tcBorders>
              <w:top w:val="nil"/>
              <w:left w:val="single" w:sz="4" w:space="0" w:color="auto"/>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rPr>
                <w:rFonts w:eastAsia="Times New Roman"/>
                <w:color w:val="000000"/>
              </w:rPr>
            </w:pPr>
            <w:r w:rsidRPr="00F51A38">
              <w:rPr>
                <w:rFonts w:eastAsia="Times New Roman"/>
                <w:color w:val="000000"/>
              </w:rPr>
              <w:t>AGENTES INMOBILIARIOS</w:t>
            </w:r>
          </w:p>
        </w:tc>
        <w:tc>
          <w:tcPr>
            <w:tcW w:w="638" w:type="pct"/>
            <w:tcBorders>
              <w:top w:val="nil"/>
              <w:left w:val="nil"/>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jc w:val="right"/>
              <w:rPr>
                <w:rFonts w:eastAsia="Times New Roman"/>
                <w:color w:val="000000"/>
              </w:rPr>
            </w:pPr>
            <w:r w:rsidRPr="00F51A38">
              <w:rPr>
                <w:rFonts w:eastAsia="Times New Roman"/>
                <w:color w:val="000000"/>
              </w:rPr>
              <w:t>262</w:t>
            </w:r>
          </w:p>
        </w:tc>
      </w:tr>
      <w:tr w:rsidR="001270CF" w:rsidRPr="00F51A38" w:rsidTr="006C102C">
        <w:trPr>
          <w:trHeight w:val="290"/>
        </w:trPr>
        <w:tc>
          <w:tcPr>
            <w:tcW w:w="4362" w:type="pct"/>
            <w:tcBorders>
              <w:top w:val="nil"/>
              <w:left w:val="single" w:sz="4" w:space="0" w:color="auto"/>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rPr>
                <w:rFonts w:eastAsia="Times New Roman"/>
                <w:color w:val="000000"/>
              </w:rPr>
            </w:pPr>
            <w:r w:rsidRPr="00F51A38">
              <w:rPr>
                <w:rFonts w:eastAsia="Times New Roman"/>
                <w:color w:val="000000"/>
              </w:rPr>
              <w:t>COOPAC</w:t>
            </w:r>
          </w:p>
        </w:tc>
        <w:tc>
          <w:tcPr>
            <w:tcW w:w="638" w:type="pct"/>
            <w:tcBorders>
              <w:top w:val="nil"/>
              <w:left w:val="nil"/>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jc w:val="right"/>
              <w:rPr>
                <w:rFonts w:eastAsia="Times New Roman"/>
                <w:color w:val="000000"/>
              </w:rPr>
            </w:pPr>
            <w:r w:rsidRPr="00F51A38">
              <w:rPr>
                <w:rFonts w:eastAsia="Times New Roman"/>
                <w:color w:val="000000"/>
              </w:rPr>
              <w:t>249</w:t>
            </w:r>
          </w:p>
        </w:tc>
      </w:tr>
      <w:tr w:rsidR="001270CF" w:rsidRPr="00F51A38" w:rsidTr="006C102C">
        <w:trPr>
          <w:trHeight w:val="290"/>
        </w:trPr>
        <w:tc>
          <w:tcPr>
            <w:tcW w:w="4362" w:type="pct"/>
            <w:tcBorders>
              <w:top w:val="nil"/>
              <w:left w:val="single" w:sz="4" w:space="0" w:color="auto"/>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rPr>
                <w:rFonts w:eastAsia="Times New Roman"/>
                <w:color w:val="000000"/>
              </w:rPr>
            </w:pPr>
            <w:r w:rsidRPr="00F51A38">
              <w:rPr>
                <w:rFonts w:eastAsia="Times New Roman"/>
                <w:color w:val="000000"/>
              </w:rPr>
              <w:t>PRÉSTAMOS Y/O EMPEÑO</w:t>
            </w:r>
          </w:p>
        </w:tc>
        <w:tc>
          <w:tcPr>
            <w:tcW w:w="638" w:type="pct"/>
            <w:tcBorders>
              <w:top w:val="nil"/>
              <w:left w:val="nil"/>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jc w:val="right"/>
              <w:rPr>
                <w:rFonts w:eastAsia="Times New Roman"/>
                <w:color w:val="000000"/>
              </w:rPr>
            </w:pPr>
            <w:r w:rsidRPr="00F51A38">
              <w:rPr>
                <w:rFonts w:eastAsia="Times New Roman"/>
                <w:color w:val="000000"/>
              </w:rPr>
              <w:t>160</w:t>
            </w:r>
          </w:p>
        </w:tc>
      </w:tr>
      <w:tr w:rsidR="001270CF" w:rsidRPr="00F51A38" w:rsidTr="006C102C">
        <w:trPr>
          <w:trHeight w:val="290"/>
        </w:trPr>
        <w:tc>
          <w:tcPr>
            <w:tcW w:w="4362" w:type="pct"/>
            <w:tcBorders>
              <w:top w:val="nil"/>
              <w:left w:val="single" w:sz="4" w:space="0" w:color="auto"/>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rPr>
                <w:rFonts w:eastAsia="Times New Roman"/>
                <w:color w:val="000000"/>
              </w:rPr>
            </w:pPr>
            <w:r w:rsidRPr="00F51A38">
              <w:rPr>
                <w:rFonts w:eastAsia="Times New Roman"/>
                <w:color w:val="000000"/>
              </w:rPr>
              <w:t>COMERCIO DE JOYAS, METALES Y PIEDRAS PRECIOSAS</w:t>
            </w:r>
          </w:p>
        </w:tc>
        <w:tc>
          <w:tcPr>
            <w:tcW w:w="638" w:type="pct"/>
            <w:tcBorders>
              <w:top w:val="nil"/>
              <w:left w:val="nil"/>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jc w:val="right"/>
              <w:rPr>
                <w:rFonts w:eastAsia="Times New Roman"/>
                <w:color w:val="000000"/>
              </w:rPr>
            </w:pPr>
            <w:r w:rsidRPr="00F51A38">
              <w:rPr>
                <w:rFonts w:eastAsia="Times New Roman"/>
                <w:color w:val="000000"/>
              </w:rPr>
              <w:t>136</w:t>
            </w:r>
          </w:p>
        </w:tc>
      </w:tr>
      <w:tr w:rsidR="001270CF" w:rsidRPr="00F51A38" w:rsidTr="006C102C">
        <w:trPr>
          <w:trHeight w:val="290"/>
        </w:trPr>
        <w:tc>
          <w:tcPr>
            <w:tcW w:w="4362" w:type="pct"/>
            <w:tcBorders>
              <w:top w:val="nil"/>
              <w:left w:val="single" w:sz="4" w:space="0" w:color="auto"/>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rPr>
                <w:rFonts w:eastAsia="Times New Roman"/>
                <w:color w:val="000000"/>
              </w:rPr>
            </w:pPr>
            <w:r w:rsidRPr="00F51A38">
              <w:rPr>
                <w:rFonts w:eastAsia="Times New Roman"/>
                <w:color w:val="000000"/>
              </w:rPr>
              <w:t>SOCIEDADES ADMINISTRADORAS DE FONDOS DE INVERSIÓN Y FONDOS MUTUOS</w:t>
            </w:r>
          </w:p>
        </w:tc>
        <w:tc>
          <w:tcPr>
            <w:tcW w:w="638" w:type="pct"/>
            <w:tcBorders>
              <w:top w:val="nil"/>
              <w:left w:val="nil"/>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jc w:val="right"/>
              <w:rPr>
                <w:rFonts w:eastAsia="Times New Roman"/>
                <w:color w:val="000000"/>
              </w:rPr>
            </w:pPr>
            <w:r w:rsidRPr="00F51A38">
              <w:rPr>
                <w:rFonts w:eastAsia="Times New Roman"/>
                <w:color w:val="000000"/>
              </w:rPr>
              <w:t>35</w:t>
            </w:r>
          </w:p>
        </w:tc>
      </w:tr>
      <w:tr w:rsidR="001270CF" w:rsidRPr="00F51A38" w:rsidTr="006C102C">
        <w:trPr>
          <w:trHeight w:val="290"/>
        </w:trPr>
        <w:tc>
          <w:tcPr>
            <w:tcW w:w="4362" w:type="pct"/>
            <w:tcBorders>
              <w:top w:val="nil"/>
              <w:left w:val="single" w:sz="4" w:space="0" w:color="auto"/>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rPr>
                <w:rFonts w:eastAsia="Times New Roman"/>
                <w:color w:val="000000"/>
              </w:rPr>
            </w:pPr>
            <w:r w:rsidRPr="00F51A38">
              <w:rPr>
                <w:rFonts w:eastAsia="Times New Roman"/>
                <w:color w:val="000000"/>
              </w:rPr>
              <w:t>PRESTACIÓN DE SERVICIOS JURÍDICOS</w:t>
            </w:r>
          </w:p>
        </w:tc>
        <w:tc>
          <w:tcPr>
            <w:tcW w:w="638" w:type="pct"/>
            <w:tcBorders>
              <w:top w:val="nil"/>
              <w:left w:val="nil"/>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jc w:val="right"/>
              <w:rPr>
                <w:rFonts w:eastAsia="Times New Roman"/>
                <w:color w:val="000000"/>
              </w:rPr>
            </w:pPr>
            <w:r w:rsidRPr="00F51A38">
              <w:rPr>
                <w:rFonts w:eastAsia="Times New Roman"/>
                <w:color w:val="000000"/>
              </w:rPr>
              <w:t>33</w:t>
            </w:r>
          </w:p>
        </w:tc>
      </w:tr>
      <w:tr w:rsidR="001270CF" w:rsidRPr="00F51A38" w:rsidTr="006C102C">
        <w:trPr>
          <w:trHeight w:val="290"/>
        </w:trPr>
        <w:tc>
          <w:tcPr>
            <w:tcW w:w="4362" w:type="pct"/>
            <w:tcBorders>
              <w:top w:val="nil"/>
              <w:left w:val="single" w:sz="4" w:space="0" w:color="auto"/>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rPr>
                <w:rFonts w:eastAsia="Times New Roman"/>
                <w:color w:val="000000"/>
              </w:rPr>
            </w:pPr>
            <w:r w:rsidRPr="00F51A38">
              <w:rPr>
                <w:rFonts w:eastAsia="Times New Roman"/>
                <w:color w:val="000000"/>
              </w:rPr>
              <w:t>SERVICIO POSTAL DE REMESA Y/O GIRO POSTAL</w:t>
            </w:r>
          </w:p>
        </w:tc>
        <w:tc>
          <w:tcPr>
            <w:tcW w:w="638" w:type="pct"/>
            <w:tcBorders>
              <w:top w:val="nil"/>
              <w:left w:val="nil"/>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jc w:val="right"/>
              <w:rPr>
                <w:rFonts w:eastAsia="Times New Roman"/>
                <w:color w:val="000000"/>
              </w:rPr>
            </w:pPr>
            <w:r w:rsidRPr="00F51A38">
              <w:rPr>
                <w:rFonts w:eastAsia="Times New Roman"/>
                <w:color w:val="000000"/>
              </w:rPr>
              <w:t>24</w:t>
            </w:r>
          </w:p>
        </w:tc>
      </w:tr>
      <w:tr w:rsidR="001270CF" w:rsidRPr="00F51A38" w:rsidTr="006C102C">
        <w:trPr>
          <w:trHeight w:val="290"/>
        </w:trPr>
        <w:tc>
          <w:tcPr>
            <w:tcW w:w="4362" w:type="pct"/>
            <w:tcBorders>
              <w:top w:val="nil"/>
              <w:left w:val="single" w:sz="4" w:space="0" w:color="auto"/>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rPr>
                <w:rFonts w:eastAsia="Times New Roman"/>
                <w:color w:val="000000"/>
              </w:rPr>
            </w:pPr>
            <w:r w:rsidRPr="00F51A38">
              <w:rPr>
                <w:rFonts w:eastAsia="Times New Roman"/>
                <w:color w:val="000000"/>
              </w:rPr>
              <w:t>BANCOS</w:t>
            </w:r>
          </w:p>
        </w:tc>
        <w:tc>
          <w:tcPr>
            <w:tcW w:w="638" w:type="pct"/>
            <w:tcBorders>
              <w:top w:val="nil"/>
              <w:left w:val="nil"/>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jc w:val="right"/>
              <w:rPr>
                <w:rFonts w:eastAsia="Times New Roman"/>
                <w:color w:val="000000"/>
              </w:rPr>
            </w:pPr>
            <w:r w:rsidRPr="00F51A38">
              <w:rPr>
                <w:rFonts w:eastAsia="Times New Roman"/>
                <w:color w:val="000000"/>
              </w:rPr>
              <w:t>20</w:t>
            </w:r>
          </w:p>
        </w:tc>
      </w:tr>
      <w:tr w:rsidR="001270CF" w:rsidRPr="00F51A38" w:rsidTr="006C102C">
        <w:trPr>
          <w:trHeight w:val="290"/>
        </w:trPr>
        <w:tc>
          <w:tcPr>
            <w:tcW w:w="4362" w:type="pct"/>
            <w:tcBorders>
              <w:top w:val="nil"/>
              <w:left w:val="single" w:sz="4" w:space="0" w:color="auto"/>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rPr>
                <w:rFonts w:eastAsia="Times New Roman"/>
                <w:color w:val="000000"/>
              </w:rPr>
            </w:pPr>
            <w:r w:rsidRPr="00F51A38">
              <w:rPr>
                <w:rFonts w:eastAsia="Times New Roman"/>
                <w:color w:val="000000"/>
              </w:rPr>
              <w:t>EMPRESAS DE SEGUROS Y REASEGUROS</w:t>
            </w:r>
          </w:p>
        </w:tc>
        <w:tc>
          <w:tcPr>
            <w:tcW w:w="638" w:type="pct"/>
            <w:tcBorders>
              <w:top w:val="nil"/>
              <w:left w:val="nil"/>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jc w:val="right"/>
              <w:rPr>
                <w:rFonts w:eastAsia="Times New Roman"/>
                <w:color w:val="000000"/>
              </w:rPr>
            </w:pPr>
            <w:r w:rsidRPr="00F51A38">
              <w:rPr>
                <w:rFonts w:eastAsia="Times New Roman"/>
                <w:color w:val="000000"/>
              </w:rPr>
              <w:t>17</w:t>
            </w:r>
          </w:p>
        </w:tc>
      </w:tr>
      <w:tr w:rsidR="001270CF" w:rsidRPr="00F51A38" w:rsidTr="006C102C">
        <w:trPr>
          <w:trHeight w:val="290"/>
        </w:trPr>
        <w:tc>
          <w:tcPr>
            <w:tcW w:w="4362" w:type="pct"/>
            <w:tcBorders>
              <w:top w:val="nil"/>
              <w:left w:val="single" w:sz="4" w:space="0" w:color="auto"/>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rPr>
                <w:rFonts w:eastAsia="Times New Roman"/>
                <w:color w:val="000000"/>
              </w:rPr>
            </w:pPr>
            <w:r w:rsidRPr="00F51A38">
              <w:rPr>
                <w:rFonts w:eastAsia="Times New Roman"/>
                <w:color w:val="000000"/>
              </w:rPr>
              <w:t>CAJAS MUNICIPALES DE AHORRO Y CRÉDITO</w:t>
            </w:r>
          </w:p>
        </w:tc>
        <w:tc>
          <w:tcPr>
            <w:tcW w:w="638" w:type="pct"/>
            <w:tcBorders>
              <w:top w:val="nil"/>
              <w:left w:val="nil"/>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jc w:val="right"/>
              <w:rPr>
                <w:rFonts w:eastAsia="Times New Roman"/>
                <w:color w:val="000000"/>
              </w:rPr>
            </w:pPr>
            <w:r w:rsidRPr="00F51A38">
              <w:rPr>
                <w:rFonts w:eastAsia="Times New Roman"/>
                <w:color w:val="000000"/>
              </w:rPr>
              <w:t>12</w:t>
            </w:r>
          </w:p>
        </w:tc>
      </w:tr>
      <w:tr w:rsidR="001270CF" w:rsidRPr="00F51A38" w:rsidTr="006C102C">
        <w:trPr>
          <w:trHeight w:val="290"/>
        </w:trPr>
        <w:tc>
          <w:tcPr>
            <w:tcW w:w="4362" w:type="pct"/>
            <w:tcBorders>
              <w:top w:val="nil"/>
              <w:left w:val="single" w:sz="4" w:space="0" w:color="auto"/>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rPr>
                <w:rFonts w:eastAsia="Times New Roman"/>
                <w:color w:val="000000"/>
              </w:rPr>
            </w:pPr>
            <w:r w:rsidRPr="00F51A38">
              <w:rPr>
                <w:rFonts w:eastAsia="Times New Roman"/>
                <w:color w:val="000000"/>
              </w:rPr>
              <w:t>EMPRESAS FINANCIERAS</w:t>
            </w:r>
          </w:p>
        </w:tc>
        <w:tc>
          <w:tcPr>
            <w:tcW w:w="638" w:type="pct"/>
            <w:tcBorders>
              <w:top w:val="nil"/>
              <w:left w:val="nil"/>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jc w:val="right"/>
              <w:rPr>
                <w:rFonts w:eastAsia="Times New Roman"/>
                <w:color w:val="000000"/>
              </w:rPr>
            </w:pPr>
            <w:r w:rsidRPr="00F51A38">
              <w:rPr>
                <w:rFonts w:eastAsia="Times New Roman"/>
                <w:color w:val="000000"/>
              </w:rPr>
              <w:t>10</w:t>
            </w:r>
          </w:p>
        </w:tc>
      </w:tr>
      <w:tr w:rsidR="001270CF" w:rsidRPr="00F51A38" w:rsidTr="006C102C">
        <w:trPr>
          <w:trHeight w:val="290"/>
        </w:trPr>
        <w:tc>
          <w:tcPr>
            <w:tcW w:w="4362" w:type="pct"/>
            <w:tcBorders>
              <w:top w:val="nil"/>
              <w:left w:val="single" w:sz="4" w:space="0" w:color="auto"/>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rPr>
                <w:rFonts w:eastAsia="Times New Roman"/>
                <w:color w:val="000000"/>
              </w:rPr>
            </w:pPr>
            <w:r w:rsidRPr="00F51A38">
              <w:rPr>
                <w:rFonts w:eastAsia="Times New Roman"/>
                <w:color w:val="000000"/>
              </w:rPr>
              <w:t>JUEGOS Y/O APUESTAS DEPORTIVAS A DISTANCIA</w:t>
            </w:r>
          </w:p>
        </w:tc>
        <w:tc>
          <w:tcPr>
            <w:tcW w:w="638" w:type="pct"/>
            <w:tcBorders>
              <w:top w:val="nil"/>
              <w:left w:val="nil"/>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jc w:val="right"/>
              <w:rPr>
                <w:rFonts w:eastAsia="Times New Roman"/>
                <w:color w:val="000000"/>
              </w:rPr>
            </w:pPr>
            <w:r w:rsidRPr="00F51A38">
              <w:rPr>
                <w:rFonts w:eastAsia="Times New Roman"/>
                <w:color w:val="000000"/>
              </w:rPr>
              <w:t>9</w:t>
            </w:r>
          </w:p>
        </w:tc>
      </w:tr>
      <w:tr w:rsidR="001270CF" w:rsidRPr="00F51A38" w:rsidTr="006C102C">
        <w:trPr>
          <w:trHeight w:val="290"/>
        </w:trPr>
        <w:tc>
          <w:tcPr>
            <w:tcW w:w="4362" w:type="pct"/>
            <w:tcBorders>
              <w:top w:val="nil"/>
              <w:left w:val="single" w:sz="4" w:space="0" w:color="auto"/>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rPr>
                <w:rFonts w:eastAsia="Times New Roman"/>
                <w:color w:val="000000"/>
              </w:rPr>
            </w:pPr>
            <w:r w:rsidRPr="00F51A38">
              <w:rPr>
                <w:rFonts w:eastAsia="Times New Roman"/>
                <w:color w:val="000000"/>
              </w:rPr>
              <w:t>SOCIEDADES TITULIZADORAS</w:t>
            </w:r>
          </w:p>
        </w:tc>
        <w:tc>
          <w:tcPr>
            <w:tcW w:w="638" w:type="pct"/>
            <w:tcBorders>
              <w:top w:val="nil"/>
              <w:left w:val="nil"/>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jc w:val="right"/>
              <w:rPr>
                <w:rFonts w:eastAsia="Times New Roman"/>
                <w:color w:val="000000"/>
              </w:rPr>
            </w:pPr>
            <w:r w:rsidRPr="00F51A38">
              <w:rPr>
                <w:rFonts w:eastAsia="Times New Roman"/>
                <w:color w:val="000000"/>
              </w:rPr>
              <w:t>8</w:t>
            </w:r>
          </w:p>
        </w:tc>
      </w:tr>
      <w:tr w:rsidR="001270CF" w:rsidRPr="00F51A38" w:rsidTr="006C102C">
        <w:trPr>
          <w:trHeight w:val="290"/>
        </w:trPr>
        <w:tc>
          <w:tcPr>
            <w:tcW w:w="4362" w:type="pct"/>
            <w:tcBorders>
              <w:top w:val="nil"/>
              <w:left w:val="single" w:sz="4" w:space="0" w:color="auto"/>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rPr>
                <w:rFonts w:eastAsia="Times New Roman"/>
                <w:color w:val="000000"/>
              </w:rPr>
            </w:pPr>
            <w:r w:rsidRPr="00F51A38">
              <w:rPr>
                <w:rFonts w:eastAsia="Times New Roman"/>
                <w:color w:val="000000"/>
              </w:rPr>
              <w:t>EMPRESAS ADMINISTRADORAS DE FONDOS COLECTIVOS</w:t>
            </w:r>
          </w:p>
        </w:tc>
        <w:tc>
          <w:tcPr>
            <w:tcW w:w="638" w:type="pct"/>
            <w:tcBorders>
              <w:top w:val="nil"/>
              <w:left w:val="nil"/>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jc w:val="right"/>
              <w:rPr>
                <w:rFonts w:eastAsia="Times New Roman"/>
                <w:color w:val="000000"/>
              </w:rPr>
            </w:pPr>
            <w:r w:rsidRPr="00F51A38">
              <w:rPr>
                <w:rFonts w:eastAsia="Times New Roman"/>
                <w:color w:val="000000"/>
              </w:rPr>
              <w:t>7</w:t>
            </w:r>
          </w:p>
        </w:tc>
      </w:tr>
      <w:tr w:rsidR="001270CF" w:rsidRPr="00F51A38" w:rsidTr="006C102C">
        <w:trPr>
          <w:trHeight w:val="290"/>
        </w:trPr>
        <w:tc>
          <w:tcPr>
            <w:tcW w:w="4362" w:type="pct"/>
            <w:tcBorders>
              <w:top w:val="nil"/>
              <w:left w:val="single" w:sz="4" w:space="0" w:color="auto"/>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rPr>
                <w:rFonts w:eastAsia="Times New Roman"/>
                <w:color w:val="000000"/>
              </w:rPr>
            </w:pPr>
            <w:r w:rsidRPr="00F51A38">
              <w:rPr>
                <w:rFonts w:eastAsia="Times New Roman"/>
                <w:color w:val="000000"/>
              </w:rPr>
              <w:t>CAJAS RURALES DE AHORRO Y CRÉDITO</w:t>
            </w:r>
          </w:p>
        </w:tc>
        <w:tc>
          <w:tcPr>
            <w:tcW w:w="638" w:type="pct"/>
            <w:tcBorders>
              <w:top w:val="nil"/>
              <w:left w:val="nil"/>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jc w:val="right"/>
              <w:rPr>
                <w:rFonts w:eastAsia="Times New Roman"/>
                <w:color w:val="000000"/>
              </w:rPr>
            </w:pPr>
            <w:r w:rsidRPr="00F51A38">
              <w:rPr>
                <w:rFonts w:eastAsia="Times New Roman"/>
                <w:color w:val="000000"/>
              </w:rPr>
              <w:t>6</w:t>
            </w:r>
          </w:p>
        </w:tc>
      </w:tr>
      <w:tr w:rsidR="001270CF" w:rsidRPr="00F51A38" w:rsidTr="006C102C">
        <w:trPr>
          <w:trHeight w:val="290"/>
        </w:trPr>
        <w:tc>
          <w:tcPr>
            <w:tcW w:w="4362" w:type="pct"/>
            <w:tcBorders>
              <w:top w:val="nil"/>
              <w:left w:val="single" w:sz="4" w:space="0" w:color="auto"/>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rPr>
                <w:rFonts w:eastAsia="Times New Roman"/>
                <w:color w:val="000000"/>
              </w:rPr>
            </w:pPr>
            <w:r w:rsidRPr="00F51A38">
              <w:rPr>
                <w:rFonts w:eastAsia="Times New Roman"/>
                <w:color w:val="000000"/>
              </w:rPr>
              <w:lastRenderedPageBreak/>
              <w:t>EMPRESAS DE TRANSFERENCIA DE FONDOS</w:t>
            </w:r>
          </w:p>
        </w:tc>
        <w:tc>
          <w:tcPr>
            <w:tcW w:w="638" w:type="pct"/>
            <w:tcBorders>
              <w:top w:val="nil"/>
              <w:left w:val="nil"/>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jc w:val="right"/>
              <w:rPr>
                <w:rFonts w:eastAsia="Times New Roman"/>
                <w:color w:val="000000"/>
              </w:rPr>
            </w:pPr>
            <w:r w:rsidRPr="00F51A38">
              <w:rPr>
                <w:rFonts w:eastAsia="Times New Roman"/>
                <w:color w:val="000000"/>
              </w:rPr>
              <w:t>5</w:t>
            </w:r>
          </w:p>
        </w:tc>
      </w:tr>
      <w:tr w:rsidR="001270CF" w:rsidRPr="00F51A38" w:rsidTr="006C102C">
        <w:trPr>
          <w:trHeight w:val="290"/>
        </w:trPr>
        <w:tc>
          <w:tcPr>
            <w:tcW w:w="4362" w:type="pct"/>
            <w:tcBorders>
              <w:top w:val="nil"/>
              <w:left w:val="single" w:sz="4" w:space="0" w:color="auto"/>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rPr>
                <w:rFonts w:eastAsia="Times New Roman"/>
                <w:color w:val="000000"/>
              </w:rPr>
            </w:pPr>
            <w:r w:rsidRPr="00F51A38">
              <w:rPr>
                <w:rFonts w:eastAsia="Times New Roman"/>
                <w:color w:val="000000"/>
              </w:rPr>
              <w:t>PRESTACIÓN DE SERVICIOS CONTABLES</w:t>
            </w:r>
          </w:p>
        </w:tc>
        <w:tc>
          <w:tcPr>
            <w:tcW w:w="638" w:type="pct"/>
            <w:tcBorders>
              <w:top w:val="nil"/>
              <w:left w:val="nil"/>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jc w:val="right"/>
              <w:rPr>
                <w:rFonts w:eastAsia="Times New Roman"/>
                <w:color w:val="000000"/>
              </w:rPr>
            </w:pPr>
            <w:r w:rsidRPr="00F51A38">
              <w:rPr>
                <w:rFonts w:eastAsia="Times New Roman"/>
                <w:color w:val="000000"/>
              </w:rPr>
              <w:t>5</w:t>
            </w:r>
          </w:p>
        </w:tc>
      </w:tr>
      <w:tr w:rsidR="001270CF" w:rsidRPr="00F51A38" w:rsidTr="006C102C">
        <w:trPr>
          <w:trHeight w:val="290"/>
        </w:trPr>
        <w:tc>
          <w:tcPr>
            <w:tcW w:w="4362" w:type="pct"/>
            <w:tcBorders>
              <w:top w:val="nil"/>
              <w:left w:val="single" w:sz="4" w:space="0" w:color="auto"/>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rPr>
                <w:rFonts w:eastAsia="Times New Roman"/>
                <w:color w:val="000000"/>
              </w:rPr>
            </w:pPr>
            <w:r w:rsidRPr="00F51A38">
              <w:rPr>
                <w:rFonts w:eastAsia="Times New Roman"/>
                <w:color w:val="000000"/>
              </w:rPr>
              <w:t>ADMINISTRADORAS PRIVADAS DE FONDOS DE PENSIONES</w:t>
            </w:r>
          </w:p>
        </w:tc>
        <w:tc>
          <w:tcPr>
            <w:tcW w:w="638" w:type="pct"/>
            <w:tcBorders>
              <w:top w:val="nil"/>
              <w:left w:val="nil"/>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jc w:val="right"/>
              <w:rPr>
                <w:rFonts w:eastAsia="Times New Roman"/>
                <w:color w:val="000000"/>
              </w:rPr>
            </w:pPr>
            <w:r w:rsidRPr="00F51A38">
              <w:rPr>
                <w:rFonts w:eastAsia="Times New Roman"/>
                <w:color w:val="000000"/>
              </w:rPr>
              <w:t>4</w:t>
            </w:r>
          </w:p>
        </w:tc>
      </w:tr>
      <w:tr w:rsidR="001270CF" w:rsidRPr="00F51A38" w:rsidTr="006C102C">
        <w:trPr>
          <w:trHeight w:val="290"/>
        </w:trPr>
        <w:tc>
          <w:tcPr>
            <w:tcW w:w="4362" w:type="pct"/>
            <w:tcBorders>
              <w:top w:val="nil"/>
              <w:left w:val="single" w:sz="4" w:space="0" w:color="auto"/>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rPr>
                <w:rFonts w:eastAsia="Times New Roman"/>
                <w:color w:val="000000"/>
              </w:rPr>
            </w:pPr>
            <w:r w:rsidRPr="00F51A38">
              <w:rPr>
                <w:rFonts w:eastAsia="Times New Roman"/>
                <w:color w:val="000000"/>
              </w:rPr>
              <w:t>EDPYMES</w:t>
            </w:r>
          </w:p>
        </w:tc>
        <w:tc>
          <w:tcPr>
            <w:tcW w:w="638" w:type="pct"/>
            <w:tcBorders>
              <w:top w:val="nil"/>
              <w:left w:val="nil"/>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jc w:val="right"/>
              <w:rPr>
                <w:rFonts w:eastAsia="Times New Roman"/>
                <w:color w:val="000000"/>
              </w:rPr>
            </w:pPr>
            <w:r w:rsidRPr="00F51A38">
              <w:rPr>
                <w:rFonts w:eastAsia="Times New Roman"/>
                <w:color w:val="000000"/>
              </w:rPr>
              <w:t>4</w:t>
            </w:r>
          </w:p>
        </w:tc>
      </w:tr>
      <w:tr w:rsidR="001270CF" w:rsidRPr="00F51A38" w:rsidTr="006C102C">
        <w:trPr>
          <w:trHeight w:val="290"/>
        </w:trPr>
        <w:tc>
          <w:tcPr>
            <w:tcW w:w="4362" w:type="pct"/>
            <w:tcBorders>
              <w:top w:val="nil"/>
              <w:left w:val="single" w:sz="4" w:space="0" w:color="auto"/>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rPr>
                <w:rFonts w:eastAsia="Times New Roman"/>
                <w:color w:val="000000"/>
              </w:rPr>
            </w:pPr>
            <w:r w:rsidRPr="00F51A38">
              <w:rPr>
                <w:rFonts w:eastAsia="Times New Roman"/>
                <w:color w:val="000000"/>
              </w:rPr>
              <w:t>EMPRESAS EMISORAS DE DINERO ELECTRÓNICO</w:t>
            </w:r>
          </w:p>
        </w:tc>
        <w:tc>
          <w:tcPr>
            <w:tcW w:w="638" w:type="pct"/>
            <w:tcBorders>
              <w:top w:val="nil"/>
              <w:left w:val="nil"/>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jc w:val="right"/>
              <w:rPr>
                <w:rFonts w:eastAsia="Times New Roman"/>
                <w:color w:val="000000"/>
              </w:rPr>
            </w:pPr>
            <w:r w:rsidRPr="00F51A38">
              <w:rPr>
                <w:rFonts w:eastAsia="Times New Roman"/>
                <w:color w:val="000000"/>
              </w:rPr>
              <w:t>4</w:t>
            </w:r>
          </w:p>
        </w:tc>
      </w:tr>
      <w:tr w:rsidR="001270CF" w:rsidRPr="00F51A38" w:rsidTr="006C102C">
        <w:trPr>
          <w:trHeight w:val="290"/>
        </w:trPr>
        <w:tc>
          <w:tcPr>
            <w:tcW w:w="4362" w:type="pct"/>
            <w:tcBorders>
              <w:top w:val="nil"/>
              <w:left w:val="single" w:sz="4" w:space="0" w:color="auto"/>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rPr>
                <w:rFonts w:eastAsia="Times New Roman"/>
                <w:color w:val="000000"/>
              </w:rPr>
            </w:pPr>
            <w:r w:rsidRPr="00F51A38">
              <w:rPr>
                <w:rFonts w:eastAsia="Times New Roman"/>
                <w:color w:val="000000"/>
              </w:rPr>
              <w:t>EMPRESAS DE SERVICIOS FIDUCIARIOS</w:t>
            </w:r>
          </w:p>
        </w:tc>
        <w:tc>
          <w:tcPr>
            <w:tcW w:w="638" w:type="pct"/>
            <w:tcBorders>
              <w:top w:val="nil"/>
              <w:left w:val="nil"/>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jc w:val="right"/>
              <w:rPr>
                <w:rFonts w:eastAsia="Times New Roman"/>
                <w:color w:val="000000"/>
              </w:rPr>
            </w:pPr>
            <w:r w:rsidRPr="00F51A38">
              <w:rPr>
                <w:rFonts w:eastAsia="Times New Roman"/>
                <w:color w:val="000000"/>
              </w:rPr>
              <w:t>3</w:t>
            </w:r>
          </w:p>
        </w:tc>
      </w:tr>
      <w:tr w:rsidR="001270CF" w:rsidRPr="00F51A38" w:rsidTr="006C102C">
        <w:trPr>
          <w:trHeight w:val="290"/>
        </w:trPr>
        <w:tc>
          <w:tcPr>
            <w:tcW w:w="4362" w:type="pct"/>
            <w:tcBorders>
              <w:top w:val="nil"/>
              <w:left w:val="single" w:sz="4" w:space="0" w:color="auto"/>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rPr>
                <w:rFonts w:eastAsia="Times New Roman"/>
                <w:color w:val="000000"/>
              </w:rPr>
            </w:pPr>
            <w:r w:rsidRPr="00F51A38">
              <w:rPr>
                <w:rFonts w:eastAsia="Times New Roman"/>
                <w:color w:val="000000"/>
              </w:rPr>
              <w:t>EMPRESAS DE TRANSPORTE, CUSTODIA Y ADMINISTRACIÓN DE NUMERARIO</w:t>
            </w:r>
          </w:p>
        </w:tc>
        <w:tc>
          <w:tcPr>
            <w:tcW w:w="638" w:type="pct"/>
            <w:tcBorders>
              <w:top w:val="nil"/>
              <w:left w:val="nil"/>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jc w:val="right"/>
              <w:rPr>
                <w:rFonts w:eastAsia="Times New Roman"/>
                <w:color w:val="000000"/>
              </w:rPr>
            </w:pPr>
            <w:r w:rsidRPr="00F51A38">
              <w:rPr>
                <w:rFonts w:eastAsia="Times New Roman"/>
                <w:color w:val="000000"/>
              </w:rPr>
              <w:t>2</w:t>
            </w:r>
          </w:p>
        </w:tc>
      </w:tr>
      <w:tr w:rsidR="001270CF" w:rsidRPr="00F51A38" w:rsidTr="006C102C">
        <w:trPr>
          <w:trHeight w:val="290"/>
        </w:trPr>
        <w:tc>
          <w:tcPr>
            <w:tcW w:w="4362" w:type="pct"/>
            <w:tcBorders>
              <w:top w:val="nil"/>
              <w:left w:val="single" w:sz="4" w:space="0" w:color="auto"/>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rPr>
                <w:rFonts w:eastAsia="Times New Roman"/>
                <w:color w:val="000000"/>
              </w:rPr>
            </w:pPr>
            <w:r w:rsidRPr="00F51A38">
              <w:rPr>
                <w:rFonts w:eastAsia="Times New Roman"/>
                <w:color w:val="000000"/>
              </w:rPr>
              <w:t>ABOGADOS</w:t>
            </w:r>
          </w:p>
        </w:tc>
        <w:tc>
          <w:tcPr>
            <w:tcW w:w="638" w:type="pct"/>
            <w:tcBorders>
              <w:top w:val="nil"/>
              <w:left w:val="nil"/>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jc w:val="right"/>
              <w:rPr>
                <w:rFonts w:eastAsia="Times New Roman"/>
                <w:color w:val="000000"/>
              </w:rPr>
            </w:pPr>
            <w:r w:rsidRPr="00F51A38">
              <w:rPr>
                <w:rFonts w:eastAsia="Times New Roman"/>
                <w:color w:val="000000"/>
              </w:rPr>
              <w:t>1</w:t>
            </w:r>
          </w:p>
        </w:tc>
      </w:tr>
      <w:tr w:rsidR="001270CF" w:rsidRPr="00F51A38" w:rsidTr="006C102C">
        <w:trPr>
          <w:trHeight w:val="290"/>
        </w:trPr>
        <w:tc>
          <w:tcPr>
            <w:tcW w:w="4362" w:type="pct"/>
            <w:tcBorders>
              <w:top w:val="nil"/>
              <w:left w:val="single" w:sz="4" w:space="0" w:color="auto"/>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rPr>
                <w:rFonts w:eastAsia="Times New Roman"/>
                <w:color w:val="000000"/>
              </w:rPr>
            </w:pPr>
            <w:r w:rsidRPr="00F51A38">
              <w:rPr>
                <w:rFonts w:eastAsia="Times New Roman"/>
                <w:color w:val="000000"/>
              </w:rPr>
              <w:t>BANCOS DE INVERSIÓN</w:t>
            </w:r>
          </w:p>
        </w:tc>
        <w:tc>
          <w:tcPr>
            <w:tcW w:w="638" w:type="pct"/>
            <w:tcBorders>
              <w:top w:val="nil"/>
              <w:left w:val="nil"/>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jc w:val="right"/>
              <w:rPr>
                <w:rFonts w:eastAsia="Times New Roman"/>
                <w:color w:val="000000"/>
              </w:rPr>
            </w:pPr>
            <w:r w:rsidRPr="00F51A38">
              <w:rPr>
                <w:rFonts w:eastAsia="Times New Roman"/>
                <w:color w:val="000000"/>
              </w:rPr>
              <w:t>1</w:t>
            </w:r>
          </w:p>
        </w:tc>
      </w:tr>
      <w:tr w:rsidR="001270CF" w:rsidRPr="00F51A38" w:rsidTr="006C102C">
        <w:trPr>
          <w:trHeight w:val="290"/>
        </w:trPr>
        <w:tc>
          <w:tcPr>
            <w:tcW w:w="4362" w:type="pct"/>
            <w:tcBorders>
              <w:top w:val="nil"/>
              <w:left w:val="single" w:sz="4" w:space="0" w:color="auto"/>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rPr>
                <w:rFonts w:eastAsia="Times New Roman"/>
                <w:color w:val="000000"/>
              </w:rPr>
            </w:pPr>
            <w:r w:rsidRPr="00F51A38">
              <w:rPr>
                <w:rFonts w:eastAsia="Times New Roman"/>
                <w:color w:val="000000"/>
              </w:rPr>
              <w:t>BOLSAS DE VALORES Y OTROS MECANISMOS CENTRALIZADOS DE NEGOCIACIÓN</w:t>
            </w:r>
          </w:p>
        </w:tc>
        <w:tc>
          <w:tcPr>
            <w:tcW w:w="638" w:type="pct"/>
            <w:tcBorders>
              <w:top w:val="nil"/>
              <w:left w:val="nil"/>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jc w:val="right"/>
              <w:rPr>
                <w:rFonts w:eastAsia="Times New Roman"/>
                <w:color w:val="000000"/>
              </w:rPr>
            </w:pPr>
            <w:r w:rsidRPr="00F51A38">
              <w:rPr>
                <w:rFonts w:eastAsia="Times New Roman"/>
                <w:color w:val="000000"/>
              </w:rPr>
              <w:t>1</w:t>
            </w:r>
          </w:p>
        </w:tc>
      </w:tr>
      <w:tr w:rsidR="001270CF" w:rsidRPr="00F51A38" w:rsidTr="006C102C">
        <w:trPr>
          <w:trHeight w:val="290"/>
        </w:trPr>
        <w:tc>
          <w:tcPr>
            <w:tcW w:w="4362" w:type="pct"/>
            <w:tcBorders>
              <w:top w:val="nil"/>
              <w:left w:val="single" w:sz="4" w:space="0" w:color="auto"/>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rPr>
                <w:rFonts w:eastAsia="Times New Roman"/>
                <w:color w:val="000000"/>
              </w:rPr>
            </w:pPr>
            <w:r w:rsidRPr="00F51A38">
              <w:rPr>
                <w:rFonts w:eastAsia="Times New Roman"/>
                <w:color w:val="000000"/>
              </w:rPr>
              <w:t>CONTADORES PÚBLICOS</w:t>
            </w:r>
          </w:p>
        </w:tc>
        <w:tc>
          <w:tcPr>
            <w:tcW w:w="638" w:type="pct"/>
            <w:tcBorders>
              <w:top w:val="nil"/>
              <w:left w:val="nil"/>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jc w:val="right"/>
              <w:rPr>
                <w:rFonts w:eastAsia="Times New Roman"/>
                <w:color w:val="000000"/>
              </w:rPr>
            </w:pPr>
            <w:r w:rsidRPr="00F51A38">
              <w:rPr>
                <w:rFonts w:eastAsia="Times New Roman"/>
                <w:color w:val="000000"/>
              </w:rPr>
              <w:t>1</w:t>
            </w:r>
          </w:p>
        </w:tc>
      </w:tr>
      <w:tr w:rsidR="001270CF" w:rsidRPr="00F51A38" w:rsidTr="006C102C">
        <w:trPr>
          <w:trHeight w:val="290"/>
        </w:trPr>
        <w:tc>
          <w:tcPr>
            <w:tcW w:w="4362" w:type="pct"/>
            <w:tcBorders>
              <w:top w:val="nil"/>
              <w:left w:val="single" w:sz="4" w:space="0" w:color="auto"/>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rPr>
                <w:rFonts w:eastAsia="Times New Roman"/>
                <w:color w:val="000000"/>
              </w:rPr>
            </w:pPr>
            <w:r w:rsidRPr="00F51A38">
              <w:rPr>
                <w:rFonts w:eastAsia="Times New Roman"/>
                <w:color w:val="000000"/>
              </w:rPr>
              <w:t>EMPRESAS AFIANZADORAS Y DE GARANTÍAS</w:t>
            </w:r>
          </w:p>
        </w:tc>
        <w:tc>
          <w:tcPr>
            <w:tcW w:w="638" w:type="pct"/>
            <w:tcBorders>
              <w:top w:val="nil"/>
              <w:left w:val="nil"/>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jc w:val="right"/>
              <w:rPr>
                <w:rFonts w:eastAsia="Times New Roman"/>
                <w:color w:val="000000"/>
              </w:rPr>
            </w:pPr>
            <w:r w:rsidRPr="00F51A38">
              <w:rPr>
                <w:rFonts w:eastAsia="Times New Roman"/>
                <w:color w:val="000000"/>
              </w:rPr>
              <w:t>1</w:t>
            </w:r>
          </w:p>
        </w:tc>
      </w:tr>
      <w:tr w:rsidR="001270CF" w:rsidRPr="00F51A38" w:rsidTr="006C102C">
        <w:trPr>
          <w:trHeight w:val="290"/>
        </w:trPr>
        <w:tc>
          <w:tcPr>
            <w:tcW w:w="4362" w:type="pct"/>
            <w:tcBorders>
              <w:top w:val="nil"/>
              <w:left w:val="single" w:sz="4" w:space="0" w:color="auto"/>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rPr>
                <w:rFonts w:eastAsia="Times New Roman"/>
                <w:color w:val="000000"/>
              </w:rPr>
            </w:pPr>
            <w:r w:rsidRPr="00F51A38">
              <w:rPr>
                <w:rFonts w:eastAsia="Times New Roman"/>
                <w:color w:val="000000"/>
              </w:rPr>
              <w:t>INSTITUCIONES DE COMPENSACIÓN Y LIQUIDACIÓN DE VALORES</w:t>
            </w:r>
          </w:p>
        </w:tc>
        <w:tc>
          <w:tcPr>
            <w:tcW w:w="638" w:type="pct"/>
            <w:tcBorders>
              <w:top w:val="nil"/>
              <w:left w:val="nil"/>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jc w:val="right"/>
              <w:rPr>
                <w:rFonts w:eastAsia="Times New Roman"/>
                <w:color w:val="000000"/>
              </w:rPr>
            </w:pPr>
            <w:r w:rsidRPr="00F51A38">
              <w:rPr>
                <w:rFonts w:eastAsia="Times New Roman"/>
                <w:color w:val="000000"/>
              </w:rPr>
              <w:t>1</w:t>
            </w:r>
          </w:p>
        </w:tc>
      </w:tr>
      <w:tr w:rsidR="001270CF" w:rsidRPr="00F51A38" w:rsidTr="006C102C">
        <w:trPr>
          <w:trHeight w:val="290"/>
        </w:trPr>
        <w:tc>
          <w:tcPr>
            <w:tcW w:w="4362" w:type="pct"/>
            <w:tcBorders>
              <w:top w:val="nil"/>
              <w:left w:val="single" w:sz="4" w:space="0" w:color="auto"/>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rPr>
                <w:rFonts w:eastAsia="Times New Roman"/>
                <w:color w:val="000000"/>
              </w:rPr>
            </w:pPr>
            <w:r w:rsidRPr="00F51A38">
              <w:rPr>
                <w:rFonts w:eastAsia="Times New Roman"/>
                <w:color w:val="000000"/>
              </w:rPr>
              <w:t>EMPRESAS DE ARRENDAMIENTO FINANCIERO</w:t>
            </w:r>
          </w:p>
        </w:tc>
        <w:tc>
          <w:tcPr>
            <w:tcW w:w="638" w:type="pct"/>
            <w:tcBorders>
              <w:top w:val="nil"/>
              <w:left w:val="nil"/>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jc w:val="right"/>
              <w:rPr>
                <w:rFonts w:eastAsia="Times New Roman"/>
                <w:color w:val="000000"/>
              </w:rPr>
            </w:pPr>
            <w:r w:rsidRPr="00F51A38">
              <w:rPr>
                <w:rFonts w:eastAsia="Times New Roman"/>
                <w:color w:val="000000"/>
              </w:rPr>
              <w:t>0</w:t>
            </w:r>
          </w:p>
        </w:tc>
      </w:tr>
      <w:tr w:rsidR="001270CF" w:rsidRPr="00F51A38" w:rsidTr="006C102C">
        <w:trPr>
          <w:trHeight w:val="290"/>
        </w:trPr>
        <w:tc>
          <w:tcPr>
            <w:tcW w:w="4362" w:type="pct"/>
            <w:tcBorders>
              <w:top w:val="nil"/>
              <w:left w:val="single" w:sz="4" w:space="0" w:color="auto"/>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rPr>
                <w:rFonts w:eastAsia="Times New Roman"/>
                <w:color w:val="000000"/>
              </w:rPr>
            </w:pPr>
            <w:r w:rsidRPr="00F51A38">
              <w:rPr>
                <w:rFonts w:eastAsia="Times New Roman"/>
                <w:color w:val="000000"/>
              </w:rPr>
              <w:t>EMPRESAS EMISORAS DE TARJETAS DE CRÉDITO Y/O DÉBITO</w:t>
            </w:r>
          </w:p>
        </w:tc>
        <w:tc>
          <w:tcPr>
            <w:tcW w:w="638" w:type="pct"/>
            <w:tcBorders>
              <w:top w:val="nil"/>
              <w:left w:val="nil"/>
              <w:bottom w:val="single" w:sz="4" w:space="0" w:color="auto"/>
              <w:right w:val="single" w:sz="4" w:space="0" w:color="auto"/>
            </w:tcBorders>
            <w:shd w:val="clear" w:color="auto" w:fill="auto"/>
            <w:noWrap/>
            <w:vAlign w:val="bottom"/>
            <w:hideMark/>
          </w:tcPr>
          <w:p w:rsidR="001270CF" w:rsidRPr="00F51A38" w:rsidRDefault="001270CF" w:rsidP="006C102C">
            <w:pPr>
              <w:spacing w:after="0" w:line="240" w:lineRule="auto"/>
              <w:jc w:val="right"/>
              <w:rPr>
                <w:rFonts w:eastAsia="Times New Roman"/>
                <w:color w:val="000000"/>
              </w:rPr>
            </w:pPr>
            <w:r w:rsidRPr="00F51A38">
              <w:rPr>
                <w:rFonts w:eastAsia="Times New Roman"/>
                <w:color w:val="000000"/>
              </w:rPr>
              <w:t>0</w:t>
            </w:r>
          </w:p>
        </w:tc>
      </w:tr>
      <w:tr w:rsidR="001270CF" w:rsidRPr="00F51A38" w:rsidTr="006C102C">
        <w:trPr>
          <w:trHeight w:val="290"/>
        </w:trPr>
        <w:tc>
          <w:tcPr>
            <w:tcW w:w="4362" w:type="pct"/>
            <w:tcBorders>
              <w:top w:val="nil"/>
              <w:left w:val="single" w:sz="4" w:space="0" w:color="auto"/>
              <w:bottom w:val="single" w:sz="4" w:space="0" w:color="auto"/>
              <w:right w:val="single" w:sz="4" w:space="0" w:color="auto"/>
            </w:tcBorders>
            <w:shd w:val="clear" w:color="000000" w:fill="ECEBDD"/>
            <w:noWrap/>
            <w:vAlign w:val="center"/>
            <w:hideMark/>
          </w:tcPr>
          <w:p w:rsidR="001270CF" w:rsidRPr="00F51A38" w:rsidRDefault="001270CF" w:rsidP="006C102C">
            <w:pPr>
              <w:spacing w:after="0" w:line="240" w:lineRule="auto"/>
              <w:rPr>
                <w:rFonts w:eastAsia="Times New Roman"/>
                <w:b/>
                <w:bCs/>
                <w:color w:val="000000"/>
              </w:rPr>
            </w:pPr>
            <w:r w:rsidRPr="00F51A38">
              <w:rPr>
                <w:rFonts w:eastAsia="Times New Roman"/>
                <w:b/>
                <w:bCs/>
                <w:color w:val="000000"/>
              </w:rPr>
              <w:t>Total SO con OC vigente</w:t>
            </w:r>
          </w:p>
        </w:tc>
        <w:tc>
          <w:tcPr>
            <w:tcW w:w="638" w:type="pct"/>
            <w:tcBorders>
              <w:top w:val="nil"/>
              <w:left w:val="nil"/>
              <w:bottom w:val="single" w:sz="4" w:space="0" w:color="auto"/>
              <w:right w:val="single" w:sz="4" w:space="0" w:color="auto"/>
            </w:tcBorders>
            <w:shd w:val="clear" w:color="000000" w:fill="ECEBDD"/>
            <w:noWrap/>
            <w:vAlign w:val="center"/>
            <w:hideMark/>
          </w:tcPr>
          <w:p w:rsidR="001270CF" w:rsidRPr="00F51A38" w:rsidRDefault="001270CF" w:rsidP="006C102C">
            <w:pPr>
              <w:spacing w:after="0" w:line="240" w:lineRule="auto"/>
              <w:jc w:val="right"/>
              <w:rPr>
                <w:rFonts w:eastAsia="Times New Roman"/>
                <w:b/>
                <w:bCs/>
                <w:color w:val="000000"/>
              </w:rPr>
            </w:pPr>
            <w:r w:rsidRPr="00F51A38">
              <w:rPr>
                <w:rFonts w:eastAsia="Times New Roman"/>
                <w:b/>
                <w:bCs/>
                <w:color w:val="000000"/>
              </w:rPr>
              <w:t>6618</w:t>
            </w:r>
          </w:p>
        </w:tc>
      </w:tr>
    </w:tbl>
    <w:p w:rsidR="001270CF" w:rsidRPr="00177B12" w:rsidRDefault="001270CF" w:rsidP="001270CF">
      <w:pPr>
        <w:spacing w:after="0" w:line="240" w:lineRule="auto"/>
        <w:rPr>
          <w:rFonts w:ascii="Arial" w:hAnsi="Arial" w:cs="Arial"/>
          <w:color w:val="000000"/>
          <w:sz w:val="20"/>
        </w:rPr>
      </w:pPr>
      <w:r w:rsidRPr="00177B12">
        <w:rPr>
          <w:rFonts w:ascii="Arial" w:hAnsi="Arial" w:cs="Arial"/>
          <w:color w:val="000000"/>
          <w:sz w:val="20"/>
        </w:rPr>
        <w:t xml:space="preserve">Fuente: </w:t>
      </w:r>
      <w:r>
        <w:rPr>
          <w:rFonts w:ascii="Arial" w:hAnsi="Arial" w:cs="Arial"/>
          <w:color w:val="000000"/>
          <w:sz w:val="20"/>
        </w:rPr>
        <w:t>UIF - SBS</w:t>
      </w:r>
    </w:p>
    <w:p w:rsidR="001270CF" w:rsidRPr="00ED0EDE" w:rsidRDefault="001270CF" w:rsidP="001270CF">
      <w:pPr>
        <w:spacing w:after="0" w:line="240" w:lineRule="auto"/>
        <w:rPr>
          <w:rFonts w:ascii="Arial" w:hAnsi="Arial" w:cs="Arial"/>
          <w:sz w:val="18"/>
        </w:rPr>
      </w:pPr>
      <w:r w:rsidRPr="00ED0EDE">
        <w:rPr>
          <w:rFonts w:ascii="Arial" w:hAnsi="Arial" w:cs="Arial"/>
          <w:i/>
          <w:color w:val="000000"/>
          <w:sz w:val="16"/>
        </w:rPr>
        <w:t>*Datos calculados al 31 de agosto de 2022</w:t>
      </w:r>
    </w:p>
    <w:p w:rsidR="001270CF" w:rsidRPr="00EF4CF0" w:rsidRDefault="001270CF" w:rsidP="001270CF">
      <w:pPr>
        <w:rPr>
          <w:rFonts w:ascii="Arial" w:hAnsi="Arial" w:cs="Arial"/>
        </w:rPr>
      </w:pPr>
    </w:p>
    <w:p w:rsidR="001270CF" w:rsidRPr="00EF4CF0" w:rsidRDefault="001270CF" w:rsidP="001270CF">
      <w:pPr>
        <w:rPr>
          <w:rFonts w:ascii="Arial" w:hAnsi="Arial" w:cs="Arial"/>
          <w:b/>
        </w:rPr>
      </w:pPr>
      <w:r w:rsidRPr="00EF4CF0">
        <w:rPr>
          <w:rFonts w:ascii="Arial" w:hAnsi="Arial" w:cs="Arial"/>
          <w:b/>
        </w:rPr>
        <w:t>Parámetro de medición y método de cálculo</w:t>
      </w:r>
    </w:p>
    <w:p w:rsidR="001270CF" w:rsidRPr="00F51A38" w:rsidRDefault="001270CF" w:rsidP="001270CF">
      <w:pPr>
        <w:tabs>
          <w:tab w:val="left" w:pos="1817"/>
        </w:tabs>
        <w:spacing w:before="120" w:after="120"/>
        <w:jc w:val="both"/>
        <w:rPr>
          <w:rFonts w:ascii="Arial" w:hAnsi="Arial" w:cs="Arial"/>
          <w:color w:val="000000"/>
          <w:szCs w:val="20"/>
        </w:rPr>
      </w:pPr>
      <w:r w:rsidRPr="00F51A38">
        <w:rPr>
          <w:rFonts w:ascii="Arial" w:hAnsi="Arial" w:cs="Arial"/>
          <w:color w:val="000000"/>
          <w:szCs w:val="20"/>
        </w:rPr>
        <w:t>La métrica se calcula de la siguiente manera:</w:t>
      </w:r>
    </w:p>
    <w:p w:rsidR="001270CF" w:rsidRPr="00F51A38" w:rsidRDefault="001270CF" w:rsidP="001270CF">
      <w:pPr>
        <w:tabs>
          <w:tab w:val="left" w:pos="1817"/>
        </w:tabs>
        <w:spacing w:before="120" w:after="120"/>
        <w:jc w:val="both"/>
        <w:rPr>
          <w:rFonts w:ascii="Arial" w:hAnsi="Arial" w:cs="Arial"/>
          <w:color w:val="000000"/>
          <w:szCs w:val="20"/>
        </w:rPr>
      </w:pPr>
      <m:oMathPara>
        <m:oMathParaPr>
          <m:jc m:val="left"/>
        </m:oMathParaPr>
        <m:oMath>
          <m:r>
            <w:rPr>
              <w:rFonts w:ascii="Cambria Math" w:hAnsi="Cambria Math" w:cs="Arial"/>
              <w:color w:val="000000"/>
              <w:szCs w:val="20"/>
            </w:rPr>
            <m:t>Métrica</m:t>
          </m:r>
          <m:r>
            <m:rPr>
              <m:sty m:val="p"/>
            </m:rPr>
            <w:rPr>
              <w:rFonts w:ascii="Cambria Math" w:hAnsi="Cambria Math" w:cs="Arial"/>
              <w:color w:val="000000"/>
              <w:szCs w:val="20"/>
            </w:rPr>
            <m:t>=</m:t>
          </m:r>
          <m:f>
            <m:fPr>
              <m:ctrlPr>
                <w:rPr>
                  <w:rFonts w:ascii="Cambria Math" w:hAnsi="Cambria Math" w:cs="Arial"/>
                  <w:color w:val="000000"/>
                  <w:szCs w:val="20"/>
                </w:rPr>
              </m:ctrlPr>
            </m:fPr>
            <m:num>
              <m:sSub>
                <m:sSubPr>
                  <m:ctrlPr>
                    <w:rPr>
                      <w:rFonts w:ascii="Cambria Math" w:hAnsi="Cambria Math" w:cs="Arial"/>
                      <w:color w:val="000000"/>
                      <w:szCs w:val="20"/>
                    </w:rPr>
                  </m:ctrlPr>
                </m:sSubPr>
                <m:e>
                  <m:r>
                    <w:rPr>
                      <w:rFonts w:ascii="Cambria Math" w:hAnsi="Cambria Math" w:cs="Arial"/>
                      <w:color w:val="000000"/>
                      <w:szCs w:val="20"/>
                    </w:rPr>
                    <m:t>SO</m:t>
                  </m:r>
                </m:e>
                <m:sub>
                  <m:r>
                    <w:rPr>
                      <w:rFonts w:ascii="Cambria Math" w:hAnsi="Cambria Math" w:cs="Arial"/>
                      <w:color w:val="000000"/>
                      <w:szCs w:val="20"/>
                    </w:rPr>
                    <m:t>t</m:t>
                  </m:r>
                </m:sub>
              </m:sSub>
              <m:r>
                <w:rPr>
                  <w:rFonts w:ascii="Cambria Math" w:hAnsi="Cambria Math" w:cs="Arial"/>
                  <w:color w:val="000000"/>
                  <w:szCs w:val="20"/>
                </w:rPr>
                <m:t>-</m:t>
              </m:r>
              <m:sSub>
                <m:sSubPr>
                  <m:ctrlPr>
                    <w:rPr>
                      <w:rFonts w:ascii="Cambria Math" w:hAnsi="Cambria Math" w:cs="Arial"/>
                      <w:i/>
                      <w:color w:val="000000"/>
                      <w:szCs w:val="20"/>
                    </w:rPr>
                  </m:ctrlPr>
                </m:sSubPr>
                <m:e>
                  <m:r>
                    <w:rPr>
                      <w:rFonts w:ascii="Cambria Math" w:hAnsi="Cambria Math" w:cs="Arial"/>
                      <w:color w:val="000000"/>
                      <w:szCs w:val="20"/>
                    </w:rPr>
                    <m:t>SO</m:t>
                  </m:r>
                </m:e>
                <m:sub>
                  <m:r>
                    <w:rPr>
                      <w:rFonts w:ascii="Cambria Math" w:hAnsi="Cambria Math" w:cs="Arial"/>
                      <w:color w:val="000000"/>
                      <w:szCs w:val="20"/>
                    </w:rPr>
                    <m:t>t-1</m:t>
                  </m:r>
                </m:sub>
              </m:sSub>
            </m:num>
            <m:den>
              <m:sSub>
                <m:sSubPr>
                  <m:ctrlPr>
                    <w:rPr>
                      <w:rFonts w:ascii="Cambria Math" w:hAnsi="Cambria Math" w:cs="Arial"/>
                      <w:color w:val="000000"/>
                      <w:szCs w:val="20"/>
                    </w:rPr>
                  </m:ctrlPr>
                </m:sSubPr>
                <m:e>
                  <m:r>
                    <w:rPr>
                      <w:rFonts w:ascii="Cambria Math" w:hAnsi="Cambria Math" w:cs="Arial"/>
                      <w:color w:val="000000"/>
                      <w:szCs w:val="20"/>
                    </w:rPr>
                    <m:t>SO</m:t>
                  </m:r>
                </m:e>
                <m:sub>
                  <m:r>
                    <w:rPr>
                      <w:rFonts w:ascii="Cambria Math" w:hAnsi="Cambria Math" w:cs="Arial"/>
                      <w:color w:val="000000"/>
                      <w:szCs w:val="20"/>
                    </w:rPr>
                    <m:t>t-1</m:t>
                  </m:r>
                </m:sub>
              </m:sSub>
            </m:den>
          </m:f>
          <m:r>
            <w:rPr>
              <w:rFonts w:ascii="Cambria Math" w:hAnsi="Cambria Math" w:cs="Arial"/>
              <w:color w:val="000000"/>
              <w:szCs w:val="20"/>
            </w:rPr>
            <m:t>-1</m:t>
          </m:r>
        </m:oMath>
      </m:oMathPara>
    </w:p>
    <w:p w:rsidR="001270CF" w:rsidRPr="00F51A38" w:rsidRDefault="00E03D82" w:rsidP="001270CF">
      <w:pPr>
        <w:tabs>
          <w:tab w:val="left" w:pos="1817"/>
        </w:tabs>
        <w:spacing w:before="120" w:after="120"/>
        <w:ind w:left="602" w:hanging="602"/>
        <w:jc w:val="both"/>
        <w:rPr>
          <w:rFonts w:ascii="Arial" w:hAnsi="Arial" w:cs="Arial"/>
          <w:color w:val="000000"/>
          <w:szCs w:val="20"/>
        </w:rPr>
      </w:pPr>
      <m:oMath>
        <m:sSub>
          <m:sSubPr>
            <m:ctrlPr>
              <w:rPr>
                <w:rFonts w:ascii="Cambria Math" w:hAnsi="Cambria Math" w:cs="Arial"/>
                <w:color w:val="000000"/>
                <w:szCs w:val="20"/>
              </w:rPr>
            </m:ctrlPr>
          </m:sSubPr>
          <m:e>
            <m:r>
              <w:rPr>
                <w:rFonts w:ascii="Cambria Math" w:hAnsi="Cambria Math" w:cs="Arial"/>
                <w:color w:val="000000"/>
                <w:szCs w:val="20"/>
              </w:rPr>
              <m:t>SO</m:t>
            </m:r>
          </m:e>
          <m:sub>
            <m:r>
              <w:rPr>
                <w:rFonts w:ascii="Cambria Math" w:hAnsi="Cambria Math" w:cs="Arial"/>
                <w:color w:val="000000"/>
                <w:szCs w:val="20"/>
              </w:rPr>
              <m:t>t</m:t>
            </m:r>
          </m:sub>
        </m:sSub>
      </m:oMath>
      <w:r w:rsidR="001270CF" w:rsidRPr="00F51A38">
        <w:rPr>
          <w:rFonts w:ascii="Arial" w:hAnsi="Arial" w:cs="Arial"/>
          <w:color w:val="000000"/>
          <w:szCs w:val="20"/>
        </w:rPr>
        <w:t xml:space="preserve"> = número de </w:t>
      </w:r>
      <w:r w:rsidR="001270CF">
        <w:rPr>
          <w:rFonts w:ascii="Arial" w:hAnsi="Arial" w:cs="Arial"/>
          <w:color w:val="000000"/>
          <w:szCs w:val="20"/>
        </w:rPr>
        <w:t>SO</w:t>
      </w:r>
      <w:r w:rsidR="001270CF" w:rsidRPr="00F51A38">
        <w:rPr>
          <w:rFonts w:ascii="Arial" w:hAnsi="Arial" w:cs="Arial"/>
          <w:color w:val="000000"/>
          <w:szCs w:val="20"/>
        </w:rPr>
        <w:t xml:space="preserve"> con OC vigente en el periodo de evaluación</w:t>
      </w:r>
    </w:p>
    <w:p w:rsidR="001270CF" w:rsidRPr="00F51A38" w:rsidRDefault="00E03D82" w:rsidP="001270CF">
      <w:pPr>
        <w:rPr>
          <w:rFonts w:ascii="Arial" w:hAnsi="Arial" w:cs="Arial"/>
          <w:sz w:val="24"/>
        </w:rPr>
      </w:pPr>
      <m:oMath>
        <m:sSub>
          <m:sSubPr>
            <m:ctrlPr>
              <w:rPr>
                <w:rFonts w:ascii="Cambria Math" w:hAnsi="Cambria Math" w:cs="Arial"/>
                <w:i/>
                <w:color w:val="000000"/>
                <w:szCs w:val="20"/>
              </w:rPr>
            </m:ctrlPr>
          </m:sSubPr>
          <m:e>
            <m:r>
              <w:rPr>
                <w:rFonts w:ascii="Cambria Math" w:hAnsi="Cambria Math" w:cs="Arial"/>
                <w:color w:val="000000"/>
                <w:szCs w:val="20"/>
              </w:rPr>
              <m:t>SO</m:t>
            </m:r>
          </m:e>
          <m:sub>
            <m:r>
              <w:rPr>
                <w:rFonts w:ascii="Cambria Math" w:hAnsi="Cambria Math" w:cs="Arial"/>
                <w:color w:val="000000"/>
                <w:szCs w:val="20"/>
              </w:rPr>
              <m:t>t-1</m:t>
            </m:r>
          </m:sub>
        </m:sSub>
        <m:r>
          <w:rPr>
            <w:rFonts w:ascii="Cambria Math" w:hAnsi="Cambria Math" w:cs="Arial"/>
            <w:color w:val="000000"/>
            <w:szCs w:val="20"/>
          </w:rPr>
          <m:t xml:space="preserve"> </m:t>
        </m:r>
      </m:oMath>
      <w:r w:rsidR="001270CF" w:rsidRPr="00F51A38">
        <w:rPr>
          <w:rFonts w:ascii="Arial" w:hAnsi="Arial" w:cs="Arial"/>
          <w:color w:val="000000"/>
          <w:szCs w:val="20"/>
        </w:rPr>
        <w:t xml:space="preserve">= número de </w:t>
      </w:r>
      <w:r w:rsidR="001270CF">
        <w:rPr>
          <w:rFonts w:ascii="Arial" w:hAnsi="Arial" w:cs="Arial"/>
          <w:color w:val="000000"/>
          <w:szCs w:val="20"/>
        </w:rPr>
        <w:t>SO</w:t>
      </w:r>
      <w:r w:rsidR="001270CF" w:rsidRPr="00F51A38">
        <w:rPr>
          <w:rFonts w:ascii="Arial" w:hAnsi="Arial" w:cs="Arial"/>
          <w:color w:val="000000"/>
          <w:szCs w:val="20"/>
        </w:rPr>
        <w:t xml:space="preserve"> con OC vigente en el periodo anterior a la evaluación</w:t>
      </w:r>
    </w:p>
    <w:p w:rsidR="001270CF" w:rsidRDefault="001270CF" w:rsidP="001270CF">
      <w:pPr>
        <w:rPr>
          <w:rFonts w:ascii="Arial" w:hAnsi="Arial" w:cs="Arial"/>
        </w:rPr>
      </w:pPr>
    </w:p>
    <w:p w:rsidR="001270CF" w:rsidRPr="00EF4CF0" w:rsidRDefault="001270CF" w:rsidP="001270CF">
      <w:pPr>
        <w:tabs>
          <w:tab w:val="left" w:pos="1817"/>
        </w:tabs>
        <w:spacing w:before="120" w:after="120"/>
        <w:rPr>
          <w:rFonts w:ascii="Arial" w:hAnsi="Arial" w:cs="Arial"/>
        </w:rPr>
      </w:pPr>
      <w:r w:rsidRPr="00EF4CF0">
        <w:rPr>
          <w:rFonts w:ascii="Arial" w:hAnsi="Arial" w:cs="Arial"/>
          <w:i/>
        </w:rPr>
        <w:t>Descripción de variables</w:t>
      </w:r>
      <w:r w:rsidRPr="00EF4CF0">
        <w:rPr>
          <w:rFonts w:ascii="Arial" w:hAnsi="Arial" w:cs="Arial"/>
        </w:rPr>
        <w:t>:</w:t>
      </w:r>
    </w:p>
    <w:p w:rsidR="001270CF" w:rsidRDefault="001270CF" w:rsidP="001270CF">
      <w:pPr>
        <w:pStyle w:val="Prrafodelista"/>
        <w:numPr>
          <w:ilvl w:val="0"/>
          <w:numId w:val="38"/>
        </w:numPr>
        <w:jc w:val="both"/>
        <w:rPr>
          <w:rFonts w:ascii="Arial" w:hAnsi="Arial" w:cs="Arial"/>
        </w:rPr>
      </w:pPr>
      <w:r>
        <w:rPr>
          <w:rFonts w:ascii="Arial" w:hAnsi="Arial" w:cs="Arial"/>
        </w:rPr>
        <w:t>SO: con fines de medición, s</w:t>
      </w:r>
      <w:r w:rsidRPr="00F51A38">
        <w:rPr>
          <w:rFonts w:ascii="Arial" w:hAnsi="Arial" w:cs="Arial"/>
        </w:rPr>
        <w:t>e considera</w:t>
      </w:r>
      <w:r>
        <w:rPr>
          <w:rFonts w:ascii="Arial" w:hAnsi="Arial" w:cs="Arial"/>
        </w:rPr>
        <w:t>rá</w:t>
      </w:r>
      <w:r w:rsidRPr="00F51A38">
        <w:rPr>
          <w:rFonts w:ascii="Arial" w:hAnsi="Arial" w:cs="Arial"/>
        </w:rPr>
        <w:t xml:space="preserve"> a los SO contemplados en la legislación nacional que son exigibles por el GAFI.</w:t>
      </w:r>
    </w:p>
    <w:p w:rsidR="001270CF" w:rsidRDefault="001270CF" w:rsidP="001270CF">
      <w:r>
        <w:br w:type="page"/>
      </w:r>
    </w:p>
    <w:p w:rsidR="001270CF" w:rsidRPr="00EF4CF0" w:rsidRDefault="001270CF" w:rsidP="001270CF">
      <w:pPr>
        <w:rPr>
          <w:rFonts w:ascii="Arial" w:hAnsi="Arial" w:cs="Arial"/>
          <w:b/>
        </w:rPr>
      </w:pPr>
      <w:r w:rsidRPr="00EF4CF0">
        <w:rPr>
          <w:rFonts w:ascii="Arial" w:hAnsi="Arial" w:cs="Arial"/>
          <w:b/>
        </w:rPr>
        <w:lastRenderedPageBreak/>
        <w:t>Fuente y bases de datos</w:t>
      </w:r>
    </w:p>
    <w:p w:rsidR="001270CF" w:rsidRPr="00DE4A16" w:rsidRDefault="001270CF" w:rsidP="001270CF">
      <w:pPr>
        <w:tabs>
          <w:tab w:val="left" w:pos="1817"/>
        </w:tabs>
        <w:spacing w:before="120" w:after="120"/>
        <w:jc w:val="both"/>
        <w:rPr>
          <w:rFonts w:ascii="Arial" w:hAnsi="Arial" w:cs="Arial"/>
        </w:rPr>
      </w:pPr>
      <w:r w:rsidRPr="00DE4A16">
        <w:rPr>
          <w:rFonts w:ascii="Arial" w:hAnsi="Arial" w:cs="Arial"/>
        </w:rPr>
        <w:t xml:space="preserve">Sistema Integral de Gestión de Sujetos Obligados - SIGSO que gestiona la información de los </w:t>
      </w:r>
      <w:r>
        <w:rPr>
          <w:rFonts w:ascii="Arial" w:hAnsi="Arial" w:cs="Arial"/>
        </w:rPr>
        <w:t>SO</w:t>
      </w:r>
      <w:r w:rsidRPr="00DE4A16">
        <w:rPr>
          <w:rFonts w:ascii="Arial" w:hAnsi="Arial" w:cs="Arial"/>
        </w:rPr>
        <w:t xml:space="preserve"> y sus </w:t>
      </w:r>
      <w:r>
        <w:rPr>
          <w:rFonts w:ascii="Arial" w:hAnsi="Arial" w:cs="Arial"/>
        </w:rPr>
        <w:t>OC</w:t>
      </w:r>
    </w:p>
    <w:p w:rsidR="001270CF" w:rsidRDefault="001270CF" w:rsidP="001270CF">
      <w:pPr>
        <w:rPr>
          <w:rFonts w:ascii="Arial" w:hAnsi="Arial" w:cs="Arial"/>
        </w:rPr>
      </w:pPr>
    </w:p>
    <w:p w:rsidR="001270CF" w:rsidRPr="00EF4CF0" w:rsidRDefault="001270CF" w:rsidP="001270CF">
      <w:pPr>
        <w:rPr>
          <w:rFonts w:ascii="Arial" w:hAnsi="Arial" w:cs="Arial"/>
          <w:b/>
        </w:rPr>
      </w:pPr>
      <w:r w:rsidRPr="00EF4CF0">
        <w:rPr>
          <w:rFonts w:ascii="Arial" w:hAnsi="Arial" w:cs="Arial"/>
          <w:b/>
        </w:rPr>
        <w:t>Proyección y valor esperado</w:t>
      </w:r>
    </w:p>
    <w:p w:rsidR="001270CF" w:rsidRPr="00EF4CF0" w:rsidRDefault="001270CF" w:rsidP="001270CF">
      <w:pPr>
        <w:rPr>
          <w:rFonts w:ascii="Arial" w:hAnsi="Arial" w:cs="Arial"/>
        </w:rPr>
      </w:pPr>
    </w:p>
    <w:tbl>
      <w:tblPr>
        <w:tblStyle w:val="Tablaconcuadrcula"/>
        <w:tblW w:w="0" w:type="auto"/>
        <w:tblLook w:val="04A0" w:firstRow="1" w:lastRow="0" w:firstColumn="1" w:lastColumn="0" w:noHBand="0" w:noVBand="1"/>
      </w:tblPr>
      <w:tblGrid>
        <w:gridCol w:w="1841"/>
        <w:gridCol w:w="2974"/>
        <w:gridCol w:w="3679"/>
      </w:tblGrid>
      <w:tr w:rsidR="001270CF" w:rsidRPr="00D60BC3" w:rsidTr="006C102C">
        <w:tc>
          <w:tcPr>
            <w:tcW w:w="1841" w:type="dxa"/>
            <w:shd w:val="clear" w:color="auto" w:fill="B8CCE4" w:themeFill="accent1" w:themeFillTint="66"/>
            <w:vAlign w:val="center"/>
          </w:tcPr>
          <w:p w:rsidR="001270CF" w:rsidRPr="001B04D8" w:rsidRDefault="001270CF" w:rsidP="006C102C">
            <w:pPr>
              <w:tabs>
                <w:tab w:val="left" w:pos="1817"/>
              </w:tabs>
              <w:spacing w:before="120" w:after="120"/>
              <w:rPr>
                <w:rFonts w:ascii="Arial" w:hAnsi="Arial" w:cs="Arial"/>
                <w:color w:val="000000"/>
                <w:sz w:val="20"/>
                <w:szCs w:val="20"/>
              </w:rPr>
            </w:pPr>
          </w:p>
        </w:tc>
        <w:tc>
          <w:tcPr>
            <w:tcW w:w="2974" w:type="dxa"/>
            <w:shd w:val="clear" w:color="auto" w:fill="B8CCE4" w:themeFill="accent1" w:themeFillTint="66"/>
            <w:vAlign w:val="center"/>
          </w:tcPr>
          <w:p w:rsidR="001270CF" w:rsidRPr="00D60BC3" w:rsidRDefault="001270CF" w:rsidP="006C102C">
            <w:pPr>
              <w:tabs>
                <w:tab w:val="left" w:pos="1817"/>
              </w:tabs>
              <w:spacing w:before="120" w:after="120"/>
              <w:jc w:val="center"/>
              <w:rPr>
                <w:rFonts w:ascii="Arial" w:hAnsi="Arial" w:cs="Arial"/>
                <w:b/>
                <w:color w:val="000000"/>
                <w:sz w:val="20"/>
                <w:szCs w:val="20"/>
              </w:rPr>
            </w:pPr>
            <w:r w:rsidRPr="00D60BC3">
              <w:rPr>
                <w:rFonts w:ascii="Arial" w:hAnsi="Arial" w:cs="Arial"/>
                <w:b/>
                <w:color w:val="000000"/>
                <w:sz w:val="20"/>
                <w:szCs w:val="20"/>
              </w:rPr>
              <w:t>Valor actual</w:t>
            </w:r>
          </w:p>
        </w:tc>
        <w:tc>
          <w:tcPr>
            <w:tcW w:w="3679" w:type="dxa"/>
            <w:shd w:val="clear" w:color="auto" w:fill="B8CCE4" w:themeFill="accent1" w:themeFillTint="66"/>
            <w:vAlign w:val="center"/>
          </w:tcPr>
          <w:p w:rsidR="001270CF" w:rsidRPr="00D60BC3" w:rsidRDefault="001270CF" w:rsidP="006C102C">
            <w:pPr>
              <w:tabs>
                <w:tab w:val="left" w:pos="1817"/>
              </w:tabs>
              <w:spacing w:before="120" w:after="120"/>
              <w:jc w:val="center"/>
              <w:rPr>
                <w:rFonts w:ascii="Arial" w:hAnsi="Arial" w:cs="Arial"/>
                <w:b/>
                <w:color w:val="000000"/>
                <w:sz w:val="20"/>
                <w:szCs w:val="20"/>
              </w:rPr>
            </w:pPr>
            <w:r w:rsidRPr="00D60BC3">
              <w:rPr>
                <w:rFonts w:ascii="Arial" w:hAnsi="Arial" w:cs="Arial"/>
                <w:b/>
                <w:color w:val="000000"/>
                <w:sz w:val="20"/>
                <w:szCs w:val="20"/>
              </w:rPr>
              <w:t>Logro</w:t>
            </w:r>
          </w:p>
        </w:tc>
      </w:tr>
      <w:tr w:rsidR="001270CF" w:rsidRPr="00D60BC3" w:rsidTr="006C102C">
        <w:tc>
          <w:tcPr>
            <w:tcW w:w="1841" w:type="dxa"/>
            <w:shd w:val="clear" w:color="auto" w:fill="B8CCE4" w:themeFill="accent1" w:themeFillTint="66"/>
            <w:vAlign w:val="center"/>
          </w:tcPr>
          <w:p w:rsidR="001270CF" w:rsidRPr="00D60BC3" w:rsidRDefault="001270CF" w:rsidP="006C102C">
            <w:pPr>
              <w:tabs>
                <w:tab w:val="left" w:pos="1817"/>
              </w:tabs>
              <w:spacing w:before="120" w:after="120"/>
              <w:rPr>
                <w:rFonts w:ascii="Arial" w:hAnsi="Arial" w:cs="Arial"/>
                <w:b/>
                <w:color w:val="000000"/>
                <w:sz w:val="20"/>
                <w:szCs w:val="20"/>
              </w:rPr>
            </w:pPr>
            <w:r>
              <w:rPr>
                <w:rFonts w:ascii="Arial" w:hAnsi="Arial" w:cs="Arial"/>
                <w:b/>
                <w:color w:val="000000"/>
                <w:sz w:val="20"/>
                <w:szCs w:val="20"/>
              </w:rPr>
              <w:t>P</w:t>
            </w:r>
            <w:r w:rsidRPr="00D60BC3">
              <w:rPr>
                <w:rFonts w:ascii="Arial" w:hAnsi="Arial" w:cs="Arial"/>
                <w:b/>
                <w:color w:val="000000"/>
                <w:sz w:val="20"/>
                <w:szCs w:val="20"/>
              </w:rPr>
              <w:t xml:space="preserve">eriodo </w:t>
            </w:r>
          </w:p>
        </w:tc>
        <w:tc>
          <w:tcPr>
            <w:tcW w:w="2974" w:type="dxa"/>
            <w:vAlign w:val="center"/>
          </w:tcPr>
          <w:p w:rsidR="001270CF" w:rsidRPr="00D60BC3" w:rsidRDefault="001270CF" w:rsidP="006C102C">
            <w:pPr>
              <w:tabs>
                <w:tab w:val="left" w:pos="1817"/>
              </w:tabs>
              <w:spacing w:before="120" w:after="120"/>
              <w:jc w:val="center"/>
              <w:rPr>
                <w:rFonts w:ascii="Arial" w:hAnsi="Arial" w:cs="Arial"/>
                <w:b/>
                <w:color w:val="000000"/>
              </w:rPr>
            </w:pPr>
            <w:r w:rsidRPr="00D60BC3">
              <w:rPr>
                <w:rFonts w:ascii="Arial" w:hAnsi="Arial" w:cs="Arial"/>
                <w:b/>
                <w:color w:val="000000"/>
              </w:rPr>
              <w:t>2022</w:t>
            </w:r>
          </w:p>
        </w:tc>
        <w:tc>
          <w:tcPr>
            <w:tcW w:w="3679" w:type="dxa"/>
            <w:vAlign w:val="center"/>
          </w:tcPr>
          <w:p w:rsidR="001270CF" w:rsidRPr="00D60BC3" w:rsidRDefault="001270CF" w:rsidP="006C102C">
            <w:pPr>
              <w:tabs>
                <w:tab w:val="left" w:pos="1817"/>
              </w:tabs>
              <w:spacing w:before="120" w:after="120"/>
              <w:jc w:val="center"/>
              <w:rPr>
                <w:rFonts w:ascii="Arial" w:hAnsi="Arial" w:cs="Arial"/>
                <w:b/>
                <w:color w:val="000000"/>
              </w:rPr>
            </w:pPr>
            <w:r w:rsidRPr="00D60BC3">
              <w:rPr>
                <w:rFonts w:ascii="Arial" w:hAnsi="Arial" w:cs="Arial"/>
                <w:b/>
                <w:color w:val="000000"/>
              </w:rPr>
              <w:t>2030</w:t>
            </w:r>
          </w:p>
        </w:tc>
      </w:tr>
      <w:tr w:rsidR="001270CF" w:rsidRPr="00D60BC3" w:rsidTr="006C102C">
        <w:tc>
          <w:tcPr>
            <w:tcW w:w="1841" w:type="dxa"/>
            <w:shd w:val="clear" w:color="auto" w:fill="B8CCE4" w:themeFill="accent1" w:themeFillTint="66"/>
            <w:vAlign w:val="center"/>
          </w:tcPr>
          <w:p w:rsidR="001270CF" w:rsidRPr="00D60BC3" w:rsidRDefault="001270CF" w:rsidP="006C102C">
            <w:pPr>
              <w:tabs>
                <w:tab w:val="left" w:pos="1817"/>
              </w:tabs>
              <w:spacing w:before="120" w:after="120"/>
              <w:rPr>
                <w:rFonts w:ascii="Arial" w:hAnsi="Arial" w:cs="Arial"/>
                <w:b/>
                <w:color w:val="000000"/>
                <w:sz w:val="20"/>
                <w:szCs w:val="20"/>
              </w:rPr>
            </w:pPr>
            <w:r w:rsidRPr="00D60BC3">
              <w:rPr>
                <w:rFonts w:ascii="Arial" w:hAnsi="Arial" w:cs="Arial"/>
                <w:b/>
                <w:color w:val="000000"/>
                <w:sz w:val="20"/>
                <w:szCs w:val="20"/>
              </w:rPr>
              <w:t>Valor</w:t>
            </w:r>
          </w:p>
        </w:tc>
        <w:tc>
          <w:tcPr>
            <w:tcW w:w="2974" w:type="dxa"/>
            <w:vAlign w:val="center"/>
          </w:tcPr>
          <w:p w:rsidR="001270CF" w:rsidRPr="00D60BC3" w:rsidRDefault="001270CF" w:rsidP="006C102C">
            <w:pPr>
              <w:tabs>
                <w:tab w:val="left" w:pos="1817"/>
              </w:tabs>
              <w:spacing w:before="120" w:after="120"/>
              <w:jc w:val="center"/>
              <w:rPr>
                <w:rFonts w:ascii="Arial" w:hAnsi="Arial" w:cs="Arial"/>
                <w:color w:val="000000"/>
              </w:rPr>
            </w:pPr>
            <w:r>
              <w:rPr>
                <w:rFonts w:ascii="Arial" w:hAnsi="Arial" w:cs="Arial"/>
                <w:color w:val="000000"/>
              </w:rPr>
              <w:t>6 618</w:t>
            </w:r>
          </w:p>
        </w:tc>
        <w:tc>
          <w:tcPr>
            <w:tcW w:w="3679" w:type="dxa"/>
            <w:vAlign w:val="center"/>
          </w:tcPr>
          <w:p w:rsidR="001270CF" w:rsidRPr="00D60BC3" w:rsidRDefault="001270CF" w:rsidP="006C102C">
            <w:pPr>
              <w:tabs>
                <w:tab w:val="left" w:pos="1817"/>
              </w:tabs>
              <w:spacing w:before="120" w:after="120"/>
              <w:jc w:val="center"/>
              <w:rPr>
                <w:rFonts w:ascii="Arial" w:hAnsi="Arial" w:cs="Arial"/>
                <w:color w:val="000000"/>
              </w:rPr>
            </w:pPr>
            <w:r>
              <w:rPr>
                <w:rFonts w:ascii="Arial" w:hAnsi="Arial" w:cs="Arial"/>
                <w:color w:val="000000"/>
              </w:rPr>
              <w:t>9 778 (incremento del 48%)</w:t>
            </w:r>
          </w:p>
        </w:tc>
      </w:tr>
    </w:tbl>
    <w:p w:rsidR="001270CF" w:rsidRPr="00EF4CF0" w:rsidRDefault="001270CF" w:rsidP="001270CF">
      <w:pPr>
        <w:rPr>
          <w:rFonts w:ascii="Arial" w:hAnsi="Arial" w:cs="Arial"/>
        </w:rPr>
      </w:pPr>
    </w:p>
    <w:p w:rsidR="001270CF" w:rsidRPr="00EF4CF0" w:rsidRDefault="001270CF" w:rsidP="001270CF">
      <w:pPr>
        <w:rPr>
          <w:rFonts w:ascii="Arial" w:hAnsi="Arial" w:cs="Arial"/>
        </w:rPr>
      </w:pPr>
    </w:p>
    <w:p w:rsidR="001270CF" w:rsidRPr="00EF4CF0" w:rsidRDefault="001270CF" w:rsidP="001270CF">
      <w:pPr>
        <w:rPr>
          <w:rFonts w:ascii="Arial" w:hAnsi="Arial" w:cs="Arial"/>
        </w:rPr>
      </w:pPr>
    </w:p>
    <w:p w:rsidR="001270CF" w:rsidRPr="00EF4CF0" w:rsidRDefault="001270CF" w:rsidP="001270CF">
      <w:pPr>
        <w:rPr>
          <w:rFonts w:ascii="Arial" w:hAnsi="Arial" w:cs="Arial"/>
        </w:rPr>
      </w:pPr>
    </w:p>
    <w:p w:rsidR="001270CF" w:rsidRPr="00EF4CF0" w:rsidRDefault="001270CF" w:rsidP="001270CF">
      <w:pPr>
        <w:tabs>
          <w:tab w:val="left" w:pos="1817"/>
        </w:tabs>
        <w:spacing w:after="0" w:line="240" w:lineRule="auto"/>
        <w:jc w:val="both"/>
        <w:rPr>
          <w:rFonts w:ascii="Arial" w:hAnsi="Arial" w:cs="Arial"/>
          <w:b/>
          <w:color w:val="000000"/>
          <w:u w:val="single"/>
        </w:rPr>
      </w:pPr>
      <w:r w:rsidRPr="00EF4CF0">
        <w:rPr>
          <w:rFonts w:ascii="Arial" w:hAnsi="Arial" w:cs="Arial"/>
          <w:b/>
          <w:color w:val="000000"/>
          <w:u w:val="single"/>
        </w:rPr>
        <w:t>Métrica 2: Porcentaje de ROS enviados por SO que son de buena calidad</w:t>
      </w:r>
    </w:p>
    <w:p w:rsidR="001270CF" w:rsidRPr="00EF4CF0" w:rsidRDefault="001270CF" w:rsidP="001270CF">
      <w:pPr>
        <w:rPr>
          <w:rFonts w:ascii="Arial" w:hAnsi="Arial" w:cs="Arial"/>
        </w:rPr>
      </w:pPr>
    </w:p>
    <w:p w:rsidR="001270CF" w:rsidRPr="00EF4CF0" w:rsidRDefault="001270CF" w:rsidP="001270CF">
      <w:pPr>
        <w:rPr>
          <w:rFonts w:ascii="Arial" w:hAnsi="Arial" w:cs="Arial"/>
          <w:b/>
        </w:rPr>
      </w:pPr>
      <w:r w:rsidRPr="00EF4CF0">
        <w:rPr>
          <w:rFonts w:ascii="Arial" w:hAnsi="Arial" w:cs="Arial"/>
          <w:b/>
        </w:rPr>
        <w:t>Objetivo</w:t>
      </w:r>
    </w:p>
    <w:p w:rsidR="001270CF" w:rsidRPr="00EF4CF0" w:rsidRDefault="001270CF" w:rsidP="001270CF">
      <w:pPr>
        <w:tabs>
          <w:tab w:val="left" w:pos="1817"/>
        </w:tabs>
        <w:spacing w:after="0" w:line="240" w:lineRule="auto"/>
        <w:jc w:val="both"/>
        <w:rPr>
          <w:rFonts w:ascii="Arial" w:hAnsi="Arial" w:cs="Arial"/>
          <w:color w:val="000000"/>
        </w:rPr>
      </w:pPr>
      <w:r>
        <w:rPr>
          <w:rFonts w:ascii="Arial" w:hAnsi="Arial" w:cs="Arial"/>
          <w:color w:val="000000"/>
        </w:rPr>
        <w:t>D</w:t>
      </w:r>
      <w:r w:rsidRPr="00EF4CF0">
        <w:rPr>
          <w:rFonts w:ascii="Arial" w:hAnsi="Arial" w:cs="Arial"/>
          <w:color w:val="000000"/>
        </w:rPr>
        <w:t xml:space="preserve">eterminar qué porcentaje de los ROS enviados por los SO son de buena calidad. </w:t>
      </w:r>
    </w:p>
    <w:p w:rsidR="001270CF" w:rsidRPr="00EF4CF0" w:rsidRDefault="001270CF" w:rsidP="001270CF">
      <w:pPr>
        <w:tabs>
          <w:tab w:val="left" w:pos="1817"/>
        </w:tabs>
        <w:spacing w:after="0" w:line="240" w:lineRule="auto"/>
        <w:jc w:val="both"/>
        <w:rPr>
          <w:rFonts w:ascii="Arial" w:hAnsi="Arial" w:cs="Arial"/>
          <w:color w:val="000000"/>
        </w:rPr>
      </w:pPr>
    </w:p>
    <w:p w:rsidR="001270CF" w:rsidRPr="00EF4CF0" w:rsidRDefault="001270CF" w:rsidP="001270CF">
      <w:pPr>
        <w:rPr>
          <w:rFonts w:ascii="Arial" w:hAnsi="Arial" w:cs="Arial"/>
          <w:b/>
        </w:rPr>
      </w:pPr>
      <w:r w:rsidRPr="00EF4CF0">
        <w:rPr>
          <w:rFonts w:ascii="Arial" w:hAnsi="Arial" w:cs="Arial"/>
          <w:b/>
        </w:rPr>
        <w:t>Antecedentes</w:t>
      </w:r>
    </w:p>
    <w:p w:rsidR="001270CF" w:rsidRPr="00EF4CF0" w:rsidRDefault="001270CF" w:rsidP="001270CF">
      <w:pPr>
        <w:jc w:val="both"/>
        <w:rPr>
          <w:rFonts w:ascii="Arial" w:hAnsi="Arial" w:cs="Arial"/>
        </w:rPr>
      </w:pPr>
      <w:r w:rsidRPr="00EF4CF0">
        <w:rPr>
          <w:rFonts w:ascii="Arial" w:hAnsi="Arial" w:cs="Arial"/>
        </w:rPr>
        <w:t xml:space="preserve">La UIF en el periodo comprendido entre enero de 2013 y julio de 2022 ha recibido 106 931 </w:t>
      </w:r>
      <w:r>
        <w:rPr>
          <w:rFonts w:ascii="Arial" w:hAnsi="Arial" w:cs="Arial"/>
        </w:rPr>
        <w:t>ROS</w:t>
      </w:r>
      <w:r w:rsidRPr="00EF4CF0">
        <w:rPr>
          <w:rFonts w:ascii="Arial" w:hAnsi="Arial" w:cs="Arial"/>
        </w:rPr>
        <w:t xml:space="preserve"> por parte </w:t>
      </w:r>
      <w:r>
        <w:rPr>
          <w:rFonts w:ascii="Arial" w:hAnsi="Arial" w:cs="Arial"/>
        </w:rPr>
        <w:t>de SO</w:t>
      </w:r>
      <w:r w:rsidRPr="00EF4CF0">
        <w:rPr>
          <w:rFonts w:ascii="Arial" w:hAnsi="Arial" w:cs="Arial"/>
        </w:rPr>
        <w:t>.</w:t>
      </w:r>
    </w:p>
    <w:p w:rsidR="001270CF" w:rsidRPr="00EF4CF0" w:rsidRDefault="001270CF" w:rsidP="001270CF">
      <w:pPr>
        <w:jc w:val="center"/>
        <w:rPr>
          <w:rFonts w:ascii="Arial" w:hAnsi="Arial" w:cs="Arial"/>
          <w:b/>
          <w:sz w:val="20"/>
        </w:rPr>
      </w:pPr>
      <w:r w:rsidRPr="00EF4CF0">
        <w:rPr>
          <w:rFonts w:ascii="Arial" w:hAnsi="Arial" w:cs="Arial"/>
          <w:b/>
          <w:sz w:val="20"/>
        </w:rPr>
        <w:t>Número de ROS recibidos anualmente – enero 2013 a julio 2022</w:t>
      </w:r>
    </w:p>
    <w:p w:rsidR="001270CF" w:rsidRPr="00EF4CF0" w:rsidRDefault="001270CF" w:rsidP="001270CF">
      <w:pPr>
        <w:jc w:val="center"/>
        <w:rPr>
          <w:rFonts w:ascii="Arial" w:hAnsi="Arial" w:cs="Arial"/>
        </w:rPr>
      </w:pPr>
      <w:r w:rsidRPr="00EF4CF0">
        <w:rPr>
          <w:rFonts w:ascii="Arial" w:hAnsi="Arial" w:cs="Arial"/>
          <w:noProof/>
        </w:rPr>
        <w:drawing>
          <wp:inline distT="0" distB="0" distL="0" distR="0" wp14:anchorId="21FB5324" wp14:editId="41B149BF">
            <wp:extent cx="3415665" cy="2087345"/>
            <wp:effectExtent l="0" t="0" r="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t="14432"/>
                    <a:stretch/>
                  </pic:blipFill>
                  <pic:spPr bwMode="auto">
                    <a:xfrm>
                      <a:off x="0" y="0"/>
                      <a:ext cx="3439137" cy="2101689"/>
                    </a:xfrm>
                    <a:prstGeom prst="rect">
                      <a:avLst/>
                    </a:prstGeom>
                    <a:noFill/>
                    <a:ln>
                      <a:noFill/>
                    </a:ln>
                    <a:extLst>
                      <a:ext uri="{53640926-AAD7-44D8-BBD7-CCE9431645EC}">
                        <a14:shadowObscured xmlns:a14="http://schemas.microsoft.com/office/drawing/2010/main"/>
                      </a:ext>
                    </a:extLst>
                  </pic:spPr>
                </pic:pic>
              </a:graphicData>
            </a:graphic>
          </wp:inline>
        </w:drawing>
      </w:r>
    </w:p>
    <w:p w:rsidR="001270CF" w:rsidRPr="00EF4CF0" w:rsidRDefault="001270CF" w:rsidP="001270CF">
      <w:pPr>
        <w:ind w:left="1416" w:firstLine="285"/>
        <w:rPr>
          <w:rFonts w:ascii="Arial" w:hAnsi="Arial" w:cs="Arial"/>
          <w:sz w:val="18"/>
        </w:rPr>
      </w:pPr>
      <w:r w:rsidRPr="00EF4CF0">
        <w:rPr>
          <w:rFonts w:ascii="Arial" w:hAnsi="Arial" w:cs="Arial"/>
          <w:sz w:val="18"/>
        </w:rPr>
        <w:t xml:space="preserve">Fuente: </w:t>
      </w:r>
      <w:r>
        <w:rPr>
          <w:rFonts w:ascii="Arial" w:hAnsi="Arial" w:cs="Arial"/>
          <w:sz w:val="18"/>
        </w:rPr>
        <w:t>UIF-SBS</w:t>
      </w:r>
    </w:p>
    <w:p w:rsidR="001270CF" w:rsidRPr="00EF4CF0" w:rsidRDefault="001270CF" w:rsidP="001270CF">
      <w:pPr>
        <w:jc w:val="both"/>
        <w:rPr>
          <w:rFonts w:ascii="Arial" w:hAnsi="Arial" w:cs="Arial"/>
        </w:rPr>
      </w:pPr>
      <w:r w:rsidRPr="00EF4CF0">
        <w:rPr>
          <w:rFonts w:ascii="Arial" w:hAnsi="Arial" w:cs="Arial"/>
        </w:rPr>
        <w:t xml:space="preserve">Del número total de ROS recibidos desde enero de 2013 a julio de 2022, la mayor participación por tipo de </w:t>
      </w:r>
      <w:r>
        <w:rPr>
          <w:rFonts w:ascii="Arial" w:hAnsi="Arial" w:cs="Arial"/>
        </w:rPr>
        <w:t>SO</w:t>
      </w:r>
      <w:r w:rsidRPr="00EF4CF0">
        <w:rPr>
          <w:rFonts w:ascii="Arial" w:hAnsi="Arial" w:cs="Arial"/>
        </w:rPr>
        <w:t xml:space="preserve"> está representada por los Bancos con 37%, Notarios Públicos con 27% y las Empresas de Transferencia de Fondos con 11%. </w:t>
      </w:r>
    </w:p>
    <w:p w:rsidR="001270CF" w:rsidRPr="00EF4CF0" w:rsidRDefault="001270CF" w:rsidP="001270CF">
      <w:pPr>
        <w:jc w:val="both"/>
        <w:rPr>
          <w:rFonts w:ascii="Arial" w:hAnsi="Arial" w:cs="Arial"/>
        </w:rPr>
      </w:pPr>
      <w:r w:rsidRPr="00EF4CF0">
        <w:rPr>
          <w:rFonts w:ascii="Arial" w:hAnsi="Arial" w:cs="Arial"/>
        </w:rPr>
        <w:lastRenderedPageBreak/>
        <w:t xml:space="preserve">Ahora bien, respecto a la calidad de los ROS recibidos, se </w:t>
      </w:r>
      <w:r>
        <w:rPr>
          <w:rFonts w:ascii="Arial" w:hAnsi="Arial" w:cs="Arial"/>
        </w:rPr>
        <w:t>ha registrado que, en promedio, para el periodo 2018-2022, el porcentaje de ROS de buena calidad ha sido 54%.</w:t>
      </w:r>
    </w:p>
    <w:tbl>
      <w:tblPr>
        <w:tblW w:w="5000" w:type="pct"/>
        <w:tblCellMar>
          <w:left w:w="70" w:type="dxa"/>
          <w:right w:w="70" w:type="dxa"/>
        </w:tblCellMar>
        <w:tblLook w:val="04A0" w:firstRow="1" w:lastRow="0" w:firstColumn="1" w:lastColumn="0" w:noHBand="0" w:noVBand="1"/>
      </w:tblPr>
      <w:tblGrid>
        <w:gridCol w:w="1783"/>
        <w:gridCol w:w="1144"/>
        <w:gridCol w:w="1144"/>
        <w:gridCol w:w="1144"/>
        <w:gridCol w:w="1144"/>
        <w:gridCol w:w="1144"/>
        <w:gridCol w:w="981"/>
      </w:tblGrid>
      <w:tr w:rsidR="001270CF" w:rsidRPr="00E87875" w:rsidTr="006C102C">
        <w:trPr>
          <w:trHeight w:val="300"/>
        </w:trPr>
        <w:tc>
          <w:tcPr>
            <w:tcW w:w="1050" w:type="pct"/>
            <w:tcBorders>
              <w:top w:val="single" w:sz="8" w:space="0" w:color="auto"/>
              <w:left w:val="single" w:sz="8" w:space="0" w:color="auto"/>
              <w:bottom w:val="single" w:sz="8" w:space="0" w:color="auto"/>
              <w:right w:val="single" w:sz="8" w:space="0" w:color="auto"/>
            </w:tcBorders>
            <w:shd w:val="clear" w:color="000000" w:fill="5B9BD5"/>
            <w:noWrap/>
            <w:vAlign w:val="center"/>
            <w:hideMark/>
          </w:tcPr>
          <w:p w:rsidR="001270CF" w:rsidRPr="00E87875" w:rsidRDefault="001270CF" w:rsidP="006C102C">
            <w:pPr>
              <w:spacing w:after="0" w:line="240" w:lineRule="auto"/>
              <w:jc w:val="center"/>
              <w:rPr>
                <w:rFonts w:ascii="Arial" w:eastAsia="Times New Roman" w:hAnsi="Arial" w:cs="Arial"/>
                <w:color w:val="FFFFFF"/>
              </w:rPr>
            </w:pPr>
            <w:r w:rsidRPr="00E87875">
              <w:rPr>
                <w:rFonts w:ascii="Arial" w:eastAsia="Times New Roman" w:hAnsi="Arial" w:cs="Arial"/>
                <w:color w:val="FFFFFF"/>
              </w:rPr>
              <w:t>Calidad ROS</w:t>
            </w:r>
          </w:p>
        </w:tc>
        <w:tc>
          <w:tcPr>
            <w:tcW w:w="674" w:type="pct"/>
            <w:tcBorders>
              <w:top w:val="single" w:sz="8" w:space="0" w:color="auto"/>
              <w:left w:val="nil"/>
              <w:bottom w:val="single" w:sz="8" w:space="0" w:color="auto"/>
              <w:right w:val="single" w:sz="8" w:space="0" w:color="auto"/>
            </w:tcBorders>
            <w:shd w:val="clear" w:color="000000" w:fill="5B9BD5"/>
            <w:noWrap/>
            <w:vAlign w:val="center"/>
            <w:hideMark/>
          </w:tcPr>
          <w:p w:rsidR="001270CF" w:rsidRPr="00E87875" w:rsidRDefault="001270CF" w:rsidP="006C102C">
            <w:pPr>
              <w:spacing w:after="0" w:line="240" w:lineRule="auto"/>
              <w:jc w:val="center"/>
              <w:rPr>
                <w:rFonts w:ascii="Arial" w:eastAsia="Times New Roman" w:hAnsi="Arial" w:cs="Arial"/>
                <w:color w:val="FFFFFF"/>
              </w:rPr>
            </w:pPr>
            <w:r w:rsidRPr="00E87875">
              <w:rPr>
                <w:rFonts w:ascii="Arial" w:eastAsia="Times New Roman" w:hAnsi="Arial" w:cs="Arial"/>
                <w:color w:val="FFFFFF"/>
              </w:rPr>
              <w:t>2018</w:t>
            </w:r>
          </w:p>
        </w:tc>
        <w:tc>
          <w:tcPr>
            <w:tcW w:w="674" w:type="pct"/>
            <w:tcBorders>
              <w:top w:val="single" w:sz="8" w:space="0" w:color="auto"/>
              <w:left w:val="nil"/>
              <w:bottom w:val="single" w:sz="8" w:space="0" w:color="auto"/>
              <w:right w:val="single" w:sz="8" w:space="0" w:color="auto"/>
            </w:tcBorders>
            <w:shd w:val="clear" w:color="000000" w:fill="5B9BD5"/>
            <w:noWrap/>
            <w:vAlign w:val="center"/>
            <w:hideMark/>
          </w:tcPr>
          <w:p w:rsidR="001270CF" w:rsidRPr="00E87875" w:rsidRDefault="001270CF" w:rsidP="006C102C">
            <w:pPr>
              <w:spacing w:after="0" w:line="240" w:lineRule="auto"/>
              <w:jc w:val="center"/>
              <w:rPr>
                <w:rFonts w:ascii="Arial" w:eastAsia="Times New Roman" w:hAnsi="Arial" w:cs="Arial"/>
                <w:color w:val="FFFFFF"/>
              </w:rPr>
            </w:pPr>
            <w:r w:rsidRPr="00E87875">
              <w:rPr>
                <w:rFonts w:ascii="Arial" w:eastAsia="Times New Roman" w:hAnsi="Arial" w:cs="Arial"/>
                <w:color w:val="FFFFFF"/>
              </w:rPr>
              <w:t>2019</w:t>
            </w:r>
          </w:p>
        </w:tc>
        <w:tc>
          <w:tcPr>
            <w:tcW w:w="674" w:type="pct"/>
            <w:tcBorders>
              <w:top w:val="single" w:sz="8" w:space="0" w:color="auto"/>
              <w:left w:val="nil"/>
              <w:bottom w:val="single" w:sz="8" w:space="0" w:color="auto"/>
              <w:right w:val="single" w:sz="8" w:space="0" w:color="auto"/>
            </w:tcBorders>
            <w:shd w:val="clear" w:color="000000" w:fill="5B9BD5"/>
            <w:noWrap/>
            <w:vAlign w:val="center"/>
            <w:hideMark/>
          </w:tcPr>
          <w:p w:rsidR="001270CF" w:rsidRPr="00E87875" w:rsidRDefault="001270CF" w:rsidP="006C102C">
            <w:pPr>
              <w:spacing w:after="0" w:line="240" w:lineRule="auto"/>
              <w:jc w:val="center"/>
              <w:rPr>
                <w:rFonts w:ascii="Arial" w:eastAsia="Times New Roman" w:hAnsi="Arial" w:cs="Arial"/>
                <w:color w:val="FFFFFF"/>
              </w:rPr>
            </w:pPr>
            <w:r w:rsidRPr="00E87875">
              <w:rPr>
                <w:rFonts w:ascii="Arial" w:eastAsia="Times New Roman" w:hAnsi="Arial" w:cs="Arial"/>
                <w:color w:val="FFFFFF"/>
              </w:rPr>
              <w:t>2020</w:t>
            </w:r>
          </w:p>
        </w:tc>
        <w:tc>
          <w:tcPr>
            <w:tcW w:w="674" w:type="pct"/>
            <w:tcBorders>
              <w:top w:val="single" w:sz="8" w:space="0" w:color="auto"/>
              <w:left w:val="nil"/>
              <w:bottom w:val="single" w:sz="8" w:space="0" w:color="auto"/>
              <w:right w:val="single" w:sz="8" w:space="0" w:color="auto"/>
            </w:tcBorders>
            <w:shd w:val="clear" w:color="000000" w:fill="5B9BD5"/>
            <w:noWrap/>
            <w:vAlign w:val="center"/>
            <w:hideMark/>
          </w:tcPr>
          <w:p w:rsidR="001270CF" w:rsidRPr="00E87875" w:rsidRDefault="001270CF" w:rsidP="006C102C">
            <w:pPr>
              <w:spacing w:after="0" w:line="240" w:lineRule="auto"/>
              <w:jc w:val="center"/>
              <w:rPr>
                <w:rFonts w:ascii="Arial" w:eastAsia="Times New Roman" w:hAnsi="Arial" w:cs="Arial"/>
                <w:color w:val="FFFFFF"/>
              </w:rPr>
            </w:pPr>
            <w:r w:rsidRPr="00E87875">
              <w:rPr>
                <w:rFonts w:ascii="Arial" w:eastAsia="Times New Roman" w:hAnsi="Arial" w:cs="Arial"/>
                <w:color w:val="FFFFFF"/>
              </w:rPr>
              <w:t>2021</w:t>
            </w:r>
          </w:p>
        </w:tc>
        <w:tc>
          <w:tcPr>
            <w:tcW w:w="674" w:type="pct"/>
            <w:tcBorders>
              <w:top w:val="single" w:sz="8" w:space="0" w:color="auto"/>
              <w:left w:val="nil"/>
              <w:bottom w:val="single" w:sz="8" w:space="0" w:color="auto"/>
              <w:right w:val="single" w:sz="8" w:space="0" w:color="auto"/>
            </w:tcBorders>
            <w:shd w:val="clear" w:color="000000" w:fill="5B9BD5"/>
            <w:noWrap/>
            <w:vAlign w:val="center"/>
            <w:hideMark/>
          </w:tcPr>
          <w:p w:rsidR="001270CF" w:rsidRPr="00E87875" w:rsidRDefault="001270CF" w:rsidP="006C102C">
            <w:pPr>
              <w:spacing w:after="0" w:line="240" w:lineRule="auto"/>
              <w:jc w:val="center"/>
              <w:rPr>
                <w:rFonts w:ascii="Arial" w:eastAsia="Times New Roman" w:hAnsi="Arial" w:cs="Arial"/>
                <w:color w:val="FFFFFF"/>
              </w:rPr>
            </w:pPr>
            <w:r w:rsidRPr="00E87875">
              <w:rPr>
                <w:rFonts w:ascii="Arial" w:eastAsia="Times New Roman" w:hAnsi="Arial" w:cs="Arial"/>
                <w:color w:val="FFFFFF"/>
              </w:rPr>
              <w:t>2022</w:t>
            </w:r>
          </w:p>
        </w:tc>
        <w:tc>
          <w:tcPr>
            <w:tcW w:w="578" w:type="pct"/>
            <w:tcBorders>
              <w:top w:val="single" w:sz="8" w:space="0" w:color="auto"/>
              <w:left w:val="nil"/>
              <w:bottom w:val="single" w:sz="8" w:space="0" w:color="auto"/>
              <w:right w:val="single" w:sz="8" w:space="0" w:color="auto"/>
            </w:tcBorders>
            <w:shd w:val="clear" w:color="000000" w:fill="5B9BD5"/>
            <w:noWrap/>
            <w:vAlign w:val="center"/>
            <w:hideMark/>
          </w:tcPr>
          <w:p w:rsidR="001270CF" w:rsidRPr="00E87875" w:rsidRDefault="001270CF" w:rsidP="006C102C">
            <w:pPr>
              <w:spacing w:after="0" w:line="240" w:lineRule="auto"/>
              <w:jc w:val="center"/>
              <w:rPr>
                <w:rFonts w:ascii="Arial" w:eastAsia="Times New Roman" w:hAnsi="Arial" w:cs="Arial"/>
                <w:color w:val="FFFFFF"/>
              </w:rPr>
            </w:pPr>
            <w:r w:rsidRPr="00EF4CF0">
              <w:rPr>
                <w:rFonts w:ascii="Arial" w:eastAsia="Times New Roman" w:hAnsi="Arial" w:cs="Arial"/>
                <w:color w:val="FFFFFF"/>
              </w:rPr>
              <w:t>%</w:t>
            </w:r>
          </w:p>
        </w:tc>
      </w:tr>
      <w:tr w:rsidR="001270CF" w:rsidRPr="00E87875" w:rsidTr="006C102C">
        <w:trPr>
          <w:trHeight w:val="300"/>
        </w:trPr>
        <w:tc>
          <w:tcPr>
            <w:tcW w:w="1050" w:type="pct"/>
            <w:tcBorders>
              <w:top w:val="nil"/>
              <w:left w:val="single" w:sz="8" w:space="0" w:color="auto"/>
              <w:bottom w:val="single" w:sz="8" w:space="0" w:color="auto"/>
              <w:right w:val="single" w:sz="8" w:space="0" w:color="auto"/>
            </w:tcBorders>
            <w:shd w:val="clear" w:color="auto" w:fill="auto"/>
            <w:noWrap/>
            <w:vAlign w:val="center"/>
            <w:hideMark/>
          </w:tcPr>
          <w:p w:rsidR="001270CF" w:rsidRPr="00E87875" w:rsidRDefault="001270CF" w:rsidP="006C102C">
            <w:pPr>
              <w:spacing w:after="0" w:line="240" w:lineRule="auto"/>
              <w:jc w:val="center"/>
              <w:rPr>
                <w:rFonts w:ascii="Arial" w:eastAsia="Times New Roman" w:hAnsi="Arial" w:cs="Arial"/>
                <w:color w:val="000000"/>
              </w:rPr>
            </w:pPr>
            <w:r w:rsidRPr="00E87875">
              <w:rPr>
                <w:rFonts w:ascii="Arial" w:eastAsia="Times New Roman" w:hAnsi="Arial" w:cs="Arial"/>
                <w:color w:val="000000"/>
              </w:rPr>
              <w:t>Buena</w:t>
            </w:r>
          </w:p>
        </w:tc>
        <w:tc>
          <w:tcPr>
            <w:tcW w:w="674" w:type="pct"/>
            <w:tcBorders>
              <w:top w:val="nil"/>
              <w:left w:val="nil"/>
              <w:bottom w:val="single" w:sz="8" w:space="0" w:color="auto"/>
              <w:right w:val="single" w:sz="8" w:space="0" w:color="auto"/>
            </w:tcBorders>
            <w:shd w:val="clear" w:color="auto" w:fill="auto"/>
            <w:noWrap/>
            <w:vAlign w:val="center"/>
            <w:hideMark/>
          </w:tcPr>
          <w:p w:rsidR="001270CF" w:rsidRPr="00E87875" w:rsidRDefault="001270CF" w:rsidP="006C102C">
            <w:pPr>
              <w:spacing w:after="0" w:line="240" w:lineRule="auto"/>
              <w:jc w:val="center"/>
              <w:rPr>
                <w:rFonts w:ascii="Arial" w:eastAsia="Times New Roman" w:hAnsi="Arial" w:cs="Arial"/>
                <w:color w:val="000000"/>
              </w:rPr>
            </w:pPr>
            <w:r w:rsidRPr="00E87875">
              <w:rPr>
                <w:rFonts w:ascii="Arial" w:eastAsia="Times New Roman" w:hAnsi="Arial" w:cs="Arial"/>
                <w:color w:val="000000"/>
              </w:rPr>
              <w:t>77%</w:t>
            </w:r>
          </w:p>
        </w:tc>
        <w:tc>
          <w:tcPr>
            <w:tcW w:w="674" w:type="pct"/>
            <w:tcBorders>
              <w:top w:val="nil"/>
              <w:left w:val="nil"/>
              <w:bottom w:val="single" w:sz="8" w:space="0" w:color="auto"/>
              <w:right w:val="single" w:sz="8" w:space="0" w:color="auto"/>
            </w:tcBorders>
            <w:shd w:val="clear" w:color="auto" w:fill="auto"/>
            <w:noWrap/>
            <w:vAlign w:val="center"/>
            <w:hideMark/>
          </w:tcPr>
          <w:p w:rsidR="001270CF" w:rsidRPr="00E87875" w:rsidRDefault="001270CF" w:rsidP="006C102C">
            <w:pPr>
              <w:spacing w:after="0" w:line="240" w:lineRule="auto"/>
              <w:jc w:val="center"/>
              <w:rPr>
                <w:rFonts w:ascii="Arial" w:eastAsia="Times New Roman" w:hAnsi="Arial" w:cs="Arial"/>
                <w:color w:val="000000"/>
              </w:rPr>
            </w:pPr>
            <w:r w:rsidRPr="00E87875">
              <w:rPr>
                <w:rFonts w:ascii="Arial" w:eastAsia="Times New Roman" w:hAnsi="Arial" w:cs="Arial"/>
                <w:color w:val="000000"/>
              </w:rPr>
              <w:t>51%</w:t>
            </w:r>
          </w:p>
        </w:tc>
        <w:tc>
          <w:tcPr>
            <w:tcW w:w="674" w:type="pct"/>
            <w:tcBorders>
              <w:top w:val="nil"/>
              <w:left w:val="nil"/>
              <w:bottom w:val="single" w:sz="8" w:space="0" w:color="auto"/>
              <w:right w:val="single" w:sz="8" w:space="0" w:color="auto"/>
            </w:tcBorders>
            <w:shd w:val="clear" w:color="auto" w:fill="auto"/>
            <w:noWrap/>
            <w:vAlign w:val="center"/>
            <w:hideMark/>
          </w:tcPr>
          <w:p w:rsidR="001270CF" w:rsidRPr="00E87875" w:rsidRDefault="001270CF" w:rsidP="006C102C">
            <w:pPr>
              <w:spacing w:after="0" w:line="240" w:lineRule="auto"/>
              <w:jc w:val="center"/>
              <w:rPr>
                <w:rFonts w:ascii="Arial" w:eastAsia="Times New Roman" w:hAnsi="Arial" w:cs="Arial"/>
                <w:color w:val="000000"/>
              </w:rPr>
            </w:pPr>
            <w:r w:rsidRPr="00E87875">
              <w:rPr>
                <w:rFonts w:ascii="Arial" w:eastAsia="Times New Roman" w:hAnsi="Arial" w:cs="Arial"/>
                <w:color w:val="000000"/>
              </w:rPr>
              <w:t>39%</w:t>
            </w:r>
          </w:p>
        </w:tc>
        <w:tc>
          <w:tcPr>
            <w:tcW w:w="674" w:type="pct"/>
            <w:tcBorders>
              <w:top w:val="nil"/>
              <w:left w:val="nil"/>
              <w:bottom w:val="single" w:sz="8" w:space="0" w:color="auto"/>
              <w:right w:val="single" w:sz="8" w:space="0" w:color="auto"/>
            </w:tcBorders>
            <w:shd w:val="clear" w:color="auto" w:fill="auto"/>
            <w:noWrap/>
            <w:vAlign w:val="center"/>
            <w:hideMark/>
          </w:tcPr>
          <w:p w:rsidR="001270CF" w:rsidRPr="00E87875" w:rsidRDefault="001270CF" w:rsidP="006C102C">
            <w:pPr>
              <w:spacing w:after="0" w:line="240" w:lineRule="auto"/>
              <w:jc w:val="center"/>
              <w:rPr>
                <w:rFonts w:ascii="Arial" w:eastAsia="Times New Roman" w:hAnsi="Arial" w:cs="Arial"/>
                <w:color w:val="000000"/>
              </w:rPr>
            </w:pPr>
            <w:r w:rsidRPr="00E87875">
              <w:rPr>
                <w:rFonts w:ascii="Arial" w:eastAsia="Times New Roman" w:hAnsi="Arial" w:cs="Arial"/>
                <w:color w:val="000000"/>
              </w:rPr>
              <w:t>49%</w:t>
            </w:r>
          </w:p>
        </w:tc>
        <w:tc>
          <w:tcPr>
            <w:tcW w:w="674" w:type="pct"/>
            <w:tcBorders>
              <w:top w:val="nil"/>
              <w:left w:val="nil"/>
              <w:bottom w:val="single" w:sz="8" w:space="0" w:color="auto"/>
              <w:right w:val="single" w:sz="8" w:space="0" w:color="auto"/>
            </w:tcBorders>
            <w:shd w:val="clear" w:color="auto" w:fill="auto"/>
            <w:noWrap/>
            <w:vAlign w:val="center"/>
            <w:hideMark/>
          </w:tcPr>
          <w:p w:rsidR="001270CF" w:rsidRPr="00E87875" w:rsidRDefault="001270CF" w:rsidP="006C102C">
            <w:pPr>
              <w:spacing w:after="0" w:line="240" w:lineRule="auto"/>
              <w:jc w:val="center"/>
              <w:rPr>
                <w:rFonts w:ascii="Arial" w:eastAsia="Times New Roman" w:hAnsi="Arial" w:cs="Arial"/>
                <w:color w:val="000000"/>
              </w:rPr>
            </w:pPr>
            <w:r w:rsidRPr="00E87875">
              <w:rPr>
                <w:rFonts w:ascii="Arial" w:eastAsia="Times New Roman" w:hAnsi="Arial" w:cs="Arial"/>
                <w:color w:val="000000"/>
              </w:rPr>
              <w:t>55%</w:t>
            </w:r>
          </w:p>
        </w:tc>
        <w:tc>
          <w:tcPr>
            <w:tcW w:w="578" w:type="pct"/>
            <w:tcBorders>
              <w:top w:val="nil"/>
              <w:left w:val="nil"/>
              <w:bottom w:val="single" w:sz="8" w:space="0" w:color="auto"/>
              <w:right w:val="single" w:sz="8" w:space="0" w:color="auto"/>
            </w:tcBorders>
            <w:shd w:val="clear" w:color="auto" w:fill="FFFF00"/>
            <w:noWrap/>
            <w:vAlign w:val="center"/>
            <w:hideMark/>
          </w:tcPr>
          <w:p w:rsidR="001270CF" w:rsidRPr="00E87875" w:rsidRDefault="001270CF" w:rsidP="006C102C">
            <w:pPr>
              <w:spacing w:after="0" w:line="240" w:lineRule="auto"/>
              <w:jc w:val="center"/>
              <w:rPr>
                <w:rFonts w:ascii="Arial" w:eastAsia="Times New Roman" w:hAnsi="Arial" w:cs="Arial"/>
                <w:color w:val="000000"/>
              </w:rPr>
            </w:pPr>
            <w:r w:rsidRPr="00E87875">
              <w:rPr>
                <w:rFonts w:ascii="Arial" w:eastAsia="Times New Roman" w:hAnsi="Arial" w:cs="Arial"/>
                <w:color w:val="000000"/>
              </w:rPr>
              <w:t>54%</w:t>
            </w:r>
          </w:p>
        </w:tc>
      </w:tr>
      <w:tr w:rsidR="001270CF" w:rsidRPr="00E87875" w:rsidTr="006C102C">
        <w:trPr>
          <w:trHeight w:val="300"/>
        </w:trPr>
        <w:tc>
          <w:tcPr>
            <w:tcW w:w="1050" w:type="pct"/>
            <w:tcBorders>
              <w:top w:val="nil"/>
              <w:left w:val="single" w:sz="8" w:space="0" w:color="auto"/>
              <w:bottom w:val="single" w:sz="8" w:space="0" w:color="auto"/>
              <w:right w:val="single" w:sz="8" w:space="0" w:color="auto"/>
            </w:tcBorders>
            <w:shd w:val="clear" w:color="auto" w:fill="auto"/>
            <w:noWrap/>
            <w:vAlign w:val="center"/>
            <w:hideMark/>
          </w:tcPr>
          <w:p w:rsidR="001270CF" w:rsidRPr="00E87875" w:rsidRDefault="001270CF" w:rsidP="006C102C">
            <w:pPr>
              <w:spacing w:after="0" w:line="240" w:lineRule="auto"/>
              <w:jc w:val="center"/>
              <w:rPr>
                <w:rFonts w:ascii="Arial" w:eastAsia="Times New Roman" w:hAnsi="Arial" w:cs="Arial"/>
                <w:color w:val="000000"/>
              </w:rPr>
            </w:pPr>
            <w:r w:rsidRPr="00E87875">
              <w:rPr>
                <w:rFonts w:ascii="Arial" w:eastAsia="Times New Roman" w:hAnsi="Arial" w:cs="Arial"/>
                <w:color w:val="000000"/>
              </w:rPr>
              <w:t>Mala</w:t>
            </w:r>
          </w:p>
        </w:tc>
        <w:tc>
          <w:tcPr>
            <w:tcW w:w="674" w:type="pct"/>
            <w:tcBorders>
              <w:top w:val="nil"/>
              <w:left w:val="nil"/>
              <w:bottom w:val="single" w:sz="8" w:space="0" w:color="auto"/>
              <w:right w:val="single" w:sz="8" w:space="0" w:color="auto"/>
            </w:tcBorders>
            <w:shd w:val="clear" w:color="auto" w:fill="auto"/>
            <w:noWrap/>
            <w:vAlign w:val="center"/>
            <w:hideMark/>
          </w:tcPr>
          <w:p w:rsidR="001270CF" w:rsidRPr="00E87875" w:rsidRDefault="001270CF" w:rsidP="006C102C">
            <w:pPr>
              <w:spacing w:after="0" w:line="240" w:lineRule="auto"/>
              <w:jc w:val="center"/>
              <w:rPr>
                <w:rFonts w:ascii="Arial" w:eastAsia="Times New Roman" w:hAnsi="Arial" w:cs="Arial"/>
                <w:color w:val="000000"/>
              </w:rPr>
            </w:pPr>
            <w:r w:rsidRPr="00E87875">
              <w:rPr>
                <w:rFonts w:ascii="Arial" w:eastAsia="Times New Roman" w:hAnsi="Arial" w:cs="Arial"/>
                <w:color w:val="000000"/>
              </w:rPr>
              <w:t>23%</w:t>
            </w:r>
          </w:p>
        </w:tc>
        <w:tc>
          <w:tcPr>
            <w:tcW w:w="674" w:type="pct"/>
            <w:tcBorders>
              <w:top w:val="nil"/>
              <w:left w:val="nil"/>
              <w:bottom w:val="single" w:sz="8" w:space="0" w:color="auto"/>
              <w:right w:val="single" w:sz="8" w:space="0" w:color="auto"/>
            </w:tcBorders>
            <w:shd w:val="clear" w:color="auto" w:fill="auto"/>
            <w:noWrap/>
            <w:vAlign w:val="center"/>
            <w:hideMark/>
          </w:tcPr>
          <w:p w:rsidR="001270CF" w:rsidRPr="00E87875" w:rsidRDefault="001270CF" w:rsidP="006C102C">
            <w:pPr>
              <w:spacing w:after="0" w:line="240" w:lineRule="auto"/>
              <w:jc w:val="center"/>
              <w:rPr>
                <w:rFonts w:ascii="Arial" w:eastAsia="Times New Roman" w:hAnsi="Arial" w:cs="Arial"/>
                <w:color w:val="000000"/>
              </w:rPr>
            </w:pPr>
            <w:r w:rsidRPr="00E87875">
              <w:rPr>
                <w:rFonts w:ascii="Arial" w:eastAsia="Times New Roman" w:hAnsi="Arial" w:cs="Arial"/>
                <w:color w:val="000000"/>
              </w:rPr>
              <w:t>49%</w:t>
            </w:r>
          </w:p>
        </w:tc>
        <w:tc>
          <w:tcPr>
            <w:tcW w:w="674" w:type="pct"/>
            <w:tcBorders>
              <w:top w:val="nil"/>
              <w:left w:val="nil"/>
              <w:bottom w:val="single" w:sz="8" w:space="0" w:color="auto"/>
              <w:right w:val="single" w:sz="8" w:space="0" w:color="auto"/>
            </w:tcBorders>
            <w:shd w:val="clear" w:color="auto" w:fill="auto"/>
            <w:noWrap/>
            <w:vAlign w:val="center"/>
            <w:hideMark/>
          </w:tcPr>
          <w:p w:rsidR="001270CF" w:rsidRPr="00E87875" w:rsidRDefault="001270CF" w:rsidP="006C102C">
            <w:pPr>
              <w:spacing w:after="0" w:line="240" w:lineRule="auto"/>
              <w:jc w:val="center"/>
              <w:rPr>
                <w:rFonts w:ascii="Arial" w:eastAsia="Times New Roman" w:hAnsi="Arial" w:cs="Arial"/>
                <w:color w:val="000000"/>
              </w:rPr>
            </w:pPr>
            <w:r w:rsidRPr="00E87875">
              <w:rPr>
                <w:rFonts w:ascii="Arial" w:eastAsia="Times New Roman" w:hAnsi="Arial" w:cs="Arial"/>
                <w:color w:val="000000"/>
              </w:rPr>
              <w:t>61%</w:t>
            </w:r>
          </w:p>
        </w:tc>
        <w:tc>
          <w:tcPr>
            <w:tcW w:w="674" w:type="pct"/>
            <w:tcBorders>
              <w:top w:val="nil"/>
              <w:left w:val="nil"/>
              <w:bottom w:val="single" w:sz="8" w:space="0" w:color="auto"/>
              <w:right w:val="single" w:sz="8" w:space="0" w:color="auto"/>
            </w:tcBorders>
            <w:shd w:val="clear" w:color="auto" w:fill="auto"/>
            <w:noWrap/>
            <w:vAlign w:val="center"/>
            <w:hideMark/>
          </w:tcPr>
          <w:p w:rsidR="001270CF" w:rsidRPr="00E87875" w:rsidRDefault="001270CF" w:rsidP="006C102C">
            <w:pPr>
              <w:spacing w:after="0" w:line="240" w:lineRule="auto"/>
              <w:jc w:val="center"/>
              <w:rPr>
                <w:rFonts w:ascii="Arial" w:eastAsia="Times New Roman" w:hAnsi="Arial" w:cs="Arial"/>
                <w:color w:val="000000"/>
              </w:rPr>
            </w:pPr>
            <w:r w:rsidRPr="00E87875">
              <w:rPr>
                <w:rFonts w:ascii="Arial" w:eastAsia="Times New Roman" w:hAnsi="Arial" w:cs="Arial"/>
                <w:color w:val="000000"/>
              </w:rPr>
              <w:t>51%</w:t>
            </w:r>
          </w:p>
        </w:tc>
        <w:tc>
          <w:tcPr>
            <w:tcW w:w="674" w:type="pct"/>
            <w:tcBorders>
              <w:top w:val="nil"/>
              <w:left w:val="nil"/>
              <w:bottom w:val="single" w:sz="8" w:space="0" w:color="auto"/>
              <w:right w:val="single" w:sz="8" w:space="0" w:color="auto"/>
            </w:tcBorders>
            <w:shd w:val="clear" w:color="auto" w:fill="auto"/>
            <w:noWrap/>
            <w:vAlign w:val="center"/>
            <w:hideMark/>
          </w:tcPr>
          <w:p w:rsidR="001270CF" w:rsidRPr="00E87875" w:rsidRDefault="001270CF" w:rsidP="006C102C">
            <w:pPr>
              <w:spacing w:after="0" w:line="240" w:lineRule="auto"/>
              <w:jc w:val="center"/>
              <w:rPr>
                <w:rFonts w:ascii="Arial" w:eastAsia="Times New Roman" w:hAnsi="Arial" w:cs="Arial"/>
                <w:color w:val="000000"/>
              </w:rPr>
            </w:pPr>
            <w:r w:rsidRPr="00E87875">
              <w:rPr>
                <w:rFonts w:ascii="Arial" w:eastAsia="Times New Roman" w:hAnsi="Arial" w:cs="Arial"/>
                <w:color w:val="000000"/>
              </w:rPr>
              <w:t>45%</w:t>
            </w:r>
          </w:p>
        </w:tc>
        <w:tc>
          <w:tcPr>
            <w:tcW w:w="578" w:type="pct"/>
            <w:tcBorders>
              <w:top w:val="nil"/>
              <w:left w:val="nil"/>
              <w:bottom w:val="single" w:sz="8" w:space="0" w:color="auto"/>
              <w:right w:val="single" w:sz="8" w:space="0" w:color="auto"/>
            </w:tcBorders>
            <w:shd w:val="clear" w:color="auto" w:fill="auto"/>
            <w:noWrap/>
            <w:vAlign w:val="center"/>
            <w:hideMark/>
          </w:tcPr>
          <w:p w:rsidR="001270CF" w:rsidRPr="00E87875" w:rsidRDefault="001270CF" w:rsidP="006C102C">
            <w:pPr>
              <w:spacing w:after="0" w:line="240" w:lineRule="auto"/>
              <w:jc w:val="center"/>
              <w:rPr>
                <w:rFonts w:ascii="Arial" w:eastAsia="Times New Roman" w:hAnsi="Arial" w:cs="Arial"/>
                <w:color w:val="000000"/>
              </w:rPr>
            </w:pPr>
            <w:r w:rsidRPr="00E87875">
              <w:rPr>
                <w:rFonts w:ascii="Arial" w:eastAsia="Times New Roman" w:hAnsi="Arial" w:cs="Arial"/>
                <w:color w:val="000000"/>
              </w:rPr>
              <w:t>46%</w:t>
            </w:r>
          </w:p>
        </w:tc>
      </w:tr>
    </w:tbl>
    <w:p w:rsidR="001270CF" w:rsidRPr="00EF4CF0" w:rsidRDefault="001270CF" w:rsidP="001270CF">
      <w:pPr>
        <w:rPr>
          <w:rFonts w:ascii="Arial" w:hAnsi="Arial" w:cs="Arial"/>
          <w:sz w:val="18"/>
        </w:rPr>
      </w:pPr>
      <w:r w:rsidRPr="00EF4CF0">
        <w:rPr>
          <w:rFonts w:ascii="Arial" w:hAnsi="Arial" w:cs="Arial"/>
          <w:sz w:val="18"/>
        </w:rPr>
        <w:t xml:space="preserve">Fuente: </w:t>
      </w:r>
      <w:r>
        <w:rPr>
          <w:rFonts w:ascii="Arial" w:hAnsi="Arial" w:cs="Arial"/>
          <w:sz w:val="18"/>
        </w:rPr>
        <w:t>UIF-SBS</w:t>
      </w:r>
    </w:p>
    <w:p w:rsidR="001270CF" w:rsidRPr="00EF4CF0" w:rsidRDefault="001270CF" w:rsidP="001270CF">
      <w:pPr>
        <w:rPr>
          <w:rFonts w:ascii="Arial" w:hAnsi="Arial" w:cs="Arial"/>
        </w:rPr>
      </w:pPr>
    </w:p>
    <w:p w:rsidR="001270CF" w:rsidRPr="00EF4CF0" w:rsidRDefault="001270CF" w:rsidP="001270CF">
      <w:pPr>
        <w:rPr>
          <w:rFonts w:ascii="Arial" w:hAnsi="Arial" w:cs="Arial"/>
          <w:b/>
        </w:rPr>
      </w:pPr>
      <w:r w:rsidRPr="00EF4CF0">
        <w:rPr>
          <w:rFonts w:ascii="Arial" w:hAnsi="Arial" w:cs="Arial"/>
          <w:b/>
        </w:rPr>
        <w:t>Parámetro de medición y método de cálculo</w:t>
      </w:r>
    </w:p>
    <w:p w:rsidR="001270CF" w:rsidRPr="00EF4CF0" w:rsidRDefault="001270CF" w:rsidP="001270CF">
      <w:pPr>
        <w:tabs>
          <w:tab w:val="left" w:pos="1817"/>
        </w:tabs>
        <w:spacing w:before="120" w:after="120"/>
        <w:jc w:val="both"/>
        <w:rPr>
          <w:rFonts w:ascii="Myriad Pro Light" w:hAnsi="Myriad Pro Light" w:cs="Myriad Pro Light"/>
          <w:color w:val="000000"/>
          <w:sz w:val="20"/>
          <w:szCs w:val="20"/>
        </w:rPr>
      </w:pPr>
      <w:r w:rsidRPr="00EF4CF0">
        <w:rPr>
          <w:rFonts w:ascii="Myriad Pro Light" w:hAnsi="Myriad Pro Light" w:cs="Myriad Pro Light"/>
          <w:color w:val="000000"/>
          <w:sz w:val="20"/>
          <w:szCs w:val="20"/>
        </w:rPr>
        <w:t xml:space="preserve">El cálculo del indicador se realiza estimando la suma de los </w:t>
      </w:r>
      <w:r>
        <w:rPr>
          <w:rFonts w:ascii="Myriad Pro Light" w:hAnsi="Myriad Pro Light" w:cs="Myriad Pro Light"/>
          <w:color w:val="000000"/>
          <w:sz w:val="20"/>
          <w:szCs w:val="20"/>
        </w:rPr>
        <w:t>porcentajes</w:t>
      </w:r>
      <w:r w:rsidRPr="00EF4CF0">
        <w:rPr>
          <w:rFonts w:ascii="Myriad Pro Light" w:hAnsi="Myriad Pro Light" w:cs="Myriad Pro Light"/>
          <w:color w:val="000000"/>
          <w:sz w:val="20"/>
          <w:szCs w:val="20"/>
        </w:rPr>
        <w:t xml:space="preserve"> de los ROS de alta y mediana calidad en un periodo determinado. Para la estimación del ratio se debe tener en cuenta la siguiente formula:</w:t>
      </w:r>
    </w:p>
    <w:p w:rsidR="001270CF" w:rsidRPr="00EF4CF0" w:rsidRDefault="001270CF" w:rsidP="001270CF">
      <w:pPr>
        <w:tabs>
          <w:tab w:val="left" w:pos="1817"/>
        </w:tabs>
        <w:spacing w:before="120" w:after="120"/>
        <w:jc w:val="both"/>
        <w:rPr>
          <w:rFonts w:ascii="Myriad Pro Light" w:hAnsi="Myriad Pro Light" w:cs="Myriad Pro Light"/>
          <w:color w:val="000000"/>
          <w:sz w:val="20"/>
          <w:szCs w:val="20"/>
        </w:rPr>
      </w:pPr>
    </w:p>
    <w:p w:rsidR="001270CF" w:rsidRPr="00EF4CF0" w:rsidRDefault="00E03D82" w:rsidP="001270CF">
      <w:pPr>
        <w:tabs>
          <w:tab w:val="left" w:pos="1817"/>
        </w:tabs>
        <w:spacing w:before="120" w:after="120"/>
        <w:jc w:val="both"/>
        <w:rPr>
          <w:rFonts w:ascii="Myriad Pro Light" w:hAnsi="Myriad Pro Light" w:cs="Myriad Pro Light"/>
          <w:color w:val="000000"/>
          <w:sz w:val="16"/>
          <w:szCs w:val="16"/>
        </w:rPr>
      </w:pPr>
      <m:oMathPara>
        <m:oMath>
          <m:nary>
            <m:naryPr>
              <m:chr m:val="∑"/>
              <m:limLoc m:val="undOvr"/>
              <m:ctrlPr>
                <w:rPr>
                  <w:rFonts w:ascii="Cambria Math" w:hAnsi="Cambria Math" w:cs="Myriad Pro Light"/>
                  <w:i/>
                  <w:color w:val="000000"/>
                  <w:sz w:val="16"/>
                  <w:szCs w:val="16"/>
                </w:rPr>
              </m:ctrlPr>
            </m:naryPr>
            <m:sub>
              <m:r>
                <w:rPr>
                  <w:rFonts w:ascii="Cambria Math" w:hAnsi="Cambria Math" w:cs="Myriad Pro Light"/>
                  <w:color w:val="000000"/>
                  <w:sz w:val="16"/>
                  <w:szCs w:val="16"/>
                </w:rPr>
                <m:t>1</m:t>
              </m:r>
            </m:sub>
            <m:sup>
              <m:r>
                <w:rPr>
                  <w:rFonts w:ascii="Cambria Math" w:hAnsi="Cambria Math" w:cs="Myriad Pro Light"/>
                  <w:color w:val="000000"/>
                  <w:sz w:val="16"/>
                  <w:szCs w:val="16"/>
                </w:rPr>
                <m:t>n</m:t>
              </m:r>
            </m:sup>
            <m:e>
              <m:f>
                <m:fPr>
                  <m:ctrlPr>
                    <w:rPr>
                      <w:rFonts w:ascii="Cambria Math" w:hAnsi="Cambria Math" w:cs="Myriad Pro Light"/>
                      <w:i/>
                      <w:color w:val="000000"/>
                      <w:sz w:val="16"/>
                      <w:szCs w:val="16"/>
                    </w:rPr>
                  </m:ctrlPr>
                </m:fPr>
                <m:num>
                  <m:d>
                    <m:dPr>
                      <m:ctrlPr>
                        <w:rPr>
                          <w:rFonts w:ascii="Cambria Math" w:hAnsi="Cambria Math" w:cs="Myriad Pro Light"/>
                          <w:i/>
                          <w:color w:val="000000"/>
                          <w:sz w:val="16"/>
                          <w:szCs w:val="16"/>
                        </w:rPr>
                      </m:ctrlPr>
                    </m:dPr>
                    <m:e>
                      <m:r>
                        <w:rPr>
                          <w:rFonts w:ascii="Cambria Math" w:hAnsi="Cambria Math" w:cs="Myriad Pro Light"/>
                          <w:color w:val="000000"/>
                          <w:sz w:val="16"/>
                          <w:szCs w:val="16"/>
                        </w:rPr>
                        <m:t>ROS alta calidad / Total ROS</m:t>
                      </m:r>
                    </m:e>
                  </m:d>
                </m:num>
                <m:den>
                  <m:r>
                    <w:rPr>
                      <w:rFonts w:ascii="Cambria Math" w:hAnsi="Cambria Math" w:cs="Myriad Pro Light"/>
                      <w:color w:val="000000"/>
                      <w:sz w:val="16"/>
                      <w:szCs w:val="16"/>
                    </w:rPr>
                    <m:t>n</m:t>
                  </m:r>
                </m:den>
              </m:f>
              <m:r>
                <w:rPr>
                  <w:rFonts w:ascii="Cambria Math" w:hAnsi="Cambria Math" w:cs="Myriad Pro Light"/>
                  <w:color w:val="000000"/>
                  <w:sz w:val="16"/>
                  <w:szCs w:val="16"/>
                </w:rPr>
                <m:t xml:space="preserve"> ×100</m:t>
              </m:r>
            </m:e>
          </m:nary>
          <m:r>
            <w:rPr>
              <w:rFonts w:ascii="Cambria Math" w:hAnsi="Cambria Math" w:cs="Myriad Pro Light"/>
              <w:color w:val="000000"/>
              <w:sz w:val="16"/>
              <w:szCs w:val="16"/>
            </w:rPr>
            <m:t xml:space="preserve">+ </m:t>
          </m:r>
          <m:nary>
            <m:naryPr>
              <m:chr m:val="∑"/>
              <m:limLoc m:val="undOvr"/>
              <m:ctrlPr>
                <w:rPr>
                  <w:rFonts w:ascii="Cambria Math" w:hAnsi="Cambria Math" w:cs="Myriad Pro Light"/>
                  <w:i/>
                  <w:color w:val="000000"/>
                  <w:sz w:val="16"/>
                  <w:szCs w:val="16"/>
                </w:rPr>
              </m:ctrlPr>
            </m:naryPr>
            <m:sub>
              <m:r>
                <w:rPr>
                  <w:rFonts w:ascii="Cambria Math" w:hAnsi="Cambria Math" w:cs="Myriad Pro Light"/>
                  <w:color w:val="000000"/>
                  <w:sz w:val="16"/>
                  <w:szCs w:val="16"/>
                </w:rPr>
                <m:t>1</m:t>
              </m:r>
            </m:sub>
            <m:sup>
              <m:r>
                <w:rPr>
                  <w:rFonts w:ascii="Cambria Math" w:hAnsi="Cambria Math" w:cs="Myriad Pro Light"/>
                  <w:color w:val="000000"/>
                  <w:sz w:val="16"/>
                  <w:szCs w:val="16"/>
                </w:rPr>
                <m:t>n</m:t>
              </m:r>
            </m:sup>
            <m:e>
              <m:f>
                <m:fPr>
                  <m:ctrlPr>
                    <w:rPr>
                      <w:rFonts w:ascii="Cambria Math" w:hAnsi="Cambria Math" w:cs="Myriad Pro Light"/>
                      <w:i/>
                      <w:color w:val="000000"/>
                      <w:sz w:val="16"/>
                      <w:szCs w:val="16"/>
                    </w:rPr>
                  </m:ctrlPr>
                </m:fPr>
                <m:num>
                  <m:d>
                    <m:dPr>
                      <m:ctrlPr>
                        <w:rPr>
                          <w:rFonts w:ascii="Cambria Math" w:hAnsi="Cambria Math" w:cs="Myriad Pro Light"/>
                          <w:i/>
                          <w:color w:val="000000"/>
                          <w:sz w:val="16"/>
                          <w:szCs w:val="16"/>
                        </w:rPr>
                      </m:ctrlPr>
                    </m:dPr>
                    <m:e>
                      <m:r>
                        <w:rPr>
                          <w:rFonts w:ascii="Cambria Math" w:hAnsi="Cambria Math" w:cs="Myriad Pro Light"/>
                          <w:color w:val="000000"/>
                          <w:sz w:val="16"/>
                          <w:szCs w:val="16"/>
                        </w:rPr>
                        <m:t>ROS media calidad / Total ROS</m:t>
                      </m:r>
                    </m:e>
                  </m:d>
                </m:num>
                <m:den>
                  <m:r>
                    <w:rPr>
                      <w:rFonts w:ascii="Cambria Math" w:hAnsi="Cambria Math" w:cs="Myriad Pro Light"/>
                      <w:color w:val="000000"/>
                      <w:sz w:val="16"/>
                      <w:szCs w:val="16"/>
                    </w:rPr>
                    <m:t>n</m:t>
                  </m:r>
                </m:den>
              </m:f>
              <m:r>
                <w:rPr>
                  <w:rFonts w:ascii="Cambria Math" w:hAnsi="Cambria Math" w:cs="Myriad Pro Light"/>
                  <w:color w:val="000000"/>
                  <w:sz w:val="16"/>
                  <w:szCs w:val="16"/>
                </w:rPr>
                <m:t xml:space="preserve"> ×100</m:t>
              </m:r>
            </m:e>
          </m:nary>
        </m:oMath>
      </m:oMathPara>
    </w:p>
    <w:p w:rsidR="001270CF" w:rsidRPr="00EF4CF0" w:rsidRDefault="001270CF" w:rsidP="001270CF">
      <w:pPr>
        <w:tabs>
          <w:tab w:val="left" w:pos="1817"/>
        </w:tabs>
        <w:spacing w:before="120" w:after="120"/>
        <w:jc w:val="both"/>
        <w:rPr>
          <w:rFonts w:ascii="Myriad Pro Light" w:hAnsi="Myriad Pro Light" w:cs="Myriad Pro Light"/>
          <w:color w:val="000000"/>
          <w:sz w:val="20"/>
          <w:szCs w:val="20"/>
        </w:rPr>
      </w:pPr>
    </w:p>
    <w:p w:rsidR="001270CF" w:rsidRPr="00EF4CF0" w:rsidRDefault="001270CF" w:rsidP="001270CF">
      <w:pPr>
        <w:tabs>
          <w:tab w:val="left" w:pos="1817"/>
        </w:tabs>
        <w:spacing w:before="120" w:after="120"/>
        <w:jc w:val="both"/>
        <w:rPr>
          <w:rFonts w:ascii="Myriad Pro Light" w:hAnsi="Myriad Pro Light" w:cs="Myriad Pro Light"/>
          <w:color w:val="000000"/>
          <w:sz w:val="20"/>
          <w:szCs w:val="20"/>
        </w:rPr>
      </w:pPr>
      <w:r w:rsidRPr="00EF4CF0">
        <w:rPr>
          <w:rFonts w:ascii="Myriad Pro Light" w:hAnsi="Myriad Pro Light" w:cs="Myriad Pro Light"/>
          <w:color w:val="000000"/>
          <w:sz w:val="20"/>
          <w:szCs w:val="20"/>
        </w:rPr>
        <w:t>Descripción de las variables:</w:t>
      </w:r>
    </w:p>
    <w:p w:rsidR="001270CF" w:rsidRDefault="001270CF" w:rsidP="001270CF">
      <w:pPr>
        <w:pStyle w:val="Prrafodelista"/>
        <w:numPr>
          <w:ilvl w:val="0"/>
          <w:numId w:val="36"/>
        </w:numPr>
        <w:tabs>
          <w:tab w:val="left" w:pos="1817"/>
        </w:tabs>
        <w:spacing w:before="120" w:after="120"/>
        <w:jc w:val="both"/>
        <w:rPr>
          <w:rFonts w:ascii="Myriad Pro Light" w:hAnsi="Myriad Pro Light" w:cs="Myriad Pro Light"/>
          <w:color w:val="000000"/>
          <w:sz w:val="20"/>
          <w:szCs w:val="20"/>
        </w:rPr>
      </w:pPr>
      <w:r>
        <w:rPr>
          <w:rFonts w:ascii="Myriad Pro Light" w:hAnsi="Myriad Pro Light" w:cs="Myriad Pro Light"/>
          <w:color w:val="000000"/>
          <w:sz w:val="20"/>
          <w:szCs w:val="20"/>
        </w:rPr>
        <w:t>ROS buena calidad: agrupa los ROS calificados de media y alta calidad.</w:t>
      </w:r>
    </w:p>
    <w:p w:rsidR="001270CF" w:rsidRPr="00EF4CF0" w:rsidRDefault="001270CF" w:rsidP="001270CF">
      <w:pPr>
        <w:pStyle w:val="Prrafodelista"/>
        <w:numPr>
          <w:ilvl w:val="0"/>
          <w:numId w:val="36"/>
        </w:numPr>
        <w:tabs>
          <w:tab w:val="left" w:pos="1817"/>
        </w:tabs>
        <w:spacing w:before="120" w:after="120"/>
        <w:jc w:val="both"/>
        <w:rPr>
          <w:rFonts w:ascii="Myriad Pro Light" w:hAnsi="Myriad Pro Light" w:cs="Myriad Pro Light"/>
          <w:color w:val="000000"/>
          <w:sz w:val="20"/>
          <w:szCs w:val="20"/>
        </w:rPr>
      </w:pPr>
      <w:r w:rsidRPr="00EF4CF0">
        <w:rPr>
          <w:rFonts w:ascii="Myriad Pro Light" w:hAnsi="Myriad Pro Light" w:cs="Myriad Pro Light"/>
          <w:color w:val="000000"/>
          <w:sz w:val="20"/>
          <w:szCs w:val="20"/>
        </w:rPr>
        <w:t xml:space="preserve">ROS alta calidad: es la cantidad de ROS calificados de alta calidad. </w:t>
      </w:r>
    </w:p>
    <w:p w:rsidR="001270CF" w:rsidRPr="00EF4CF0" w:rsidRDefault="001270CF" w:rsidP="001270CF">
      <w:pPr>
        <w:pStyle w:val="Prrafodelista"/>
        <w:numPr>
          <w:ilvl w:val="0"/>
          <w:numId w:val="36"/>
        </w:numPr>
        <w:tabs>
          <w:tab w:val="left" w:pos="1817"/>
        </w:tabs>
        <w:spacing w:before="120" w:after="120"/>
        <w:jc w:val="both"/>
        <w:rPr>
          <w:rFonts w:ascii="Myriad Pro Light" w:hAnsi="Myriad Pro Light" w:cs="Myriad Pro Light"/>
          <w:color w:val="000000"/>
          <w:sz w:val="20"/>
          <w:szCs w:val="20"/>
        </w:rPr>
      </w:pPr>
      <w:r w:rsidRPr="00EF4CF0">
        <w:rPr>
          <w:rFonts w:ascii="Myriad Pro Light" w:hAnsi="Myriad Pro Light" w:cs="Myriad Pro Light"/>
          <w:color w:val="000000"/>
          <w:sz w:val="20"/>
          <w:szCs w:val="20"/>
        </w:rPr>
        <w:t xml:space="preserve">ROS media calidad: es la cantidad de ROS calificados de media calidad. </w:t>
      </w:r>
    </w:p>
    <w:p w:rsidR="001270CF" w:rsidRPr="00EF4CF0" w:rsidRDefault="001270CF" w:rsidP="001270CF">
      <w:pPr>
        <w:pStyle w:val="Prrafodelista"/>
        <w:numPr>
          <w:ilvl w:val="0"/>
          <w:numId w:val="36"/>
        </w:numPr>
        <w:tabs>
          <w:tab w:val="left" w:pos="1817"/>
        </w:tabs>
        <w:spacing w:before="120" w:after="120"/>
        <w:jc w:val="both"/>
        <w:rPr>
          <w:rFonts w:ascii="Myriad Pro Light" w:hAnsi="Myriad Pro Light" w:cs="Myriad Pro Light"/>
          <w:color w:val="000000"/>
          <w:sz w:val="20"/>
          <w:szCs w:val="20"/>
        </w:rPr>
      </w:pPr>
      <w:r w:rsidRPr="00EF4CF0">
        <w:rPr>
          <w:rFonts w:ascii="Myriad Pro Light" w:hAnsi="Myriad Pro Light" w:cs="Myriad Pro Light"/>
          <w:color w:val="000000"/>
          <w:sz w:val="20"/>
          <w:szCs w:val="20"/>
        </w:rPr>
        <w:t>Total de ROS: cantidad total de ROS recibidos.</w:t>
      </w:r>
    </w:p>
    <w:p w:rsidR="001270CF" w:rsidRPr="00EF4CF0" w:rsidRDefault="001270CF" w:rsidP="001270CF">
      <w:pPr>
        <w:pStyle w:val="Prrafodelista"/>
        <w:tabs>
          <w:tab w:val="left" w:pos="1817"/>
        </w:tabs>
        <w:spacing w:before="120" w:after="120"/>
        <w:jc w:val="both"/>
        <w:rPr>
          <w:rFonts w:ascii="Myriad Pro Light" w:hAnsi="Myriad Pro Light" w:cs="Myriad Pro Light"/>
          <w:color w:val="000000"/>
          <w:sz w:val="20"/>
          <w:szCs w:val="20"/>
        </w:rPr>
      </w:pPr>
    </w:p>
    <w:p w:rsidR="001270CF" w:rsidRPr="00EF4CF0" w:rsidRDefault="001270CF" w:rsidP="001270CF">
      <w:pPr>
        <w:tabs>
          <w:tab w:val="left" w:pos="1817"/>
        </w:tabs>
        <w:spacing w:before="120" w:after="120"/>
        <w:jc w:val="both"/>
        <w:rPr>
          <w:rFonts w:ascii="Myriad Pro Light" w:hAnsi="Myriad Pro Light" w:cs="Myriad Pro Light"/>
          <w:color w:val="000000"/>
          <w:sz w:val="20"/>
          <w:szCs w:val="20"/>
        </w:rPr>
      </w:pPr>
      <w:r w:rsidRPr="00EF4CF0">
        <w:rPr>
          <w:rFonts w:ascii="Myriad Pro Light" w:hAnsi="Myriad Pro Light" w:cs="Myriad Pro Light"/>
          <w:color w:val="000000"/>
          <w:sz w:val="20"/>
          <w:szCs w:val="20"/>
        </w:rPr>
        <w:t xml:space="preserve">El nivel de calidad de un ROS (ítems a y b) está determinado por el detalle de la información y/o vinculación que pueda contener la descripción de la operación sospechosa como también los sustentos enviados en formato digital. </w:t>
      </w:r>
    </w:p>
    <w:p w:rsidR="001270CF" w:rsidRPr="00EF4CF0" w:rsidRDefault="001270CF" w:rsidP="001270CF">
      <w:pPr>
        <w:tabs>
          <w:tab w:val="left" w:pos="1817"/>
        </w:tabs>
        <w:spacing w:before="120" w:after="120"/>
        <w:jc w:val="both"/>
        <w:rPr>
          <w:rFonts w:ascii="Arial" w:hAnsi="Arial" w:cs="Arial"/>
        </w:rPr>
      </w:pPr>
      <w:r w:rsidRPr="00EF4CF0">
        <w:rPr>
          <w:rFonts w:ascii="Myriad Pro Light" w:hAnsi="Myriad Pro Light" w:cs="Myriad Pro Light"/>
          <w:color w:val="000000"/>
          <w:sz w:val="20"/>
          <w:szCs w:val="20"/>
        </w:rPr>
        <w:t>Asimismo, las variables deben estar calculadas en el mismo periodo de tiempo.</w:t>
      </w:r>
    </w:p>
    <w:p w:rsidR="001270CF" w:rsidRPr="00EF4CF0" w:rsidRDefault="001270CF" w:rsidP="001270CF">
      <w:pPr>
        <w:rPr>
          <w:rFonts w:ascii="Arial" w:hAnsi="Arial" w:cs="Arial"/>
        </w:rPr>
      </w:pPr>
    </w:p>
    <w:p w:rsidR="001270CF" w:rsidRPr="00EF4CF0" w:rsidRDefault="001270CF" w:rsidP="001270CF">
      <w:pPr>
        <w:rPr>
          <w:rFonts w:ascii="Arial" w:hAnsi="Arial" w:cs="Arial"/>
          <w:b/>
        </w:rPr>
      </w:pPr>
      <w:r w:rsidRPr="00EF4CF0">
        <w:rPr>
          <w:rFonts w:ascii="Arial" w:hAnsi="Arial" w:cs="Arial"/>
          <w:b/>
        </w:rPr>
        <w:t>Fuente y bases de datos</w:t>
      </w:r>
    </w:p>
    <w:p w:rsidR="001270CF" w:rsidRPr="00EF4CF0" w:rsidRDefault="001270CF" w:rsidP="001270CF">
      <w:pPr>
        <w:pStyle w:val="Prrafodelista"/>
        <w:numPr>
          <w:ilvl w:val="0"/>
          <w:numId w:val="37"/>
        </w:numPr>
        <w:tabs>
          <w:tab w:val="left" w:pos="1817"/>
        </w:tabs>
        <w:spacing w:before="120" w:after="120"/>
        <w:rPr>
          <w:rFonts w:ascii="Arial" w:hAnsi="Arial" w:cs="Arial"/>
          <w:color w:val="000000"/>
          <w:sz w:val="20"/>
          <w:szCs w:val="20"/>
        </w:rPr>
      </w:pPr>
      <w:r w:rsidRPr="00EF4CF0">
        <w:rPr>
          <w:rFonts w:ascii="Arial" w:hAnsi="Arial" w:cs="Arial"/>
          <w:color w:val="000000"/>
          <w:sz w:val="20"/>
          <w:szCs w:val="20"/>
        </w:rPr>
        <w:t>Sistema Reporte de Operaciones Sospechosas (ROSEL)</w:t>
      </w:r>
    </w:p>
    <w:p w:rsidR="001270CF" w:rsidRPr="00EF4CF0" w:rsidRDefault="001270CF" w:rsidP="001270CF">
      <w:pPr>
        <w:pStyle w:val="Prrafodelista"/>
        <w:numPr>
          <w:ilvl w:val="0"/>
          <w:numId w:val="37"/>
        </w:numPr>
        <w:tabs>
          <w:tab w:val="left" w:pos="1817"/>
        </w:tabs>
        <w:spacing w:before="120" w:after="120"/>
        <w:rPr>
          <w:rFonts w:ascii="Arial" w:hAnsi="Arial" w:cs="Arial"/>
          <w:color w:val="000000"/>
          <w:sz w:val="20"/>
          <w:szCs w:val="20"/>
        </w:rPr>
      </w:pPr>
      <w:r>
        <w:rPr>
          <w:rFonts w:ascii="Arial" w:hAnsi="Arial" w:cs="Arial"/>
          <w:color w:val="000000"/>
          <w:sz w:val="20"/>
          <w:szCs w:val="20"/>
        </w:rPr>
        <w:t>Sistema de p</w:t>
      </w:r>
      <w:r w:rsidRPr="00EF4CF0">
        <w:rPr>
          <w:rFonts w:ascii="Arial" w:hAnsi="Arial" w:cs="Arial"/>
          <w:color w:val="000000"/>
          <w:sz w:val="20"/>
          <w:szCs w:val="20"/>
        </w:rPr>
        <w:t>riorización de ROS – Calidad</w:t>
      </w:r>
    </w:p>
    <w:p w:rsidR="001270CF" w:rsidRPr="00EF4CF0" w:rsidRDefault="001270CF" w:rsidP="001270CF">
      <w:pPr>
        <w:rPr>
          <w:rFonts w:ascii="Arial" w:hAnsi="Arial" w:cs="Arial"/>
        </w:rPr>
      </w:pPr>
    </w:p>
    <w:p w:rsidR="001270CF" w:rsidRPr="00EF4CF0" w:rsidRDefault="001270CF" w:rsidP="001270CF">
      <w:pPr>
        <w:rPr>
          <w:rFonts w:ascii="Arial" w:hAnsi="Arial" w:cs="Arial"/>
          <w:b/>
        </w:rPr>
      </w:pPr>
      <w:r w:rsidRPr="00EF4CF0">
        <w:rPr>
          <w:rFonts w:ascii="Arial" w:hAnsi="Arial" w:cs="Arial"/>
          <w:b/>
        </w:rPr>
        <w:t>Proyección y valor esperado</w:t>
      </w:r>
    </w:p>
    <w:p w:rsidR="001270CF" w:rsidRDefault="001270CF" w:rsidP="001270CF">
      <w:pPr>
        <w:jc w:val="both"/>
        <w:rPr>
          <w:rFonts w:ascii="Arial" w:hAnsi="Arial" w:cs="Arial"/>
        </w:rPr>
      </w:pPr>
      <w:r>
        <w:rPr>
          <w:rFonts w:ascii="Arial" w:hAnsi="Arial" w:cs="Arial"/>
        </w:rPr>
        <w:t>Si se visualizan tres últimos años de registro, se puede observar una tendencia creciente en el porcentaje de ROS con buena calidad.</w:t>
      </w:r>
    </w:p>
    <w:p w:rsidR="001270CF" w:rsidRDefault="001270CF" w:rsidP="001270CF">
      <w:r>
        <w:br w:type="page"/>
      </w:r>
    </w:p>
    <w:p w:rsidR="001270CF" w:rsidRPr="00EF4CF0" w:rsidRDefault="001270CF" w:rsidP="001270CF">
      <w:pPr>
        <w:tabs>
          <w:tab w:val="left" w:pos="6379"/>
        </w:tabs>
        <w:jc w:val="center"/>
        <w:rPr>
          <w:rFonts w:ascii="Arial" w:hAnsi="Arial" w:cs="Arial"/>
          <w:b/>
        </w:rPr>
      </w:pPr>
      <w:r w:rsidRPr="00EF4CF0">
        <w:rPr>
          <w:rFonts w:ascii="Arial" w:hAnsi="Arial" w:cs="Arial"/>
          <w:b/>
        </w:rPr>
        <w:lastRenderedPageBreak/>
        <w:t>Evolución</w:t>
      </w:r>
      <w:r>
        <w:rPr>
          <w:rFonts w:ascii="Arial" w:hAnsi="Arial" w:cs="Arial"/>
          <w:b/>
        </w:rPr>
        <w:t xml:space="preserve"> del porcentaje de ROS de buena calidad </w:t>
      </w:r>
      <w:r w:rsidRPr="00EF4CF0">
        <w:rPr>
          <w:rFonts w:ascii="Arial" w:hAnsi="Arial" w:cs="Arial"/>
          <w:b/>
        </w:rPr>
        <w:t>por año (</w:t>
      </w:r>
      <w:r>
        <w:rPr>
          <w:rFonts w:ascii="Arial" w:hAnsi="Arial" w:cs="Arial"/>
          <w:b/>
        </w:rPr>
        <w:t>2018</w:t>
      </w:r>
      <w:r w:rsidRPr="00EF4CF0">
        <w:rPr>
          <w:rFonts w:ascii="Arial" w:hAnsi="Arial" w:cs="Arial"/>
          <w:b/>
        </w:rPr>
        <w:t>-2020)</w:t>
      </w:r>
    </w:p>
    <w:p w:rsidR="001270CF" w:rsidRPr="00EF4CF0" w:rsidRDefault="001270CF" w:rsidP="001270CF">
      <w:pPr>
        <w:jc w:val="center"/>
        <w:rPr>
          <w:rFonts w:ascii="Arial" w:hAnsi="Arial" w:cs="Arial"/>
        </w:rPr>
      </w:pPr>
      <w:r w:rsidRPr="00EF4CF0">
        <w:rPr>
          <w:rFonts w:ascii="Arial" w:hAnsi="Arial" w:cs="Arial"/>
          <w:noProof/>
        </w:rPr>
        <w:drawing>
          <wp:inline distT="0" distB="0" distL="0" distR="0" wp14:anchorId="4966EAAB" wp14:editId="0C458A80">
            <wp:extent cx="4233826" cy="2544987"/>
            <wp:effectExtent l="0" t="0" r="0"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39137" cy="2548180"/>
                    </a:xfrm>
                    <a:prstGeom prst="rect">
                      <a:avLst/>
                    </a:prstGeom>
                    <a:noFill/>
                  </pic:spPr>
                </pic:pic>
              </a:graphicData>
            </a:graphic>
          </wp:inline>
        </w:drawing>
      </w:r>
    </w:p>
    <w:p w:rsidR="001270CF" w:rsidRPr="00EF4CF0" w:rsidRDefault="001270CF" w:rsidP="001270CF">
      <w:pPr>
        <w:ind w:left="851"/>
        <w:rPr>
          <w:rFonts w:ascii="Arial" w:hAnsi="Arial" w:cs="Arial"/>
          <w:sz w:val="18"/>
        </w:rPr>
      </w:pPr>
      <w:r w:rsidRPr="00EF4CF0">
        <w:rPr>
          <w:rFonts w:ascii="Arial" w:hAnsi="Arial" w:cs="Arial"/>
          <w:sz w:val="18"/>
        </w:rPr>
        <w:t xml:space="preserve">Fuente: </w:t>
      </w:r>
      <w:r>
        <w:rPr>
          <w:rFonts w:ascii="Arial" w:hAnsi="Arial" w:cs="Arial"/>
          <w:sz w:val="18"/>
        </w:rPr>
        <w:t>UIF-SBS</w:t>
      </w:r>
    </w:p>
    <w:p w:rsidR="001270CF" w:rsidRPr="00EF4CF0" w:rsidRDefault="001270CF" w:rsidP="001270CF">
      <w:pPr>
        <w:rPr>
          <w:rFonts w:ascii="Arial" w:hAnsi="Arial" w:cs="Arial"/>
        </w:rPr>
      </w:pPr>
      <w:r>
        <w:rPr>
          <w:rFonts w:ascii="Arial" w:hAnsi="Arial" w:cs="Arial"/>
        </w:rPr>
        <w:t xml:space="preserve">Tomando en consideración lo expuesto, </w:t>
      </w:r>
      <w:r w:rsidRPr="00EF4CF0">
        <w:rPr>
          <w:rFonts w:ascii="Arial" w:hAnsi="Arial" w:cs="Arial"/>
        </w:rPr>
        <w:t>se plantea la siguiente meta con miras al año 2030</w:t>
      </w:r>
      <w:r>
        <w:rPr>
          <w:rFonts w:ascii="Arial" w:hAnsi="Arial" w:cs="Arial"/>
        </w:rPr>
        <w:t>:</w:t>
      </w:r>
    </w:p>
    <w:tbl>
      <w:tblPr>
        <w:tblStyle w:val="Tablaconcuadrcula"/>
        <w:tblW w:w="0" w:type="auto"/>
        <w:tblLook w:val="04A0" w:firstRow="1" w:lastRow="0" w:firstColumn="1" w:lastColumn="0" w:noHBand="0" w:noVBand="1"/>
      </w:tblPr>
      <w:tblGrid>
        <w:gridCol w:w="1841"/>
        <w:gridCol w:w="2974"/>
        <w:gridCol w:w="3679"/>
      </w:tblGrid>
      <w:tr w:rsidR="001270CF" w:rsidRPr="00EF4CF0" w:rsidTr="006C102C">
        <w:tc>
          <w:tcPr>
            <w:tcW w:w="1841" w:type="dxa"/>
            <w:shd w:val="clear" w:color="auto" w:fill="B8CCE4" w:themeFill="accent1" w:themeFillTint="66"/>
            <w:vAlign w:val="center"/>
          </w:tcPr>
          <w:p w:rsidR="001270CF" w:rsidRPr="00EF4CF0" w:rsidRDefault="001270CF" w:rsidP="006C102C">
            <w:pPr>
              <w:tabs>
                <w:tab w:val="left" w:pos="1817"/>
              </w:tabs>
              <w:spacing w:before="120" w:after="120"/>
              <w:rPr>
                <w:rFonts w:ascii="Arial" w:hAnsi="Arial" w:cs="Arial"/>
                <w:color w:val="000000"/>
                <w:sz w:val="20"/>
                <w:szCs w:val="20"/>
              </w:rPr>
            </w:pPr>
          </w:p>
        </w:tc>
        <w:tc>
          <w:tcPr>
            <w:tcW w:w="2974" w:type="dxa"/>
            <w:shd w:val="clear" w:color="auto" w:fill="B8CCE4" w:themeFill="accent1" w:themeFillTint="66"/>
            <w:vAlign w:val="center"/>
          </w:tcPr>
          <w:p w:rsidR="001270CF" w:rsidRPr="00EF4CF0" w:rsidRDefault="001270CF" w:rsidP="006C102C">
            <w:pPr>
              <w:tabs>
                <w:tab w:val="left" w:pos="1817"/>
              </w:tabs>
              <w:spacing w:before="120" w:after="120"/>
              <w:jc w:val="center"/>
              <w:rPr>
                <w:rFonts w:ascii="Arial" w:hAnsi="Arial" w:cs="Arial"/>
                <w:b/>
                <w:color w:val="000000"/>
                <w:sz w:val="20"/>
                <w:szCs w:val="20"/>
              </w:rPr>
            </w:pPr>
            <w:r w:rsidRPr="00EF4CF0">
              <w:rPr>
                <w:rFonts w:ascii="Arial" w:hAnsi="Arial" w:cs="Arial"/>
                <w:b/>
                <w:color w:val="000000"/>
                <w:sz w:val="20"/>
                <w:szCs w:val="20"/>
              </w:rPr>
              <w:t>Valor actual</w:t>
            </w:r>
          </w:p>
        </w:tc>
        <w:tc>
          <w:tcPr>
            <w:tcW w:w="3679" w:type="dxa"/>
            <w:shd w:val="clear" w:color="auto" w:fill="B8CCE4" w:themeFill="accent1" w:themeFillTint="66"/>
            <w:vAlign w:val="center"/>
          </w:tcPr>
          <w:p w:rsidR="001270CF" w:rsidRPr="00EF4CF0" w:rsidRDefault="001270CF" w:rsidP="006C102C">
            <w:pPr>
              <w:tabs>
                <w:tab w:val="left" w:pos="1817"/>
              </w:tabs>
              <w:spacing w:before="120" w:after="120"/>
              <w:jc w:val="center"/>
              <w:rPr>
                <w:rFonts w:ascii="Arial" w:hAnsi="Arial" w:cs="Arial"/>
                <w:b/>
                <w:color w:val="000000"/>
                <w:sz w:val="20"/>
                <w:szCs w:val="20"/>
              </w:rPr>
            </w:pPr>
            <w:r w:rsidRPr="00EF4CF0">
              <w:rPr>
                <w:rFonts w:ascii="Arial" w:hAnsi="Arial" w:cs="Arial"/>
                <w:b/>
                <w:color w:val="000000"/>
                <w:sz w:val="20"/>
                <w:szCs w:val="20"/>
              </w:rPr>
              <w:t>Logro</w:t>
            </w:r>
          </w:p>
        </w:tc>
      </w:tr>
      <w:tr w:rsidR="001270CF" w:rsidRPr="00EF4CF0" w:rsidTr="006C102C">
        <w:tc>
          <w:tcPr>
            <w:tcW w:w="1841" w:type="dxa"/>
            <w:shd w:val="clear" w:color="auto" w:fill="B8CCE4" w:themeFill="accent1" w:themeFillTint="66"/>
            <w:vAlign w:val="center"/>
          </w:tcPr>
          <w:p w:rsidR="001270CF" w:rsidRPr="00EF4CF0" w:rsidRDefault="001270CF" w:rsidP="006C102C">
            <w:pPr>
              <w:tabs>
                <w:tab w:val="left" w:pos="1817"/>
              </w:tabs>
              <w:spacing w:before="120" w:after="120"/>
              <w:rPr>
                <w:rFonts w:ascii="Arial" w:hAnsi="Arial" w:cs="Arial"/>
                <w:b/>
                <w:color w:val="000000"/>
                <w:sz w:val="20"/>
                <w:szCs w:val="20"/>
              </w:rPr>
            </w:pPr>
            <w:r w:rsidRPr="00EF4CF0">
              <w:rPr>
                <w:rFonts w:ascii="Arial" w:hAnsi="Arial" w:cs="Arial"/>
                <w:b/>
                <w:color w:val="000000"/>
                <w:sz w:val="20"/>
                <w:szCs w:val="20"/>
              </w:rPr>
              <w:t xml:space="preserve">Periodo </w:t>
            </w:r>
          </w:p>
        </w:tc>
        <w:tc>
          <w:tcPr>
            <w:tcW w:w="2974" w:type="dxa"/>
            <w:vAlign w:val="center"/>
          </w:tcPr>
          <w:p w:rsidR="001270CF" w:rsidRPr="00EF4CF0" w:rsidRDefault="001270CF" w:rsidP="006C102C">
            <w:pPr>
              <w:tabs>
                <w:tab w:val="left" w:pos="1817"/>
              </w:tabs>
              <w:spacing w:before="120" w:after="120"/>
              <w:jc w:val="center"/>
              <w:rPr>
                <w:rFonts w:ascii="Arial" w:hAnsi="Arial" w:cs="Arial"/>
                <w:b/>
                <w:color w:val="000000"/>
              </w:rPr>
            </w:pPr>
            <w:r w:rsidRPr="00EF4CF0">
              <w:rPr>
                <w:rFonts w:ascii="Arial" w:hAnsi="Arial" w:cs="Arial"/>
                <w:b/>
                <w:color w:val="000000"/>
              </w:rPr>
              <w:t>2018-2022</w:t>
            </w:r>
          </w:p>
        </w:tc>
        <w:tc>
          <w:tcPr>
            <w:tcW w:w="3679" w:type="dxa"/>
            <w:vAlign w:val="center"/>
          </w:tcPr>
          <w:p w:rsidR="001270CF" w:rsidRPr="00EF4CF0" w:rsidRDefault="001270CF" w:rsidP="006C102C">
            <w:pPr>
              <w:tabs>
                <w:tab w:val="left" w:pos="1817"/>
              </w:tabs>
              <w:spacing w:before="120" w:after="120"/>
              <w:jc w:val="center"/>
              <w:rPr>
                <w:rFonts w:ascii="Arial" w:hAnsi="Arial" w:cs="Arial"/>
                <w:b/>
                <w:color w:val="000000"/>
              </w:rPr>
            </w:pPr>
            <w:r w:rsidRPr="00EF4CF0">
              <w:rPr>
                <w:rFonts w:ascii="Arial" w:hAnsi="Arial" w:cs="Arial"/>
                <w:b/>
                <w:color w:val="000000"/>
              </w:rPr>
              <w:t>2023-2030</w:t>
            </w:r>
          </w:p>
        </w:tc>
      </w:tr>
      <w:tr w:rsidR="001270CF" w:rsidRPr="00EF4CF0" w:rsidTr="006C102C">
        <w:tc>
          <w:tcPr>
            <w:tcW w:w="1841" w:type="dxa"/>
            <w:shd w:val="clear" w:color="auto" w:fill="B8CCE4" w:themeFill="accent1" w:themeFillTint="66"/>
            <w:vAlign w:val="center"/>
          </w:tcPr>
          <w:p w:rsidR="001270CF" w:rsidRPr="00EF4CF0" w:rsidRDefault="001270CF" w:rsidP="006C102C">
            <w:pPr>
              <w:tabs>
                <w:tab w:val="left" w:pos="1817"/>
              </w:tabs>
              <w:spacing w:before="120" w:after="120"/>
              <w:rPr>
                <w:rFonts w:ascii="Arial" w:hAnsi="Arial" w:cs="Arial"/>
                <w:b/>
                <w:color w:val="000000"/>
                <w:sz w:val="20"/>
                <w:szCs w:val="20"/>
              </w:rPr>
            </w:pPr>
            <w:r w:rsidRPr="00EF4CF0">
              <w:rPr>
                <w:rFonts w:ascii="Arial" w:hAnsi="Arial" w:cs="Arial"/>
                <w:b/>
                <w:color w:val="000000"/>
                <w:sz w:val="20"/>
                <w:szCs w:val="20"/>
              </w:rPr>
              <w:t>Valor</w:t>
            </w:r>
          </w:p>
        </w:tc>
        <w:tc>
          <w:tcPr>
            <w:tcW w:w="2974" w:type="dxa"/>
            <w:vAlign w:val="center"/>
          </w:tcPr>
          <w:p w:rsidR="001270CF" w:rsidRPr="00EF4CF0" w:rsidRDefault="001270CF" w:rsidP="006C102C">
            <w:pPr>
              <w:tabs>
                <w:tab w:val="left" w:pos="1817"/>
              </w:tabs>
              <w:spacing w:before="120" w:after="120"/>
              <w:jc w:val="center"/>
              <w:rPr>
                <w:rFonts w:ascii="Arial" w:hAnsi="Arial" w:cs="Arial"/>
                <w:color w:val="000000"/>
              </w:rPr>
            </w:pPr>
            <w:r w:rsidRPr="00EF4CF0">
              <w:rPr>
                <w:rFonts w:ascii="Arial" w:hAnsi="Arial" w:cs="Arial"/>
                <w:color w:val="000000"/>
              </w:rPr>
              <w:t>54%</w:t>
            </w:r>
            <w:r>
              <w:rPr>
                <w:rFonts w:ascii="Arial" w:hAnsi="Arial" w:cs="Arial"/>
                <w:color w:val="000000"/>
              </w:rPr>
              <w:t xml:space="preserve"> de ROS son de buena calidad</w:t>
            </w:r>
          </w:p>
        </w:tc>
        <w:tc>
          <w:tcPr>
            <w:tcW w:w="3679" w:type="dxa"/>
            <w:vAlign w:val="center"/>
          </w:tcPr>
          <w:p w:rsidR="001270CF" w:rsidRPr="00EF4CF0" w:rsidRDefault="001270CF" w:rsidP="006C102C">
            <w:pPr>
              <w:tabs>
                <w:tab w:val="left" w:pos="1817"/>
              </w:tabs>
              <w:spacing w:before="120" w:after="120"/>
              <w:jc w:val="center"/>
              <w:rPr>
                <w:rFonts w:ascii="Arial" w:hAnsi="Arial" w:cs="Arial"/>
                <w:color w:val="000000"/>
              </w:rPr>
            </w:pPr>
            <w:r w:rsidRPr="00EF4CF0">
              <w:rPr>
                <w:rFonts w:ascii="Arial" w:hAnsi="Arial" w:cs="Arial"/>
                <w:color w:val="000000"/>
              </w:rPr>
              <w:t>85%</w:t>
            </w:r>
            <w:r>
              <w:rPr>
                <w:rFonts w:ascii="Arial" w:hAnsi="Arial" w:cs="Arial"/>
                <w:color w:val="000000"/>
              </w:rPr>
              <w:t xml:space="preserve"> de ROS son de buena calidad</w:t>
            </w:r>
          </w:p>
        </w:tc>
      </w:tr>
    </w:tbl>
    <w:p w:rsidR="001270CF" w:rsidRDefault="001270CF" w:rsidP="001270CF">
      <w:pPr>
        <w:tabs>
          <w:tab w:val="left" w:pos="1817"/>
        </w:tabs>
        <w:spacing w:after="0" w:line="240" w:lineRule="auto"/>
        <w:jc w:val="both"/>
        <w:rPr>
          <w:rFonts w:ascii="Arial" w:hAnsi="Arial" w:cs="Arial"/>
          <w:b/>
          <w:color w:val="000000"/>
          <w:u w:val="single"/>
        </w:rPr>
      </w:pPr>
    </w:p>
    <w:p w:rsidR="001270CF" w:rsidRPr="00EF4CF0" w:rsidRDefault="001270CF" w:rsidP="001270CF">
      <w:pPr>
        <w:tabs>
          <w:tab w:val="left" w:pos="1817"/>
        </w:tabs>
        <w:spacing w:after="0" w:line="240" w:lineRule="auto"/>
        <w:jc w:val="both"/>
        <w:rPr>
          <w:rFonts w:ascii="Arial" w:hAnsi="Arial" w:cs="Arial"/>
          <w:b/>
          <w:color w:val="000000"/>
          <w:u w:val="single"/>
        </w:rPr>
      </w:pPr>
      <w:r w:rsidRPr="00EF4CF0">
        <w:rPr>
          <w:rFonts w:ascii="Arial" w:hAnsi="Arial" w:cs="Arial"/>
          <w:b/>
          <w:color w:val="000000"/>
          <w:u w:val="single"/>
        </w:rPr>
        <w:t>Métrica 3: El número de sentencias condenatorias de LA emitidas</w:t>
      </w:r>
    </w:p>
    <w:p w:rsidR="001270CF" w:rsidRPr="00EF4CF0" w:rsidRDefault="001270CF" w:rsidP="001270CF"/>
    <w:p w:rsidR="001270CF" w:rsidRPr="00EF4CF0" w:rsidRDefault="001270CF" w:rsidP="001270CF">
      <w:pPr>
        <w:rPr>
          <w:rFonts w:ascii="Arial" w:hAnsi="Arial" w:cs="Arial"/>
          <w:b/>
        </w:rPr>
      </w:pPr>
      <w:r w:rsidRPr="00EF4CF0">
        <w:rPr>
          <w:rFonts w:ascii="Arial" w:hAnsi="Arial" w:cs="Arial"/>
          <w:b/>
        </w:rPr>
        <w:t>Objetivo</w:t>
      </w:r>
    </w:p>
    <w:p w:rsidR="001270CF" w:rsidRPr="00EF4CF0" w:rsidRDefault="001270CF" w:rsidP="001270CF">
      <w:pPr>
        <w:jc w:val="both"/>
        <w:rPr>
          <w:rFonts w:ascii="Arial" w:hAnsi="Arial" w:cs="Arial"/>
        </w:rPr>
      </w:pPr>
      <w:r>
        <w:rPr>
          <w:rFonts w:ascii="Arial" w:hAnsi="Arial" w:cs="Arial"/>
        </w:rPr>
        <w:t>Determinar</w:t>
      </w:r>
      <w:r w:rsidRPr="00EF4CF0">
        <w:rPr>
          <w:rFonts w:ascii="Arial" w:hAnsi="Arial" w:cs="Arial"/>
        </w:rPr>
        <w:t xml:space="preserve"> el número total de las sentencias condenatorias firmes dictadas en el país por lavado de activos (LA). </w:t>
      </w:r>
    </w:p>
    <w:p w:rsidR="001270CF" w:rsidRPr="00EF4CF0" w:rsidRDefault="001270CF" w:rsidP="001270CF">
      <w:pPr>
        <w:rPr>
          <w:rFonts w:ascii="Arial" w:hAnsi="Arial" w:cs="Arial"/>
        </w:rPr>
      </w:pPr>
    </w:p>
    <w:p w:rsidR="001270CF" w:rsidRPr="00EF4CF0" w:rsidRDefault="001270CF" w:rsidP="001270CF">
      <w:pPr>
        <w:rPr>
          <w:rFonts w:ascii="Arial" w:hAnsi="Arial" w:cs="Arial"/>
          <w:b/>
        </w:rPr>
      </w:pPr>
      <w:r w:rsidRPr="00EF4CF0">
        <w:rPr>
          <w:rFonts w:ascii="Arial" w:hAnsi="Arial" w:cs="Arial"/>
          <w:b/>
        </w:rPr>
        <w:t>Antecedentes</w:t>
      </w:r>
    </w:p>
    <w:p w:rsidR="001270CF" w:rsidRPr="00EF4CF0" w:rsidRDefault="001270CF" w:rsidP="001270CF">
      <w:pPr>
        <w:rPr>
          <w:rFonts w:ascii="Arial" w:hAnsi="Arial" w:cs="Arial"/>
        </w:rPr>
      </w:pPr>
      <w:r>
        <w:rPr>
          <w:rFonts w:ascii="Arial" w:hAnsi="Arial" w:cs="Arial"/>
        </w:rPr>
        <w:t>E</w:t>
      </w:r>
      <w:r w:rsidRPr="00EF4CF0">
        <w:rPr>
          <w:rFonts w:ascii="Arial" w:hAnsi="Arial" w:cs="Arial"/>
        </w:rPr>
        <w:t>n el periodo 2012-2020 se dictaron en el Perú 140 sentencias condenatorias firmes de LA, de acuerdo al siguiente detalle:</w:t>
      </w:r>
    </w:p>
    <w:tbl>
      <w:tblPr>
        <w:tblW w:w="3440" w:type="dxa"/>
        <w:jc w:val="center"/>
        <w:tblCellMar>
          <w:left w:w="70" w:type="dxa"/>
          <w:right w:w="70" w:type="dxa"/>
        </w:tblCellMar>
        <w:tblLook w:val="04A0" w:firstRow="1" w:lastRow="0" w:firstColumn="1" w:lastColumn="0" w:noHBand="0" w:noVBand="1"/>
      </w:tblPr>
      <w:tblGrid>
        <w:gridCol w:w="1560"/>
        <w:gridCol w:w="1880"/>
      </w:tblGrid>
      <w:tr w:rsidR="001270CF" w:rsidRPr="00EB3F8B" w:rsidTr="006C102C">
        <w:trPr>
          <w:trHeight w:val="290"/>
          <w:jc w:val="center"/>
        </w:trPr>
        <w:tc>
          <w:tcPr>
            <w:tcW w:w="1560"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1270CF" w:rsidRPr="00EB3F8B" w:rsidRDefault="001270CF" w:rsidP="006C102C">
            <w:pPr>
              <w:spacing w:after="0" w:line="240" w:lineRule="auto"/>
              <w:jc w:val="center"/>
              <w:rPr>
                <w:rFonts w:eastAsia="Times New Roman"/>
                <w:b/>
                <w:bCs/>
                <w:color w:val="000000"/>
              </w:rPr>
            </w:pPr>
            <w:r w:rsidRPr="00EB3F8B">
              <w:rPr>
                <w:rFonts w:eastAsia="Times New Roman"/>
                <w:b/>
                <w:bCs/>
                <w:color w:val="000000"/>
              </w:rPr>
              <w:t>Año</w:t>
            </w:r>
          </w:p>
        </w:tc>
        <w:tc>
          <w:tcPr>
            <w:tcW w:w="1880" w:type="dxa"/>
            <w:tcBorders>
              <w:top w:val="single" w:sz="4" w:space="0" w:color="auto"/>
              <w:left w:val="nil"/>
              <w:bottom w:val="single" w:sz="4" w:space="0" w:color="auto"/>
              <w:right w:val="single" w:sz="4" w:space="0" w:color="auto"/>
            </w:tcBorders>
            <w:shd w:val="clear" w:color="000000" w:fill="BDD7EE"/>
            <w:noWrap/>
            <w:vAlign w:val="center"/>
            <w:hideMark/>
          </w:tcPr>
          <w:p w:rsidR="001270CF" w:rsidRPr="00EB3F8B" w:rsidRDefault="001270CF" w:rsidP="006C102C">
            <w:pPr>
              <w:spacing w:after="0" w:line="240" w:lineRule="auto"/>
              <w:jc w:val="center"/>
              <w:rPr>
                <w:rFonts w:eastAsia="Times New Roman"/>
                <w:b/>
                <w:bCs/>
                <w:color w:val="000000"/>
              </w:rPr>
            </w:pPr>
            <w:r w:rsidRPr="00EB3F8B">
              <w:rPr>
                <w:rFonts w:eastAsia="Times New Roman"/>
                <w:b/>
                <w:bCs/>
                <w:color w:val="000000"/>
              </w:rPr>
              <w:t>N° de sentencias</w:t>
            </w:r>
          </w:p>
        </w:tc>
      </w:tr>
      <w:tr w:rsidR="001270CF" w:rsidRPr="00EB3F8B" w:rsidTr="006C102C">
        <w:trPr>
          <w:trHeight w:val="29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1270CF" w:rsidRPr="00EB3F8B" w:rsidRDefault="001270CF" w:rsidP="006C102C">
            <w:pPr>
              <w:spacing w:after="0" w:line="240" w:lineRule="auto"/>
              <w:jc w:val="center"/>
              <w:rPr>
                <w:rFonts w:eastAsia="Times New Roman"/>
                <w:color w:val="000000"/>
              </w:rPr>
            </w:pPr>
            <w:r w:rsidRPr="00EB3F8B">
              <w:rPr>
                <w:rFonts w:eastAsia="Times New Roman"/>
                <w:color w:val="000000"/>
              </w:rPr>
              <w:t>2012</w:t>
            </w:r>
          </w:p>
        </w:tc>
        <w:tc>
          <w:tcPr>
            <w:tcW w:w="1880" w:type="dxa"/>
            <w:tcBorders>
              <w:top w:val="nil"/>
              <w:left w:val="nil"/>
              <w:bottom w:val="single" w:sz="4" w:space="0" w:color="auto"/>
              <w:right w:val="single" w:sz="4" w:space="0" w:color="auto"/>
            </w:tcBorders>
            <w:shd w:val="clear" w:color="auto" w:fill="auto"/>
            <w:noWrap/>
            <w:vAlign w:val="bottom"/>
            <w:hideMark/>
          </w:tcPr>
          <w:p w:rsidR="001270CF" w:rsidRPr="00EB3F8B" w:rsidRDefault="001270CF" w:rsidP="006C102C">
            <w:pPr>
              <w:spacing w:after="0" w:line="240" w:lineRule="auto"/>
              <w:jc w:val="center"/>
              <w:rPr>
                <w:rFonts w:eastAsia="Times New Roman"/>
                <w:color w:val="000000"/>
              </w:rPr>
            </w:pPr>
            <w:r w:rsidRPr="00EB3F8B">
              <w:rPr>
                <w:rFonts w:eastAsia="Times New Roman"/>
                <w:color w:val="000000"/>
              </w:rPr>
              <w:t>9</w:t>
            </w:r>
          </w:p>
        </w:tc>
      </w:tr>
      <w:tr w:rsidR="001270CF" w:rsidRPr="00EB3F8B" w:rsidTr="006C102C">
        <w:trPr>
          <w:trHeight w:val="29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1270CF" w:rsidRPr="00EB3F8B" w:rsidRDefault="001270CF" w:rsidP="006C102C">
            <w:pPr>
              <w:spacing w:after="0" w:line="240" w:lineRule="auto"/>
              <w:jc w:val="center"/>
              <w:rPr>
                <w:rFonts w:eastAsia="Times New Roman"/>
                <w:color w:val="000000"/>
              </w:rPr>
            </w:pPr>
            <w:r w:rsidRPr="00EB3F8B">
              <w:rPr>
                <w:rFonts w:eastAsia="Times New Roman"/>
                <w:color w:val="000000"/>
              </w:rPr>
              <w:t>2013</w:t>
            </w:r>
          </w:p>
        </w:tc>
        <w:tc>
          <w:tcPr>
            <w:tcW w:w="1880" w:type="dxa"/>
            <w:tcBorders>
              <w:top w:val="nil"/>
              <w:left w:val="nil"/>
              <w:bottom w:val="single" w:sz="4" w:space="0" w:color="auto"/>
              <w:right w:val="single" w:sz="4" w:space="0" w:color="auto"/>
            </w:tcBorders>
            <w:shd w:val="clear" w:color="auto" w:fill="auto"/>
            <w:noWrap/>
            <w:vAlign w:val="bottom"/>
            <w:hideMark/>
          </w:tcPr>
          <w:p w:rsidR="001270CF" w:rsidRPr="00EB3F8B" w:rsidRDefault="001270CF" w:rsidP="006C102C">
            <w:pPr>
              <w:spacing w:after="0" w:line="240" w:lineRule="auto"/>
              <w:jc w:val="center"/>
              <w:rPr>
                <w:rFonts w:eastAsia="Times New Roman"/>
                <w:color w:val="000000"/>
              </w:rPr>
            </w:pPr>
            <w:r w:rsidRPr="00EB3F8B">
              <w:rPr>
                <w:rFonts w:eastAsia="Times New Roman"/>
                <w:color w:val="000000"/>
              </w:rPr>
              <w:t>15</w:t>
            </w:r>
          </w:p>
        </w:tc>
      </w:tr>
      <w:tr w:rsidR="001270CF" w:rsidRPr="00EB3F8B" w:rsidTr="006C102C">
        <w:trPr>
          <w:trHeight w:val="29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1270CF" w:rsidRPr="00EB3F8B" w:rsidRDefault="001270CF" w:rsidP="006C102C">
            <w:pPr>
              <w:spacing w:after="0" w:line="240" w:lineRule="auto"/>
              <w:jc w:val="center"/>
              <w:rPr>
                <w:rFonts w:eastAsia="Times New Roman"/>
                <w:color w:val="000000"/>
              </w:rPr>
            </w:pPr>
            <w:r w:rsidRPr="00EB3F8B">
              <w:rPr>
                <w:rFonts w:eastAsia="Times New Roman"/>
                <w:color w:val="000000"/>
              </w:rPr>
              <w:t>2014</w:t>
            </w:r>
          </w:p>
        </w:tc>
        <w:tc>
          <w:tcPr>
            <w:tcW w:w="1880" w:type="dxa"/>
            <w:tcBorders>
              <w:top w:val="nil"/>
              <w:left w:val="nil"/>
              <w:bottom w:val="single" w:sz="4" w:space="0" w:color="auto"/>
              <w:right w:val="single" w:sz="4" w:space="0" w:color="auto"/>
            </w:tcBorders>
            <w:shd w:val="clear" w:color="auto" w:fill="auto"/>
            <w:noWrap/>
            <w:vAlign w:val="bottom"/>
            <w:hideMark/>
          </w:tcPr>
          <w:p w:rsidR="001270CF" w:rsidRPr="00EB3F8B" w:rsidRDefault="001270CF" w:rsidP="006C102C">
            <w:pPr>
              <w:spacing w:after="0" w:line="240" w:lineRule="auto"/>
              <w:jc w:val="center"/>
              <w:rPr>
                <w:rFonts w:eastAsia="Times New Roman"/>
                <w:color w:val="000000"/>
              </w:rPr>
            </w:pPr>
            <w:r w:rsidRPr="00EB3F8B">
              <w:rPr>
                <w:rFonts w:eastAsia="Times New Roman"/>
                <w:color w:val="000000"/>
              </w:rPr>
              <w:t>8</w:t>
            </w:r>
          </w:p>
        </w:tc>
      </w:tr>
      <w:tr w:rsidR="001270CF" w:rsidRPr="00EB3F8B" w:rsidTr="006C102C">
        <w:trPr>
          <w:trHeight w:val="29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1270CF" w:rsidRPr="00EB3F8B" w:rsidRDefault="001270CF" w:rsidP="006C102C">
            <w:pPr>
              <w:spacing w:after="0" w:line="240" w:lineRule="auto"/>
              <w:jc w:val="center"/>
              <w:rPr>
                <w:rFonts w:eastAsia="Times New Roman"/>
                <w:color w:val="000000"/>
              </w:rPr>
            </w:pPr>
            <w:r w:rsidRPr="00EB3F8B">
              <w:rPr>
                <w:rFonts w:eastAsia="Times New Roman"/>
                <w:color w:val="000000"/>
              </w:rPr>
              <w:t>2015</w:t>
            </w:r>
          </w:p>
        </w:tc>
        <w:tc>
          <w:tcPr>
            <w:tcW w:w="1880" w:type="dxa"/>
            <w:tcBorders>
              <w:top w:val="nil"/>
              <w:left w:val="nil"/>
              <w:bottom w:val="single" w:sz="4" w:space="0" w:color="auto"/>
              <w:right w:val="single" w:sz="4" w:space="0" w:color="auto"/>
            </w:tcBorders>
            <w:shd w:val="clear" w:color="auto" w:fill="auto"/>
            <w:noWrap/>
            <w:vAlign w:val="bottom"/>
            <w:hideMark/>
          </w:tcPr>
          <w:p w:rsidR="001270CF" w:rsidRPr="00EB3F8B" w:rsidRDefault="001270CF" w:rsidP="006C102C">
            <w:pPr>
              <w:spacing w:after="0" w:line="240" w:lineRule="auto"/>
              <w:jc w:val="center"/>
              <w:rPr>
                <w:rFonts w:eastAsia="Times New Roman"/>
                <w:color w:val="000000"/>
              </w:rPr>
            </w:pPr>
            <w:r w:rsidRPr="00EB3F8B">
              <w:rPr>
                <w:rFonts w:eastAsia="Times New Roman"/>
                <w:color w:val="000000"/>
              </w:rPr>
              <w:t>15</w:t>
            </w:r>
          </w:p>
        </w:tc>
      </w:tr>
      <w:tr w:rsidR="001270CF" w:rsidRPr="00EB3F8B" w:rsidTr="006C102C">
        <w:trPr>
          <w:trHeight w:val="29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1270CF" w:rsidRPr="00EB3F8B" w:rsidRDefault="001270CF" w:rsidP="006C102C">
            <w:pPr>
              <w:spacing w:after="0" w:line="240" w:lineRule="auto"/>
              <w:jc w:val="center"/>
              <w:rPr>
                <w:rFonts w:eastAsia="Times New Roman"/>
                <w:color w:val="000000"/>
              </w:rPr>
            </w:pPr>
            <w:r w:rsidRPr="00EB3F8B">
              <w:rPr>
                <w:rFonts w:eastAsia="Times New Roman"/>
                <w:color w:val="000000"/>
              </w:rPr>
              <w:t>2016</w:t>
            </w:r>
          </w:p>
        </w:tc>
        <w:tc>
          <w:tcPr>
            <w:tcW w:w="1880" w:type="dxa"/>
            <w:tcBorders>
              <w:top w:val="nil"/>
              <w:left w:val="nil"/>
              <w:bottom w:val="single" w:sz="4" w:space="0" w:color="auto"/>
              <w:right w:val="single" w:sz="4" w:space="0" w:color="auto"/>
            </w:tcBorders>
            <w:shd w:val="clear" w:color="auto" w:fill="auto"/>
            <w:noWrap/>
            <w:vAlign w:val="bottom"/>
            <w:hideMark/>
          </w:tcPr>
          <w:p w:rsidR="001270CF" w:rsidRPr="00EB3F8B" w:rsidRDefault="001270CF" w:rsidP="006C102C">
            <w:pPr>
              <w:spacing w:after="0" w:line="240" w:lineRule="auto"/>
              <w:jc w:val="center"/>
              <w:rPr>
                <w:rFonts w:eastAsia="Times New Roman"/>
                <w:color w:val="000000"/>
              </w:rPr>
            </w:pPr>
            <w:r w:rsidRPr="00EB3F8B">
              <w:rPr>
                <w:rFonts w:eastAsia="Times New Roman"/>
                <w:color w:val="000000"/>
              </w:rPr>
              <w:t>10</w:t>
            </w:r>
          </w:p>
        </w:tc>
      </w:tr>
      <w:tr w:rsidR="001270CF" w:rsidRPr="00EB3F8B" w:rsidTr="006C102C">
        <w:trPr>
          <w:trHeight w:val="29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1270CF" w:rsidRPr="00EB3F8B" w:rsidRDefault="001270CF" w:rsidP="006C102C">
            <w:pPr>
              <w:spacing w:after="0" w:line="240" w:lineRule="auto"/>
              <w:jc w:val="center"/>
              <w:rPr>
                <w:rFonts w:eastAsia="Times New Roman"/>
                <w:color w:val="000000"/>
              </w:rPr>
            </w:pPr>
            <w:r w:rsidRPr="00EB3F8B">
              <w:rPr>
                <w:rFonts w:eastAsia="Times New Roman"/>
                <w:color w:val="000000"/>
              </w:rPr>
              <w:t>2017</w:t>
            </w:r>
          </w:p>
        </w:tc>
        <w:tc>
          <w:tcPr>
            <w:tcW w:w="1880" w:type="dxa"/>
            <w:tcBorders>
              <w:top w:val="nil"/>
              <w:left w:val="nil"/>
              <w:bottom w:val="single" w:sz="4" w:space="0" w:color="auto"/>
              <w:right w:val="single" w:sz="4" w:space="0" w:color="auto"/>
            </w:tcBorders>
            <w:shd w:val="clear" w:color="auto" w:fill="auto"/>
            <w:noWrap/>
            <w:vAlign w:val="bottom"/>
            <w:hideMark/>
          </w:tcPr>
          <w:p w:rsidR="001270CF" w:rsidRPr="00EB3F8B" w:rsidRDefault="001270CF" w:rsidP="006C102C">
            <w:pPr>
              <w:spacing w:after="0" w:line="240" w:lineRule="auto"/>
              <w:jc w:val="center"/>
              <w:rPr>
                <w:rFonts w:eastAsia="Times New Roman"/>
                <w:color w:val="000000"/>
              </w:rPr>
            </w:pPr>
            <w:r w:rsidRPr="00EB3F8B">
              <w:rPr>
                <w:rFonts w:eastAsia="Times New Roman"/>
                <w:color w:val="000000"/>
              </w:rPr>
              <w:t>11</w:t>
            </w:r>
          </w:p>
        </w:tc>
      </w:tr>
      <w:tr w:rsidR="001270CF" w:rsidRPr="00EB3F8B" w:rsidTr="006C102C">
        <w:trPr>
          <w:trHeight w:val="29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1270CF" w:rsidRPr="00EB3F8B" w:rsidRDefault="001270CF" w:rsidP="006C102C">
            <w:pPr>
              <w:spacing w:after="0" w:line="240" w:lineRule="auto"/>
              <w:jc w:val="center"/>
              <w:rPr>
                <w:rFonts w:eastAsia="Times New Roman"/>
                <w:color w:val="000000"/>
              </w:rPr>
            </w:pPr>
            <w:r w:rsidRPr="00EB3F8B">
              <w:rPr>
                <w:rFonts w:eastAsia="Times New Roman"/>
                <w:color w:val="000000"/>
              </w:rPr>
              <w:t>2018</w:t>
            </w:r>
          </w:p>
        </w:tc>
        <w:tc>
          <w:tcPr>
            <w:tcW w:w="1880" w:type="dxa"/>
            <w:tcBorders>
              <w:top w:val="nil"/>
              <w:left w:val="nil"/>
              <w:bottom w:val="single" w:sz="4" w:space="0" w:color="auto"/>
              <w:right w:val="single" w:sz="4" w:space="0" w:color="auto"/>
            </w:tcBorders>
            <w:shd w:val="clear" w:color="auto" w:fill="auto"/>
            <w:noWrap/>
            <w:vAlign w:val="bottom"/>
            <w:hideMark/>
          </w:tcPr>
          <w:p w:rsidR="001270CF" w:rsidRPr="00EB3F8B" w:rsidRDefault="001270CF" w:rsidP="006C102C">
            <w:pPr>
              <w:spacing w:after="0" w:line="240" w:lineRule="auto"/>
              <w:jc w:val="center"/>
              <w:rPr>
                <w:rFonts w:eastAsia="Times New Roman"/>
                <w:color w:val="000000"/>
              </w:rPr>
            </w:pPr>
            <w:r w:rsidRPr="00EB3F8B">
              <w:rPr>
                <w:rFonts w:eastAsia="Times New Roman"/>
                <w:color w:val="000000"/>
              </w:rPr>
              <w:t>32</w:t>
            </w:r>
          </w:p>
        </w:tc>
      </w:tr>
      <w:tr w:rsidR="001270CF" w:rsidRPr="00EB3F8B" w:rsidTr="006C102C">
        <w:trPr>
          <w:trHeight w:val="29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1270CF" w:rsidRPr="00EB3F8B" w:rsidRDefault="001270CF" w:rsidP="006C102C">
            <w:pPr>
              <w:spacing w:after="0" w:line="240" w:lineRule="auto"/>
              <w:jc w:val="center"/>
              <w:rPr>
                <w:rFonts w:eastAsia="Times New Roman"/>
                <w:color w:val="000000"/>
              </w:rPr>
            </w:pPr>
            <w:r w:rsidRPr="00EB3F8B">
              <w:rPr>
                <w:rFonts w:eastAsia="Times New Roman"/>
                <w:color w:val="000000"/>
              </w:rPr>
              <w:t>2019</w:t>
            </w:r>
          </w:p>
        </w:tc>
        <w:tc>
          <w:tcPr>
            <w:tcW w:w="1880" w:type="dxa"/>
            <w:tcBorders>
              <w:top w:val="nil"/>
              <w:left w:val="nil"/>
              <w:bottom w:val="single" w:sz="4" w:space="0" w:color="auto"/>
              <w:right w:val="single" w:sz="4" w:space="0" w:color="auto"/>
            </w:tcBorders>
            <w:shd w:val="clear" w:color="auto" w:fill="auto"/>
            <w:noWrap/>
            <w:vAlign w:val="bottom"/>
            <w:hideMark/>
          </w:tcPr>
          <w:p w:rsidR="001270CF" w:rsidRPr="00EB3F8B" w:rsidRDefault="001270CF" w:rsidP="006C102C">
            <w:pPr>
              <w:spacing w:after="0" w:line="240" w:lineRule="auto"/>
              <w:jc w:val="center"/>
              <w:rPr>
                <w:rFonts w:eastAsia="Times New Roman"/>
                <w:color w:val="000000"/>
              </w:rPr>
            </w:pPr>
            <w:r w:rsidRPr="00EB3F8B">
              <w:rPr>
                <w:rFonts w:eastAsia="Times New Roman"/>
                <w:color w:val="000000"/>
              </w:rPr>
              <w:t>26</w:t>
            </w:r>
          </w:p>
        </w:tc>
      </w:tr>
      <w:tr w:rsidR="001270CF" w:rsidRPr="00EB3F8B" w:rsidTr="006C102C">
        <w:trPr>
          <w:trHeight w:val="29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1270CF" w:rsidRPr="00EB3F8B" w:rsidRDefault="001270CF" w:rsidP="006C102C">
            <w:pPr>
              <w:spacing w:after="0" w:line="240" w:lineRule="auto"/>
              <w:jc w:val="center"/>
              <w:rPr>
                <w:rFonts w:eastAsia="Times New Roman"/>
                <w:color w:val="000000"/>
              </w:rPr>
            </w:pPr>
            <w:r w:rsidRPr="00EB3F8B">
              <w:rPr>
                <w:rFonts w:eastAsia="Times New Roman"/>
                <w:color w:val="000000"/>
              </w:rPr>
              <w:lastRenderedPageBreak/>
              <w:t>2020</w:t>
            </w:r>
          </w:p>
        </w:tc>
        <w:tc>
          <w:tcPr>
            <w:tcW w:w="1880" w:type="dxa"/>
            <w:tcBorders>
              <w:top w:val="nil"/>
              <w:left w:val="nil"/>
              <w:bottom w:val="single" w:sz="4" w:space="0" w:color="auto"/>
              <w:right w:val="single" w:sz="4" w:space="0" w:color="auto"/>
            </w:tcBorders>
            <w:shd w:val="clear" w:color="auto" w:fill="auto"/>
            <w:noWrap/>
            <w:vAlign w:val="bottom"/>
            <w:hideMark/>
          </w:tcPr>
          <w:p w:rsidR="001270CF" w:rsidRPr="00EB3F8B" w:rsidRDefault="001270CF" w:rsidP="006C102C">
            <w:pPr>
              <w:spacing w:after="0" w:line="240" w:lineRule="auto"/>
              <w:jc w:val="center"/>
              <w:rPr>
                <w:rFonts w:eastAsia="Times New Roman"/>
                <w:color w:val="000000"/>
              </w:rPr>
            </w:pPr>
            <w:r w:rsidRPr="00EB3F8B">
              <w:rPr>
                <w:rFonts w:eastAsia="Times New Roman"/>
                <w:color w:val="000000"/>
              </w:rPr>
              <w:t>14</w:t>
            </w:r>
          </w:p>
        </w:tc>
      </w:tr>
      <w:tr w:rsidR="001270CF" w:rsidRPr="00EB3F8B" w:rsidTr="006C102C">
        <w:trPr>
          <w:trHeight w:val="29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1270CF" w:rsidRPr="00EB3F8B" w:rsidRDefault="001270CF" w:rsidP="006C102C">
            <w:pPr>
              <w:spacing w:after="0" w:line="240" w:lineRule="auto"/>
              <w:jc w:val="center"/>
              <w:rPr>
                <w:rFonts w:eastAsia="Times New Roman"/>
                <w:color w:val="000000"/>
              </w:rPr>
            </w:pPr>
            <w:r w:rsidRPr="00EB3F8B">
              <w:rPr>
                <w:rFonts w:eastAsia="Times New Roman"/>
                <w:color w:val="000000"/>
              </w:rPr>
              <w:t>Total general</w:t>
            </w:r>
          </w:p>
        </w:tc>
        <w:tc>
          <w:tcPr>
            <w:tcW w:w="1880" w:type="dxa"/>
            <w:tcBorders>
              <w:top w:val="nil"/>
              <w:left w:val="nil"/>
              <w:bottom w:val="single" w:sz="4" w:space="0" w:color="auto"/>
              <w:right w:val="single" w:sz="4" w:space="0" w:color="auto"/>
            </w:tcBorders>
            <w:shd w:val="clear" w:color="auto" w:fill="auto"/>
            <w:noWrap/>
            <w:vAlign w:val="bottom"/>
            <w:hideMark/>
          </w:tcPr>
          <w:p w:rsidR="001270CF" w:rsidRPr="00EB3F8B" w:rsidRDefault="001270CF" w:rsidP="006C102C">
            <w:pPr>
              <w:spacing w:after="0" w:line="240" w:lineRule="auto"/>
              <w:jc w:val="center"/>
              <w:rPr>
                <w:rFonts w:eastAsia="Times New Roman"/>
                <w:color w:val="000000"/>
              </w:rPr>
            </w:pPr>
            <w:r w:rsidRPr="00EB3F8B">
              <w:rPr>
                <w:rFonts w:eastAsia="Times New Roman"/>
                <w:color w:val="000000"/>
              </w:rPr>
              <w:t>140</w:t>
            </w:r>
          </w:p>
        </w:tc>
      </w:tr>
    </w:tbl>
    <w:p w:rsidR="001270CF" w:rsidRPr="00EF4CF0" w:rsidRDefault="001270CF" w:rsidP="001270CF">
      <w:pPr>
        <w:ind w:left="2552"/>
        <w:rPr>
          <w:rFonts w:ascii="Arial" w:hAnsi="Arial" w:cs="Arial"/>
          <w:sz w:val="18"/>
        </w:rPr>
      </w:pPr>
      <w:r w:rsidRPr="00EF4CF0">
        <w:rPr>
          <w:rFonts w:ascii="Arial" w:hAnsi="Arial" w:cs="Arial"/>
          <w:sz w:val="18"/>
        </w:rPr>
        <w:t xml:space="preserve">Fuente: </w:t>
      </w:r>
      <w:r>
        <w:rPr>
          <w:rFonts w:ascii="Arial" w:hAnsi="Arial" w:cs="Arial"/>
          <w:sz w:val="18"/>
        </w:rPr>
        <w:t>UIF-SBS</w:t>
      </w:r>
    </w:p>
    <w:p w:rsidR="001270CF" w:rsidRPr="00EF4CF0" w:rsidRDefault="001270CF" w:rsidP="001270CF">
      <w:pPr>
        <w:jc w:val="both"/>
        <w:rPr>
          <w:rFonts w:ascii="Arial" w:eastAsia="Arial" w:hAnsi="Arial" w:cs="Arial"/>
          <w:color w:val="000000"/>
          <w:lang w:val="es-ES_tradnl"/>
        </w:rPr>
      </w:pPr>
      <w:r w:rsidRPr="00EF4CF0">
        <w:rPr>
          <w:rFonts w:ascii="Arial" w:eastAsia="Arial" w:hAnsi="Arial" w:cs="Arial"/>
          <w:color w:val="000000"/>
          <w:lang w:val="es-ES_tradnl"/>
        </w:rPr>
        <w:t xml:space="preserve">Si se comparan las sentencias emitidas en los últimos 6 años por </w:t>
      </w:r>
      <w:r w:rsidRPr="00EF4CF0">
        <w:rPr>
          <w:rFonts w:ascii="Arial" w:eastAsia="Arial" w:hAnsi="Arial" w:cs="Arial"/>
          <w:lang w:val="es-ES_tradnl"/>
        </w:rPr>
        <w:t>periodo</w:t>
      </w:r>
      <w:r w:rsidRPr="00EF4CF0">
        <w:rPr>
          <w:rFonts w:ascii="Arial" w:eastAsia="Arial" w:hAnsi="Arial" w:cs="Arial"/>
          <w:color w:val="000000"/>
          <w:lang w:val="es-ES_tradnl"/>
        </w:rPr>
        <w:t xml:space="preserve"> </w:t>
      </w:r>
      <w:r w:rsidRPr="00EF4CF0">
        <w:rPr>
          <w:rFonts w:ascii="Arial" w:eastAsia="Arial" w:hAnsi="Arial" w:cs="Arial"/>
          <w:lang w:val="es-ES_tradnl"/>
        </w:rPr>
        <w:t>trienal</w:t>
      </w:r>
      <w:r w:rsidRPr="00EF4CF0">
        <w:rPr>
          <w:rFonts w:ascii="Arial" w:eastAsia="Arial" w:hAnsi="Arial" w:cs="Arial"/>
          <w:color w:val="000000"/>
          <w:lang w:val="es-ES_tradnl"/>
        </w:rPr>
        <w:t xml:space="preserve">, se aprecia que en el periodo 2018-2020 se ha registrado un crecimiento significativo en comparación con </w:t>
      </w:r>
      <w:r w:rsidRPr="00EF4CF0">
        <w:rPr>
          <w:rFonts w:ascii="Arial" w:eastAsia="Arial" w:hAnsi="Arial" w:cs="Arial"/>
          <w:lang w:val="es-ES_tradnl"/>
        </w:rPr>
        <w:t>el número de sentencias</w:t>
      </w:r>
      <w:r w:rsidRPr="00EF4CF0">
        <w:rPr>
          <w:rFonts w:ascii="Arial" w:eastAsia="Arial" w:hAnsi="Arial" w:cs="Arial"/>
          <w:color w:val="000000"/>
          <w:lang w:val="es-ES_tradnl"/>
        </w:rPr>
        <w:t xml:space="preserve"> emitidas en el periodo 2015-2017.</w:t>
      </w:r>
    </w:p>
    <w:p w:rsidR="001270CF" w:rsidRPr="00EF4CF0" w:rsidRDefault="001270CF" w:rsidP="001270CF">
      <w:pPr>
        <w:jc w:val="both"/>
        <w:rPr>
          <w:rFonts w:ascii="Arial" w:hAnsi="Arial" w:cs="Arial"/>
        </w:rPr>
      </w:pPr>
      <w:r w:rsidRPr="00EF4CF0">
        <w:rPr>
          <w:rFonts w:ascii="Arial" w:eastAsia="Arial" w:hAnsi="Arial" w:cs="Arial"/>
          <w:color w:val="000000"/>
          <w:lang w:val="es-ES_tradnl"/>
        </w:rPr>
        <w:t xml:space="preserve">Esta información ha sido recogida del II Informe de sentencias condenatorias de LA en el Perú (elaborado por la </w:t>
      </w:r>
      <w:r>
        <w:rPr>
          <w:rFonts w:ascii="Arial" w:eastAsia="Arial" w:hAnsi="Arial" w:cs="Arial"/>
          <w:color w:val="000000"/>
          <w:lang w:val="es-ES_tradnl"/>
        </w:rPr>
        <w:t>UIF-</w:t>
      </w:r>
      <w:r w:rsidRPr="00EF4CF0">
        <w:rPr>
          <w:rFonts w:ascii="Arial" w:eastAsia="Arial" w:hAnsi="Arial" w:cs="Arial"/>
          <w:color w:val="000000"/>
          <w:lang w:val="es-ES_tradnl"/>
        </w:rPr>
        <w:t xml:space="preserve">SBS). </w:t>
      </w:r>
    </w:p>
    <w:p w:rsidR="001270CF" w:rsidRPr="00EF4CF0" w:rsidRDefault="001270CF" w:rsidP="001270CF">
      <w:pPr>
        <w:jc w:val="center"/>
        <w:rPr>
          <w:rFonts w:ascii="Arial" w:hAnsi="Arial" w:cs="Arial"/>
        </w:rPr>
      </w:pPr>
    </w:p>
    <w:p w:rsidR="001270CF" w:rsidRPr="00EF4CF0" w:rsidRDefault="001270CF" w:rsidP="001270CF">
      <w:pPr>
        <w:rPr>
          <w:rFonts w:ascii="Arial" w:hAnsi="Arial" w:cs="Arial"/>
          <w:b/>
        </w:rPr>
      </w:pPr>
      <w:r w:rsidRPr="00EF4CF0">
        <w:rPr>
          <w:rFonts w:ascii="Arial" w:hAnsi="Arial" w:cs="Arial"/>
          <w:b/>
        </w:rPr>
        <w:t>Parámetro de medición y método de cálculo</w:t>
      </w:r>
    </w:p>
    <w:p w:rsidR="001270CF" w:rsidRPr="00EF4CF0" w:rsidRDefault="001270CF" w:rsidP="001270CF">
      <w:pPr>
        <w:jc w:val="both"/>
        <w:rPr>
          <w:rFonts w:ascii="Arial" w:hAnsi="Arial" w:cs="Arial"/>
        </w:rPr>
      </w:pPr>
      <w:r w:rsidRPr="00EF4CF0">
        <w:rPr>
          <w:rFonts w:ascii="Arial" w:hAnsi="Arial" w:cs="Arial"/>
        </w:rPr>
        <w:t xml:space="preserve">Se calcula la tasa de variación </w:t>
      </w:r>
      <w:r w:rsidRPr="00EF4CF0">
        <w:rPr>
          <w:rFonts w:ascii="Arial" w:hAnsi="Arial" w:cs="Arial"/>
          <w:color w:val="000000"/>
        </w:rPr>
        <w:t>en el número de sentencias condenatorias de LA emitidas.</w:t>
      </w:r>
    </w:p>
    <w:p w:rsidR="001270CF" w:rsidRPr="00EF4CF0" w:rsidRDefault="001270CF" w:rsidP="001270CF">
      <w:pPr>
        <w:tabs>
          <w:tab w:val="left" w:pos="1817"/>
        </w:tabs>
        <w:spacing w:before="120" w:after="120"/>
        <w:jc w:val="both"/>
        <w:rPr>
          <w:rFonts w:ascii="Arial" w:hAnsi="Arial" w:cs="Arial"/>
        </w:rPr>
      </w:pPr>
      <w:r w:rsidRPr="00EF4CF0">
        <w:rPr>
          <w:rFonts w:ascii="Arial" w:hAnsi="Arial" w:cs="Arial"/>
        </w:rPr>
        <w:t>Se calcula la razón entre una misma variable, pero en periodos diferentes. Permite medir la variación porcentual que presentó una variable en el periodo reciente, respecto a un periodo anterior.</w:t>
      </w:r>
    </w:p>
    <w:p w:rsidR="001270CF" w:rsidRPr="00EF4CF0" w:rsidRDefault="001270CF" w:rsidP="001270CF">
      <w:pPr>
        <w:tabs>
          <w:tab w:val="left" w:pos="1817"/>
        </w:tabs>
        <w:jc w:val="both"/>
        <w:rPr>
          <w:rFonts w:ascii="Arial" w:hAnsi="Arial" w:cs="Arial"/>
          <w:color w:val="000000"/>
        </w:rPr>
      </w:pPr>
      <m:oMathPara>
        <m:oMath>
          <m:r>
            <w:rPr>
              <w:rFonts w:ascii="Cambria Math" w:hAnsi="Cambria Math" w:cs="Arial"/>
              <w:color w:val="000000"/>
            </w:rPr>
            <m:t xml:space="preserve">Sentencias LA ∆% = </m:t>
          </m:r>
          <m:d>
            <m:dPr>
              <m:begChr m:val="["/>
              <m:endChr m:val="]"/>
              <m:ctrlPr>
                <w:rPr>
                  <w:rFonts w:ascii="Cambria Math" w:hAnsi="Cambria Math" w:cs="Arial"/>
                  <w:i/>
                  <w:color w:val="000000"/>
                </w:rPr>
              </m:ctrlPr>
            </m:dPr>
            <m:e>
              <m:sSup>
                <m:sSupPr>
                  <m:ctrlPr>
                    <w:rPr>
                      <w:rFonts w:ascii="Cambria Math" w:hAnsi="Cambria Math" w:cs="Arial"/>
                      <w:i/>
                      <w:color w:val="000000"/>
                    </w:rPr>
                  </m:ctrlPr>
                </m:sSupPr>
                <m:e>
                  <m:d>
                    <m:dPr>
                      <m:ctrlPr>
                        <w:rPr>
                          <w:rFonts w:ascii="Cambria Math" w:hAnsi="Cambria Math" w:cs="Arial"/>
                          <w:i/>
                          <w:color w:val="000000"/>
                        </w:rPr>
                      </m:ctrlPr>
                    </m:dPr>
                    <m:e>
                      <m:f>
                        <m:fPr>
                          <m:ctrlPr>
                            <w:rPr>
                              <w:rFonts w:ascii="Cambria Math" w:hAnsi="Cambria Math" w:cs="Arial"/>
                              <w:i/>
                              <w:color w:val="000000"/>
                            </w:rPr>
                          </m:ctrlPr>
                        </m:fPr>
                        <m:num>
                          <m:r>
                            <w:rPr>
                              <w:rFonts w:ascii="Cambria Math" w:hAnsi="Cambria Math" w:cs="Arial"/>
                              <w:color w:val="000000"/>
                            </w:rPr>
                            <m:t xml:space="preserve">Sentencias LA </m:t>
                          </m:r>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1</m:t>
                              </m:r>
                            </m:sub>
                          </m:sSub>
                        </m:num>
                        <m:den>
                          <m:r>
                            <w:rPr>
                              <w:rFonts w:ascii="Cambria Math" w:hAnsi="Cambria Math" w:cs="Arial"/>
                              <w:color w:val="000000"/>
                            </w:rPr>
                            <m:t xml:space="preserve">Sentencias LA </m:t>
                          </m:r>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0</m:t>
                              </m:r>
                            </m:sub>
                          </m:sSub>
                        </m:den>
                      </m:f>
                    </m:e>
                  </m:d>
                </m:e>
                <m:sup>
                  <m:d>
                    <m:dPr>
                      <m:ctrlPr>
                        <w:rPr>
                          <w:rFonts w:ascii="Cambria Math" w:hAnsi="Cambria Math" w:cs="Arial"/>
                          <w:i/>
                          <w:color w:val="000000"/>
                        </w:rPr>
                      </m:ctrlPr>
                    </m:dPr>
                    <m:e>
                      <m:f>
                        <m:fPr>
                          <m:ctrlPr>
                            <w:rPr>
                              <w:rFonts w:ascii="Cambria Math" w:hAnsi="Cambria Math" w:cs="Arial"/>
                              <w:i/>
                              <w:color w:val="000000"/>
                            </w:rPr>
                          </m:ctrlPr>
                        </m:fPr>
                        <m:num>
                          <m:r>
                            <w:rPr>
                              <w:rFonts w:ascii="Cambria Math" w:hAnsi="Cambria Math" w:cs="Arial"/>
                              <w:color w:val="000000"/>
                            </w:rPr>
                            <m:t>1</m:t>
                          </m:r>
                        </m:num>
                        <m:den>
                          <m:r>
                            <w:rPr>
                              <w:rFonts w:ascii="Cambria Math" w:hAnsi="Cambria Math" w:cs="Arial"/>
                              <w:color w:val="000000"/>
                            </w:rPr>
                            <m:t>t1-t0</m:t>
                          </m:r>
                        </m:den>
                      </m:f>
                    </m:e>
                  </m:d>
                </m:sup>
              </m:sSup>
              <m:r>
                <w:rPr>
                  <w:rFonts w:ascii="Cambria Math" w:hAnsi="Cambria Math" w:cs="Arial"/>
                  <w:color w:val="000000"/>
                </w:rPr>
                <m:t>-1</m:t>
              </m:r>
            </m:e>
          </m:d>
          <m:r>
            <w:rPr>
              <w:rFonts w:ascii="Cambria Math" w:hAnsi="Cambria Math" w:cs="Arial"/>
              <w:color w:val="000000"/>
            </w:rPr>
            <m:t>*100</m:t>
          </m:r>
        </m:oMath>
      </m:oMathPara>
    </w:p>
    <w:p w:rsidR="001270CF" w:rsidRPr="00EF4CF0" w:rsidRDefault="001270CF" w:rsidP="001270CF">
      <w:pPr>
        <w:tabs>
          <w:tab w:val="left" w:pos="1817"/>
        </w:tabs>
        <w:spacing w:before="120" w:after="120"/>
        <w:rPr>
          <w:rFonts w:ascii="Arial" w:hAnsi="Arial" w:cs="Arial"/>
        </w:rPr>
      </w:pPr>
      <w:r w:rsidRPr="00EF4CF0">
        <w:rPr>
          <w:rFonts w:ascii="Arial" w:hAnsi="Arial" w:cs="Arial"/>
          <w:i/>
        </w:rPr>
        <w:t>Descripción de variables</w:t>
      </w:r>
      <w:r w:rsidRPr="00EF4CF0">
        <w:rPr>
          <w:rFonts w:ascii="Arial" w:hAnsi="Arial" w:cs="Arial"/>
        </w:rPr>
        <w:t>:</w:t>
      </w:r>
    </w:p>
    <w:p w:rsidR="001270CF" w:rsidRPr="00EF4CF0" w:rsidRDefault="001270CF" w:rsidP="001270CF">
      <w:pPr>
        <w:pStyle w:val="Prrafodelista"/>
        <w:numPr>
          <w:ilvl w:val="0"/>
          <w:numId w:val="35"/>
        </w:numPr>
        <w:tabs>
          <w:tab w:val="left" w:pos="1817"/>
        </w:tabs>
        <w:spacing w:before="120" w:after="120" w:line="240" w:lineRule="auto"/>
        <w:jc w:val="both"/>
        <w:rPr>
          <w:rFonts w:ascii="Arial" w:hAnsi="Arial" w:cs="Arial"/>
        </w:rPr>
      </w:pPr>
      <w:r w:rsidRPr="00EF4CF0">
        <w:rPr>
          <w:rFonts w:ascii="Arial" w:hAnsi="Arial" w:cs="Arial"/>
        </w:rPr>
        <w:t xml:space="preserve">Sentencias LA: </w:t>
      </w:r>
      <w:r>
        <w:rPr>
          <w:rFonts w:ascii="Arial" w:hAnsi="Arial" w:cs="Arial"/>
        </w:rPr>
        <w:t>c</w:t>
      </w:r>
      <w:r w:rsidRPr="00EF4CF0">
        <w:rPr>
          <w:rFonts w:ascii="Arial" w:hAnsi="Arial" w:cs="Arial"/>
        </w:rPr>
        <w:t>omprende el total de las sentencias condenatorias firmes dictadas en el país por lavado de activos (LA).</w:t>
      </w:r>
    </w:p>
    <w:p w:rsidR="001270CF" w:rsidRPr="00EF4CF0" w:rsidRDefault="001270CF" w:rsidP="001270CF">
      <w:pPr>
        <w:pStyle w:val="Prrafodelista"/>
        <w:numPr>
          <w:ilvl w:val="0"/>
          <w:numId w:val="35"/>
        </w:numPr>
        <w:rPr>
          <w:rFonts w:ascii="Arial" w:hAnsi="Arial" w:cs="Arial"/>
          <w:b/>
        </w:rPr>
      </w:pPr>
      <w:r w:rsidRPr="00EF4CF0">
        <w:rPr>
          <w:rFonts w:ascii="Arial" w:hAnsi="Arial" w:cs="Arial"/>
        </w:rPr>
        <w:t xml:space="preserve">Periodos de comparación: </w:t>
      </w:r>
      <w:r>
        <w:rPr>
          <w:rFonts w:ascii="Arial" w:hAnsi="Arial" w:cs="Arial"/>
        </w:rPr>
        <w:t>s</w:t>
      </w:r>
      <w:r w:rsidRPr="00EF4CF0">
        <w:rPr>
          <w:rFonts w:ascii="Arial" w:hAnsi="Arial" w:cs="Arial"/>
        </w:rPr>
        <w:t>on dos: 2015-2022 y 2023-2030.</w:t>
      </w:r>
    </w:p>
    <w:p w:rsidR="001270CF" w:rsidRPr="00EF4CF0" w:rsidRDefault="001270CF" w:rsidP="001270CF">
      <w:pPr>
        <w:rPr>
          <w:rFonts w:ascii="Arial" w:hAnsi="Arial" w:cs="Arial"/>
          <w:b/>
        </w:rPr>
      </w:pPr>
      <w:r w:rsidRPr="00EF4CF0">
        <w:rPr>
          <w:rFonts w:ascii="Arial" w:hAnsi="Arial" w:cs="Arial"/>
          <w:b/>
        </w:rPr>
        <w:t>Fuente y bases de datos</w:t>
      </w:r>
    </w:p>
    <w:p w:rsidR="001270CF" w:rsidRPr="00EF4CF0" w:rsidRDefault="001270CF" w:rsidP="001270CF">
      <w:pPr>
        <w:pStyle w:val="Prrafodelista"/>
        <w:numPr>
          <w:ilvl w:val="0"/>
          <w:numId w:val="34"/>
        </w:numPr>
        <w:tabs>
          <w:tab w:val="left" w:pos="1817"/>
        </w:tabs>
        <w:spacing w:before="120" w:after="120" w:line="240" w:lineRule="auto"/>
        <w:jc w:val="both"/>
        <w:rPr>
          <w:rFonts w:ascii="Arial" w:hAnsi="Arial" w:cs="Arial"/>
          <w:color w:val="000000"/>
        </w:rPr>
      </w:pPr>
      <w:r>
        <w:rPr>
          <w:rFonts w:ascii="Arial" w:hAnsi="Arial" w:cs="Arial"/>
          <w:color w:val="000000"/>
        </w:rPr>
        <w:t>Base de datos que sustentan el informe anual de sentencias condenatorias de LA elaborado por la UIF-SBS.</w:t>
      </w:r>
    </w:p>
    <w:p w:rsidR="001270CF" w:rsidRPr="00EF4CF0" w:rsidRDefault="001270CF" w:rsidP="001270CF">
      <w:pPr>
        <w:rPr>
          <w:rFonts w:ascii="Arial" w:hAnsi="Arial" w:cs="Arial"/>
          <w:b/>
        </w:rPr>
      </w:pPr>
    </w:p>
    <w:p w:rsidR="001270CF" w:rsidRPr="00EF4CF0" w:rsidRDefault="001270CF" w:rsidP="001270CF">
      <w:pPr>
        <w:rPr>
          <w:rFonts w:ascii="Arial" w:hAnsi="Arial" w:cs="Arial"/>
          <w:b/>
        </w:rPr>
      </w:pPr>
      <w:r w:rsidRPr="00EF4CF0">
        <w:rPr>
          <w:rFonts w:ascii="Arial" w:hAnsi="Arial" w:cs="Arial"/>
          <w:b/>
        </w:rPr>
        <w:t>Proyección y valor esperado</w:t>
      </w:r>
    </w:p>
    <w:p w:rsidR="001270CF" w:rsidRPr="00EF4CF0" w:rsidRDefault="001270CF" w:rsidP="001270CF">
      <w:pPr>
        <w:jc w:val="both"/>
        <w:rPr>
          <w:rFonts w:ascii="Arial" w:hAnsi="Arial" w:cs="Arial"/>
        </w:rPr>
      </w:pPr>
      <w:r w:rsidRPr="00EF4CF0">
        <w:rPr>
          <w:rFonts w:ascii="Arial" w:hAnsi="Arial" w:cs="Arial"/>
        </w:rPr>
        <w:t xml:space="preserve">La proyección se sustenta en que en los últimos años la tendencia del número de sentencias condenatorias ha sido creciente. Entre los años 2018 y 2019 se registran los mayores números (32 sentencias, 22.9%; y 26 sentencias, 18.6%, respectivamente) y en el año 2020 –pese a ser el año del inicio de la pandemia del COVID-19– se emitieron 14 sentencias. </w:t>
      </w:r>
    </w:p>
    <w:p w:rsidR="001270CF" w:rsidRDefault="001270CF" w:rsidP="001270CF">
      <w:pPr>
        <w:rPr>
          <w:rFonts w:ascii="Arial" w:hAnsi="Arial" w:cs="Arial"/>
        </w:rPr>
      </w:pPr>
      <w:r w:rsidRPr="00EF4CF0">
        <w:rPr>
          <w:rFonts w:ascii="Arial" w:hAnsi="Arial" w:cs="Arial"/>
        </w:rPr>
        <w:t xml:space="preserve">El sentido esperado de la presente métrica es ascendente. </w:t>
      </w:r>
    </w:p>
    <w:p w:rsidR="001270CF" w:rsidRDefault="001270CF">
      <w:pPr>
        <w:rPr>
          <w:rFonts w:ascii="Arial" w:hAnsi="Arial" w:cs="Arial"/>
        </w:rPr>
      </w:pPr>
      <w:r>
        <w:rPr>
          <w:rFonts w:ascii="Arial" w:hAnsi="Arial" w:cs="Arial"/>
        </w:rPr>
        <w:br w:type="page"/>
      </w:r>
    </w:p>
    <w:p w:rsidR="001270CF" w:rsidRPr="00EF4CF0" w:rsidRDefault="001270CF" w:rsidP="001270CF">
      <w:pPr>
        <w:jc w:val="center"/>
        <w:rPr>
          <w:rFonts w:ascii="Arial" w:hAnsi="Arial" w:cs="Arial"/>
          <w:b/>
        </w:rPr>
      </w:pPr>
      <w:r w:rsidRPr="00EF4CF0">
        <w:rPr>
          <w:rFonts w:ascii="Arial" w:hAnsi="Arial" w:cs="Arial"/>
          <w:b/>
        </w:rPr>
        <w:lastRenderedPageBreak/>
        <w:t>Evolución de sentencias por año (2012-2020)</w:t>
      </w:r>
    </w:p>
    <w:p w:rsidR="001270CF" w:rsidRPr="00EF4CF0" w:rsidRDefault="001270CF" w:rsidP="001270CF">
      <w:pPr>
        <w:jc w:val="center"/>
        <w:rPr>
          <w:rFonts w:ascii="Arial" w:hAnsi="Arial" w:cs="Arial"/>
        </w:rPr>
      </w:pPr>
      <w:r w:rsidRPr="00EF4CF0">
        <w:rPr>
          <w:rFonts w:ascii="Arial" w:hAnsi="Arial" w:cs="Arial"/>
          <w:noProof/>
        </w:rPr>
        <w:drawing>
          <wp:inline distT="0" distB="0" distL="0" distR="0" wp14:anchorId="62DF04F3" wp14:editId="20CDBDD0">
            <wp:extent cx="3815155" cy="22933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23003" cy="2298038"/>
                    </a:xfrm>
                    <a:prstGeom prst="rect">
                      <a:avLst/>
                    </a:prstGeom>
                    <a:noFill/>
                  </pic:spPr>
                </pic:pic>
              </a:graphicData>
            </a:graphic>
          </wp:inline>
        </w:drawing>
      </w:r>
    </w:p>
    <w:p w:rsidR="001270CF" w:rsidRPr="00EF4CF0" w:rsidRDefault="001270CF" w:rsidP="001270CF">
      <w:pPr>
        <w:pBdr>
          <w:top w:val="nil"/>
          <w:left w:val="nil"/>
          <w:bottom w:val="nil"/>
          <w:right w:val="nil"/>
          <w:between w:val="nil"/>
        </w:pBdr>
        <w:spacing w:after="0" w:line="240" w:lineRule="auto"/>
        <w:ind w:left="1428" w:firstLine="12"/>
        <w:jc w:val="both"/>
        <w:rPr>
          <w:rFonts w:ascii="Arial" w:hAnsi="Arial" w:cs="Arial"/>
        </w:rPr>
      </w:pPr>
      <w:r w:rsidRPr="00EF4CF0">
        <w:rPr>
          <w:rFonts w:ascii="Arial" w:eastAsia="Arial" w:hAnsi="Arial" w:cs="Arial"/>
          <w:b/>
          <w:color w:val="000000"/>
          <w:sz w:val="20"/>
          <w:szCs w:val="20"/>
          <w:lang w:val="es-ES_tradnl"/>
        </w:rPr>
        <w:t>Elaboración: UIF-SBS</w:t>
      </w:r>
    </w:p>
    <w:p w:rsidR="001270CF" w:rsidRPr="00EF4CF0" w:rsidRDefault="001270CF" w:rsidP="001270CF">
      <w:pPr>
        <w:rPr>
          <w:rFonts w:ascii="Arial" w:hAnsi="Arial" w:cs="Arial"/>
        </w:rPr>
      </w:pPr>
    </w:p>
    <w:p w:rsidR="001270CF" w:rsidRPr="00EF4CF0" w:rsidRDefault="001270CF" w:rsidP="001270CF">
      <w:pPr>
        <w:jc w:val="both"/>
        <w:rPr>
          <w:rFonts w:ascii="Arial" w:hAnsi="Arial" w:cs="Arial"/>
        </w:rPr>
      </w:pPr>
      <w:r w:rsidRPr="00EF4CF0">
        <w:rPr>
          <w:rFonts w:ascii="Arial" w:hAnsi="Arial" w:cs="Arial"/>
        </w:rPr>
        <w:t>Asimismo, si se comparan las sentencias emitidas en los últimos seis años por periodo trienal, se aprecia que entre los años 2015 y 2017 se registraron 36 sentencias por LA, mientras que entre los años 2018 y 2020 un total de 72 sentencias (36 más que en el periodo anterior, lo que equivale a un aumento del 100%).</w:t>
      </w:r>
    </w:p>
    <w:p w:rsidR="001270CF" w:rsidRPr="00EF4CF0" w:rsidRDefault="001270CF" w:rsidP="001270CF">
      <w:pPr>
        <w:jc w:val="both"/>
        <w:rPr>
          <w:rFonts w:ascii="Arial" w:hAnsi="Arial" w:cs="Arial"/>
        </w:rPr>
      </w:pPr>
      <w:r w:rsidRPr="00EF4CF0">
        <w:rPr>
          <w:rFonts w:ascii="Arial" w:hAnsi="Arial" w:cs="Arial"/>
        </w:rPr>
        <w:t xml:space="preserve">Basado en dicho análisis se plantea la siguiente meta con miras al año 2030, horizonte temporal de la política. </w:t>
      </w:r>
    </w:p>
    <w:tbl>
      <w:tblPr>
        <w:tblStyle w:val="Tablaconcuadrcula"/>
        <w:tblW w:w="0" w:type="auto"/>
        <w:tblLook w:val="04A0" w:firstRow="1" w:lastRow="0" w:firstColumn="1" w:lastColumn="0" w:noHBand="0" w:noVBand="1"/>
      </w:tblPr>
      <w:tblGrid>
        <w:gridCol w:w="1841"/>
        <w:gridCol w:w="2974"/>
        <w:gridCol w:w="3679"/>
      </w:tblGrid>
      <w:tr w:rsidR="001270CF" w:rsidRPr="00EF4CF0" w:rsidTr="006C102C">
        <w:tc>
          <w:tcPr>
            <w:tcW w:w="1841" w:type="dxa"/>
            <w:shd w:val="clear" w:color="auto" w:fill="B8CCE4" w:themeFill="accent1" w:themeFillTint="66"/>
            <w:vAlign w:val="center"/>
          </w:tcPr>
          <w:p w:rsidR="001270CF" w:rsidRPr="00EF4CF0" w:rsidRDefault="001270CF" w:rsidP="006C102C">
            <w:pPr>
              <w:tabs>
                <w:tab w:val="left" w:pos="1817"/>
              </w:tabs>
              <w:spacing w:before="120" w:after="120"/>
              <w:rPr>
                <w:rFonts w:ascii="Arial" w:hAnsi="Arial" w:cs="Arial"/>
                <w:color w:val="000000"/>
                <w:sz w:val="20"/>
                <w:szCs w:val="20"/>
              </w:rPr>
            </w:pPr>
          </w:p>
        </w:tc>
        <w:tc>
          <w:tcPr>
            <w:tcW w:w="2974" w:type="dxa"/>
            <w:shd w:val="clear" w:color="auto" w:fill="B8CCE4" w:themeFill="accent1" w:themeFillTint="66"/>
            <w:vAlign w:val="center"/>
          </w:tcPr>
          <w:p w:rsidR="001270CF" w:rsidRPr="00EF4CF0" w:rsidRDefault="001270CF" w:rsidP="006C102C">
            <w:pPr>
              <w:tabs>
                <w:tab w:val="left" w:pos="1817"/>
              </w:tabs>
              <w:spacing w:before="120" w:after="120"/>
              <w:jc w:val="center"/>
              <w:rPr>
                <w:rFonts w:ascii="Arial" w:hAnsi="Arial" w:cs="Arial"/>
                <w:b/>
                <w:color w:val="000000"/>
                <w:sz w:val="20"/>
                <w:szCs w:val="20"/>
              </w:rPr>
            </w:pPr>
            <w:r w:rsidRPr="00EF4CF0">
              <w:rPr>
                <w:rFonts w:ascii="Arial" w:hAnsi="Arial" w:cs="Arial"/>
                <w:b/>
                <w:color w:val="000000"/>
                <w:sz w:val="20"/>
                <w:szCs w:val="20"/>
              </w:rPr>
              <w:t>Valor actual</w:t>
            </w:r>
          </w:p>
        </w:tc>
        <w:tc>
          <w:tcPr>
            <w:tcW w:w="3679" w:type="dxa"/>
            <w:shd w:val="clear" w:color="auto" w:fill="B8CCE4" w:themeFill="accent1" w:themeFillTint="66"/>
            <w:vAlign w:val="center"/>
          </w:tcPr>
          <w:p w:rsidR="001270CF" w:rsidRPr="00EF4CF0" w:rsidRDefault="001270CF" w:rsidP="006C102C">
            <w:pPr>
              <w:tabs>
                <w:tab w:val="left" w:pos="1817"/>
              </w:tabs>
              <w:spacing w:before="120" w:after="120"/>
              <w:jc w:val="center"/>
              <w:rPr>
                <w:rFonts w:ascii="Arial" w:hAnsi="Arial" w:cs="Arial"/>
                <w:b/>
                <w:color w:val="000000"/>
                <w:sz w:val="20"/>
                <w:szCs w:val="20"/>
              </w:rPr>
            </w:pPr>
            <w:r w:rsidRPr="00EF4CF0">
              <w:rPr>
                <w:rFonts w:ascii="Arial" w:hAnsi="Arial" w:cs="Arial"/>
                <w:b/>
                <w:color w:val="000000"/>
                <w:sz w:val="20"/>
                <w:szCs w:val="20"/>
              </w:rPr>
              <w:t>Logro</w:t>
            </w:r>
          </w:p>
        </w:tc>
      </w:tr>
      <w:tr w:rsidR="001270CF" w:rsidRPr="00EF4CF0" w:rsidTr="006C102C">
        <w:tc>
          <w:tcPr>
            <w:tcW w:w="1841" w:type="dxa"/>
            <w:shd w:val="clear" w:color="auto" w:fill="B8CCE4" w:themeFill="accent1" w:themeFillTint="66"/>
            <w:vAlign w:val="center"/>
          </w:tcPr>
          <w:p w:rsidR="001270CF" w:rsidRPr="00EF4CF0" w:rsidRDefault="001270CF" w:rsidP="006C102C">
            <w:pPr>
              <w:tabs>
                <w:tab w:val="left" w:pos="1817"/>
              </w:tabs>
              <w:spacing w:before="120" w:after="120"/>
              <w:rPr>
                <w:rFonts w:ascii="Arial" w:hAnsi="Arial" w:cs="Arial"/>
                <w:b/>
                <w:color w:val="000000"/>
                <w:sz w:val="20"/>
                <w:szCs w:val="20"/>
              </w:rPr>
            </w:pPr>
            <w:r w:rsidRPr="00EF4CF0">
              <w:rPr>
                <w:rFonts w:ascii="Arial" w:hAnsi="Arial" w:cs="Arial"/>
                <w:b/>
                <w:color w:val="000000"/>
                <w:sz w:val="20"/>
                <w:szCs w:val="20"/>
              </w:rPr>
              <w:t xml:space="preserve">Periodo </w:t>
            </w:r>
          </w:p>
        </w:tc>
        <w:tc>
          <w:tcPr>
            <w:tcW w:w="2974" w:type="dxa"/>
            <w:vAlign w:val="center"/>
          </w:tcPr>
          <w:p w:rsidR="001270CF" w:rsidRPr="00EF4CF0" w:rsidRDefault="001270CF" w:rsidP="006C102C">
            <w:pPr>
              <w:tabs>
                <w:tab w:val="left" w:pos="1817"/>
              </w:tabs>
              <w:spacing w:before="120" w:after="120"/>
              <w:jc w:val="center"/>
              <w:rPr>
                <w:rFonts w:ascii="Arial" w:hAnsi="Arial" w:cs="Arial"/>
                <w:b/>
                <w:color w:val="000000"/>
              </w:rPr>
            </w:pPr>
            <w:r w:rsidRPr="00EF4CF0">
              <w:rPr>
                <w:rFonts w:ascii="Arial" w:hAnsi="Arial" w:cs="Arial"/>
                <w:b/>
                <w:color w:val="000000"/>
              </w:rPr>
              <w:t>2015-2022</w:t>
            </w:r>
          </w:p>
        </w:tc>
        <w:tc>
          <w:tcPr>
            <w:tcW w:w="3679" w:type="dxa"/>
            <w:vAlign w:val="center"/>
          </w:tcPr>
          <w:p w:rsidR="001270CF" w:rsidRPr="00EF4CF0" w:rsidRDefault="001270CF" w:rsidP="006C102C">
            <w:pPr>
              <w:tabs>
                <w:tab w:val="left" w:pos="1817"/>
              </w:tabs>
              <w:spacing w:before="120" w:after="120"/>
              <w:jc w:val="center"/>
              <w:rPr>
                <w:rFonts w:ascii="Arial" w:hAnsi="Arial" w:cs="Arial"/>
                <w:b/>
                <w:color w:val="000000"/>
              </w:rPr>
            </w:pPr>
            <w:r w:rsidRPr="00EF4CF0">
              <w:rPr>
                <w:rFonts w:ascii="Arial" w:hAnsi="Arial" w:cs="Arial"/>
                <w:b/>
                <w:color w:val="000000"/>
              </w:rPr>
              <w:t>2023-2030</w:t>
            </w:r>
          </w:p>
        </w:tc>
      </w:tr>
      <w:tr w:rsidR="001270CF" w:rsidRPr="00EF4CF0" w:rsidTr="006C102C">
        <w:tc>
          <w:tcPr>
            <w:tcW w:w="1841" w:type="dxa"/>
            <w:shd w:val="clear" w:color="auto" w:fill="B8CCE4" w:themeFill="accent1" w:themeFillTint="66"/>
            <w:vAlign w:val="center"/>
          </w:tcPr>
          <w:p w:rsidR="001270CF" w:rsidRPr="00EF4CF0" w:rsidRDefault="001270CF" w:rsidP="006C102C">
            <w:pPr>
              <w:tabs>
                <w:tab w:val="left" w:pos="1817"/>
              </w:tabs>
              <w:spacing w:before="120" w:after="120"/>
              <w:rPr>
                <w:rFonts w:ascii="Arial" w:hAnsi="Arial" w:cs="Arial"/>
                <w:b/>
                <w:color w:val="000000"/>
                <w:sz w:val="20"/>
                <w:szCs w:val="20"/>
              </w:rPr>
            </w:pPr>
            <w:r w:rsidRPr="00EF4CF0">
              <w:rPr>
                <w:rFonts w:ascii="Arial" w:hAnsi="Arial" w:cs="Arial"/>
                <w:b/>
                <w:color w:val="000000"/>
                <w:sz w:val="20"/>
                <w:szCs w:val="20"/>
              </w:rPr>
              <w:t>Valor</w:t>
            </w:r>
          </w:p>
        </w:tc>
        <w:tc>
          <w:tcPr>
            <w:tcW w:w="2974" w:type="dxa"/>
            <w:vAlign w:val="center"/>
          </w:tcPr>
          <w:p w:rsidR="001270CF" w:rsidRPr="00EF4CF0" w:rsidRDefault="001270CF" w:rsidP="006C102C">
            <w:pPr>
              <w:tabs>
                <w:tab w:val="left" w:pos="1817"/>
              </w:tabs>
              <w:spacing w:before="120" w:after="120"/>
              <w:jc w:val="center"/>
              <w:rPr>
                <w:rFonts w:ascii="Arial" w:hAnsi="Arial" w:cs="Arial"/>
                <w:color w:val="000000"/>
              </w:rPr>
            </w:pPr>
            <w:r w:rsidRPr="00EF4CF0">
              <w:rPr>
                <w:rFonts w:ascii="Arial" w:hAnsi="Arial" w:cs="Arial"/>
                <w:color w:val="000000"/>
              </w:rPr>
              <w:t>140*</w:t>
            </w:r>
          </w:p>
        </w:tc>
        <w:tc>
          <w:tcPr>
            <w:tcW w:w="3679" w:type="dxa"/>
            <w:vAlign w:val="center"/>
          </w:tcPr>
          <w:p w:rsidR="001270CF" w:rsidRPr="00EF4CF0" w:rsidRDefault="001270CF" w:rsidP="006C102C">
            <w:pPr>
              <w:tabs>
                <w:tab w:val="left" w:pos="1817"/>
              </w:tabs>
              <w:spacing w:before="120" w:after="120"/>
              <w:jc w:val="center"/>
              <w:rPr>
                <w:rFonts w:ascii="Arial" w:hAnsi="Arial" w:cs="Arial"/>
                <w:color w:val="000000"/>
              </w:rPr>
            </w:pPr>
            <w:r w:rsidRPr="00EF4CF0">
              <w:rPr>
                <w:rFonts w:ascii="Arial" w:hAnsi="Arial" w:cs="Arial"/>
                <w:color w:val="000000"/>
              </w:rPr>
              <w:t>245 (tasa de variación del +75%)</w:t>
            </w:r>
          </w:p>
        </w:tc>
      </w:tr>
    </w:tbl>
    <w:p w:rsidR="001270CF" w:rsidRDefault="001270CF" w:rsidP="001270CF">
      <w:pPr>
        <w:jc w:val="both"/>
        <w:rPr>
          <w:sz w:val="16"/>
        </w:rPr>
      </w:pPr>
      <w:r w:rsidRPr="00EF4CF0">
        <w:rPr>
          <w:sz w:val="16"/>
        </w:rPr>
        <w:t>*  Aún no se cuenta con el conteo final para los años 2021 y 2022. Para estos años se ha considerado el promedio obtenido en el periodo 2012-2020 (16).</w:t>
      </w:r>
    </w:p>
    <w:p w:rsidR="005A153A" w:rsidRPr="009B3D39" w:rsidRDefault="009B3D39" w:rsidP="009B3D39">
      <w:pPr>
        <w:jc w:val="both"/>
        <w:rPr>
          <w:sz w:val="16"/>
        </w:rPr>
        <w:sectPr w:rsidR="005A153A" w:rsidRPr="009B3D39">
          <w:pgSz w:w="11906" w:h="16838"/>
          <w:pgMar w:top="1417" w:right="1701" w:bottom="1417" w:left="1701" w:header="708" w:footer="708" w:gutter="0"/>
          <w:cols w:space="720"/>
        </w:sectPr>
      </w:pPr>
      <w:r w:rsidRPr="001270CF">
        <w:rPr>
          <w:sz w:val="16"/>
        </w:rPr>
        <w:t>.</w:t>
      </w:r>
    </w:p>
    <w:p w:rsidR="00DF17AF" w:rsidRPr="001347DD" w:rsidRDefault="00862EF2" w:rsidP="00DF17AF">
      <w:pPr>
        <w:pStyle w:val="Ttulo1"/>
        <w:jc w:val="center"/>
        <w:rPr>
          <w:b/>
          <w:color w:val="auto"/>
        </w:rPr>
      </w:pPr>
      <w:bookmarkStart w:id="25" w:name="_Toc113360619"/>
      <w:r>
        <w:rPr>
          <w:b/>
          <w:color w:val="auto"/>
        </w:rPr>
        <w:lastRenderedPageBreak/>
        <w:t>Anexo N° 3</w:t>
      </w:r>
      <w:bookmarkEnd w:id="25"/>
    </w:p>
    <w:p w:rsidR="00DF17AF" w:rsidRDefault="00DF17AF" w:rsidP="00DF17AF">
      <w:pPr>
        <w:jc w:val="center"/>
        <w:rPr>
          <w:b/>
          <w:sz w:val="28"/>
        </w:rPr>
      </w:pPr>
      <w:r>
        <w:rPr>
          <w:b/>
          <w:sz w:val="28"/>
        </w:rPr>
        <w:t>Matriz de alternativas de solución</w:t>
      </w:r>
    </w:p>
    <w:p w:rsidR="00086EAE" w:rsidRDefault="00086EAE" w:rsidP="00086EAE">
      <w:pPr>
        <w:jc w:val="both"/>
        <w:rPr>
          <w:b/>
          <w:sz w:val="28"/>
        </w:rPr>
      </w:pPr>
      <w:r>
        <w:rPr>
          <w:b/>
          <w:sz w:val="28"/>
        </w:rPr>
        <w:t xml:space="preserve">CAUSA PRIMARIA 1: </w:t>
      </w:r>
      <w:r w:rsidRPr="00086EAE">
        <w:rPr>
          <w:b/>
          <w:sz w:val="28"/>
        </w:rPr>
        <w:t>Existencia de informalidad en la economía como factor de riesgo de LA</w:t>
      </w:r>
    </w:p>
    <w:tbl>
      <w:tblPr>
        <w:tblW w:w="5000" w:type="pct"/>
        <w:tblCellMar>
          <w:left w:w="70" w:type="dxa"/>
          <w:right w:w="70" w:type="dxa"/>
        </w:tblCellMar>
        <w:tblLook w:val="04A0" w:firstRow="1" w:lastRow="0" w:firstColumn="1" w:lastColumn="0" w:noHBand="0" w:noVBand="1"/>
      </w:tblPr>
      <w:tblGrid>
        <w:gridCol w:w="2359"/>
        <w:gridCol w:w="7476"/>
        <w:gridCol w:w="502"/>
        <w:gridCol w:w="471"/>
        <w:gridCol w:w="471"/>
        <w:gridCol w:w="535"/>
        <w:gridCol w:w="958"/>
        <w:gridCol w:w="1222"/>
      </w:tblGrid>
      <w:tr w:rsidR="00086EAE" w:rsidRPr="00086EAE" w:rsidTr="00086EAE">
        <w:trPr>
          <w:trHeight w:val="290"/>
        </w:trPr>
        <w:tc>
          <w:tcPr>
            <w:tcW w:w="855" w:type="pct"/>
            <w:vMerge w:val="restart"/>
            <w:tcBorders>
              <w:top w:val="single" w:sz="4" w:space="0" w:color="auto"/>
              <w:left w:val="single" w:sz="4" w:space="0" w:color="auto"/>
              <w:bottom w:val="single" w:sz="4" w:space="0" w:color="auto"/>
              <w:right w:val="single" w:sz="4" w:space="0" w:color="auto"/>
            </w:tcBorders>
            <w:shd w:val="clear" w:color="8DB3E2" w:fill="8DB3E2"/>
            <w:vAlign w:val="center"/>
            <w:hideMark/>
          </w:tcPr>
          <w:p w:rsidR="00086EAE" w:rsidRPr="00086EAE" w:rsidRDefault="00086EAE" w:rsidP="00086EAE">
            <w:pPr>
              <w:spacing w:after="0" w:line="240" w:lineRule="auto"/>
              <w:jc w:val="center"/>
              <w:rPr>
                <w:rFonts w:eastAsia="Times New Roman"/>
                <w:b/>
                <w:bCs/>
                <w:sz w:val="20"/>
                <w:szCs w:val="20"/>
              </w:rPr>
            </w:pPr>
            <w:r w:rsidRPr="00086EAE">
              <w:rPr>
                <w:rFonts w:eastAsia="Times New Roman"/>
                <w:b/>
                <w:bCs/>
                <w:sz w:val="20"/>
                <w:szCs w:val="20"/>
              </w:rPr>
              <w:t>Alternativa de solución</w:t>
            </w:r>
          </w:p>
        </w:tc>
        <w:tc>
          <w:tcPr>
            <w:tcW w:w="2683" w:type="pct"/>
            <w:vMerge w:val="restart"/>
            <w:tcBorders>
              <w:top w:val="single" w:sz="4" w:space="0" w:color="auto"/>
              <w:left w:val="single" w:sz="4" w:space="0" w:color="auto"/>
              <w:bottom w:val="single" w:sz="4" w:space="0" w:color="000000"/>
              <w:right w:val="single" w:sz="4" w:space="0" w:color="auto"/>
            </w:tcBorders>
            <w:shd w:val="clear" w:color="8DB3E2" w:fill="8DB3E2"/>
            <w:vAlign w:val="center"/>
            <w:hideMark/>
          </w:tcPr>
          <w:p w:rsidR="00086EAE" w:rsidRPr="00086EAE" w:rsidRDefault="006B0C74" w:rsidP="00086EAE">
            <w:pPr>
              <w:spacing w:after="0" w:line="240" w:lineRule="auto"/>
              <w:jc w:val="center"/>
              <w:rPr>
                <w:rFonts w:eastAsia="Times New Roman"/>
                <w:b/>
                <w:bCs/>
                <w:sz w:val="20"/>
                <w:szCs w:val="20"/>
              </w:rPr>
            </w:pPr>
            <w:r>
              <w:rPr>
                <w:rFonts w:eastAsia="Times New Roman"/>
                <w:b/>
                <w:bCs/>
                <w:sz w:val="20"/>
                <w:szCs w:val="20"/>
              </w:rPr>
              <w:t>Descripción y sustento</w:t>
            </w:r>
          </w:p>
        </w:tc>
        <w:tc>
          <w:tcPr>
            <w:tcW w:w="754" w:type="pct"/>
            <w:gridSpan w:val="4"/>
            <w:tcBorders>
              <w:top w:val="single" w:sz="4" w:space="0" w:color="auto"/>
              <w:left w:val="nil"/>
              <w:bottom w:val="single" w:sz="4" w:space="0" w:color="auto"/>
              <w:right w:val="single" w:sz="4" w:space="0" w:color="auto"/>
            </w:tcBorders>
            <w:shd w:val="clear" w:color="8DB3E2" w:fill="8DB3E2"/>
            <w:noWrap/>
            <w:vAlign w:val="center"/>
            <w:hideMark/>
          </w:tcPr>
          <w:p w:rsidR="00086EAE" w:rsidRPr="00086EAE" w:rsidRDefault="00086EAE" w:rsidP="00086EAE">
            <w:pPr>
              <w:spacing w:after="0" w:line="240" w:lineRule="auto"/>
              <w:jc w:val="center"/>
              <w:rPr>
                <w:rFonts w:eastAsia="Times New Roman"/>
                <w:b/>
                <w:bCs/>
                <w:sz w:val="20"/>
                <w:szCs w:val="20"/>
                <w:u w:val="single"/>
              </w:rPr>
            </w:pPr>
            <w:r w:rsidRPr="00086EAE">
              <w:rPr>
                <w:rFonts w:eastAsia="Times New Roman"/>
                <w:b/>
                <w:bCs/>
                <w:sz w:val="20"/>
                <w:szCs w:val="20"/>
                <w:u w:val="single"/>
              </w:rPr>
              <w:t>Criterios</w:t>
            </w:r>
          </w:p>
        </w:tc>
        <w:tc>
          <w:tcPr>
            <w:tcW w:w="354" w:type="pct"/>
            <w:vMerge w:val="restart"/>
            <w:tcBorders>
              <w:top w:val="single" w:sz="4" w:space="0" w:color="auto"/>
              <w:left w:val="single" w:sz="4" w:space="0" w:color="auto"/>
              <w:bottom w:val="single" w:sz="4" w:space="0" w:color="auto"/>
              <w:right w:val="single" w:sz="4" w:space="0" w:color="auto"/>
            </w:tcBorders>
            <w:shd w:val="clear" w:color="8DB3E2" w:fill="8DB3E2"/>
            <w:vAlign w:val="center"/>
            <w:hideMark/>
          </w:tcPr>
          <w:p w:rsidR="00086EAE" w:rsidRPr="00086EAE" w:rsidRDefault="00086EAE" w:rsidP="00086EAE">
            <w:pPr>
              <w:spacing w:after="0" w:line="240" w:lineRule="auto"/>
              <w:jc w:val="center"/>
              <w:rPr>
                <w:rFonts w:eastAsia="Times New Roman"/>
                <w:b/>
                <w:bCs/>
                <w:sz w:val="20"/>
                <w:szCs w:val="20"/>
                <w:u w:val="single"/>
              </w:rPr>
            </w:pPr>
            <w:r w:rsidRPr="00086EAE">
              <w:rPr>
                <w:rFonts w:eastAsia="Times New Roman"/>
                <w:b/>
                <w:bCs/>
                <w:sz w:val="20"/>
                <w:szCs w:val="20"/>
                <w:u w:val="single"/>
              </w:rPr>
              <w:t>Puntaje final</w:t>
            </w:r>
          </w:p>
        </w:tc>
        <w:tc>
          <w:tcPr>
            <w:tcW w:w="354" w:type="pct"/>
            <w:vMerge w:val="restart"/>
            <w:tcBorders>
              <w:top w:val="single" w:sz="4" w:space="0" w:color="auto"/>
              <w:left w:val="single" w:sz="4" w:space="0" w:color="auto"/>
              <w:bottom w:val="single" w:sz="4" w:space="0" w:color="auto"/>
              <w:right w:val="single" w:sz="4" w:space="0" w:color="auto"/>
            </w:tcBorders>
            <w:shd w:val="clear" w:color="8DB3E2" w:fill="8DB3E2"/>
            <w:vAlign w:val="center"/>
            <w:hideMark/>
          </w:tcPr>
          <w:p w:rsidR="00086EAE" w:rsidRPr="00086EAE" w:rsidRDefault="00086EAE" w:rsidP="00086EAE">
            <w:pPr>
              <w:spacing w:after="0" w:line="240" w:lineRule="auto"/>
              <w:jc w:val="center"/>
              <w:rPr>
                <w:rFonts w:eastAsia="Times New Roman"/>
                <w:b/>
                <w:bCs/>
                <w:sz w:val="20"/>
                <w:szCs w:val="20"/>
                <w:u w:val="single"/>
              </w:rPr>
            </w:pPr>
            <w:r w:rsidRPr="00086EAE">
              <w:rPr>
                <w:rFonts w:eastAsia="Times New Roman"/>
                <w:b/>
                <w:bCs/>
                <w:sz w:val="20"/>
                <w:szCs w:val="20"/>
                <w:u w:val="single"/>
              </w:rPr>
              <w:t>Seleccionada</w:t>
            </w:r>
          </w:p>
        </w:tc>
      </w:tr>
      <w:tr w:rsidR="00086EAE" w:rsidRPr="00086EAE" w:rsidTr="00862EF2">
        <w:trPr>
          <w:trHeight w:val="1821"/>
        </w:trPr>
        <w:tc>
          <w:tcPr>
            <w:tcW w:w="855" w:type="pct"/>
            <w:vMerge/>
            <w:tcBorders>
              <w:top w:val="single" w:sz="4" w:space="0" w:color="auto"/>
              <w:left w:val="single" w:sz="4" w:space="0" w:color="auto"/>
              <w:bottom w:val="single" w:sz="4" w:space="0" w:color="auto"/>
              <w:right w:val="single" w:sz="4" w:space="0" w:color="auto"/>
            </w:tcBorders>
            <w:vAlign w:val="center"/>
            <w:hideMark/>
          </w:tcPr>
          <w:p w:rsidR="00086EAE" w:rsidRPr="00086EAE" w:rsidRDefault="00086EAE" w:rsidP="00086EAE">
            <w:pPr>
              <w:spacing w:after="0" w:line="240" w:lineRule="auto"/>
              <w:rPr>
                <w:rFonts w:eastAsia="Times New Roman"/>
                <w:b/>
                <w:bCs/>
                <w:sz w:val="20"/>
                <w:szCs w:val="20"/>
              </w:rPr>
            </w:pPr>
          </w:p>
        </w:tc>
        <w:tc>
          <w:tcPr>
            <w:tcW w:w="2683" w:type="pct"/>
            <w:vMerge/>
            <w:tcBorders>
              <w:top w:val="single" w:sz="4" w:space="0" w:color="auto"/>
              <w:left w:val="single" w:sz="4" w:space="0" w:color="auto"/>
              <w:bottom w:val="single" w:sz="4" w:space="0" w:color="000000"/>
              <w:right w:val="single" w:sz="4" w:space="0" w:color="auto"/>
            </w:tcBorders>
            <w:vAlign w:val="center"/>
            <w:hideMark/>
          </w:tcPr>
          <w:p w:rsidR="00086EAE" w:rsidRPr="00086EAE" w:rsidRDefault="00086EAE" w:rsidP="00086EAE">
            <w:pPr>
              <w:spacing w:after="0" w:line="240" w:lineRule="auto"/>
              <w:rPr>
                <w:rFonts w:eastAsia="Times New Roman"/>
                <w:b/>
                <w:bCs/>
                <w:sz w:val="20"/>
                <w:szCs w:val="20"/>
              </w:rPr>
            </w:pPr>
          </w:p>
        </w:tc>
        <w:tc>
          <w:tcPr>
            <w:tcW w:w="191" w:type="pct"/>
            <w:tcBorders>
              <w:top w:val="nil"/>
              <w:left w:val="nil"/>
              <w:bottom w:val="nil"/>
              <w:right w:val="single" w:sz="4" w:space="0" w:color="auto"/>
            </w:tcBorders>
            <w:shd w:val="clear" w:color="8DB3E2" w:fill="8DB3E2"/>
            <w:textDirection w:val="btLr"/>
            <w:vAlign w:val="center"/>
            <w:hideMark/>
          </w:tcPr>
          <w:p w:rsidR="00086EAE" w:rsidRPr="00086EAE" w:rsidRDefault="00086EAE" w:rsidP="00086EAE">
            <w:pPr>
              <w:spacing w:after="0" w:line="240" w:lineRule="auto"/>
              <w:jc w:val="center"/>
              <w:rPr>
                <w:rFonts w:eastAsia="Times New Roman"/>
                <w:b/>
                <w:bCs/>
                <w:sz w:val="16"/>
                <w:szCs w:val="18"/>
              </w:rPr>
            </w:pPr>
            <w:r w:rsidRPr="00086EAE">
              <w:rPr>
                <w:rFonts w:eastAsia="Times New Roman"/>
                <w:b/>
                <w:bCs/>
                <w:sz w:val="16"/>
                <w:szCs w:val="18"/>
              </w:rPr>
              <w:t>Viabilidad política</w:t>
            </w:r>
          </w:p>
        </w:tc>
        <w:tc>
          <w:tcPr>
            <w:tcW w:w="180" w:type="pct"/>
            <w:tcBorders>
              <w:top w:val="nil"/>
              <w:left w:val="nil"/>
              <w:bottom w:val="nil"/>
              <w:right w:val="single" w:sz="4" w:space="0" w:color="auto"/>
            </w:tcBorders>
            <w:shd w:val="clear" w:color="8DB3E2" w:fill="8DB3E2"/>
            <w:textDirection w:val="btLr"/>
            <w:vAlign w:val="center"/>
            <w:hideMark/>
          </w:tcPr>
          <w:p w:rsidR="00086EAE" w:rsidRPr="00086EAE" w:rsidRDefault="00086EAE" w:rsidP="00086EAE">
            <w:pPr>
              <w:spacing w:after="0" w:line="240" w:lineRule="auto"/>
              <w:jc w:val="center"/>
              <w:rPr>
                <w:rFonts w:eastAsia="Times New Roman"/>
                <w:b/>
                <w:bCs/>
                <w:sz w:val="16"/>
                <w:szCs w:val="18"/>
              </w:rPr>
            </w:pPr>
            <w:r w:rsidRPr="00086EAE">
              <w:rPr>
                <w:rFonts w:eastAsia="Times New Roman"/>
                <w:b/>
                <w:bCs/>
                <w:sz w:val="16"/>
                <w:szCs w:val="18"/>
              </w:rPr>
              <w:t>Viabilidad social</w:t>
            </w:r>
          </w:p>
        </w:tc>
        <w:tc>
          <w:tcPr>
            <w:tcW w:w="180" w:type="pct"/>
            <w:tcBorders>
              <w:top w:val="nil"/>
              <w:left w:val="nil"/>
              <w:bottom w:val="nil"/>
              <w:right w:val="single" w:sz="4" w:space="0" w:color="auto"/>
            </w:tcBorders>
            <w:shd w:val="clear" w:color="8DB3E2" w:fill="8DB3E2"/>
            <w:textDirection w:val="btLr"/>
            <w:vAlign w:val="center"/>
            <w:hideMark/>
          </w:tcPr>
          <w:p w:rsidR="00086EAE" w:rsidRPr="00086EAE" w:rsidRDefault="00086EAE" w:rsidP="00086EAE">
            <w:pPr>
              <w:spacing w:after="0" w:line="240" w:lineRule="auto"/>
              <w:jc w:val="center"/>
              <w:rPr>
                <w:rFonts w:eastAsia="Times New Roman"/>
                <w:b/>
                <w:bCs/>
                <w:sz w:val="16"/>
                <w:szCs w:val="18"/>
              </w:rPr>
            </w:pPr>
            <w:r w:rsidRPr="00086EAE">
              <w:rPr>
                <w:rFonts w:eastAsia="Times New Roman"/>
                <w:b/>
                <w:bCs/>
                <w:sz w:val="16"/>
                <w:szCs w:val="18"/>
              </w:rPr>
              <w:t>Viabilidad administrativa</w:t>
            </w:r>
          </w:p>
        </w:tc>
        <w:tc>
          <w:tcPr>
            <w:tcW w:w="202" w:type="pct"/>
            <w:tcBorders>
              <w:top w:val="nil"/>
              <w:left w:val="nil"/>
              <w:bottom w:val="nil"/>
              <w:right w:val="single" w:sz="4" w:space="0" w:color="auto"/>
            </w:tcBorders>
            <w:shd w:val="clear" w:color="8DB3E2" w:fill="8DB3E2"/>
            <w:textDirection w:val="btLr"/>
            <w:vAlign w:val="center"/>
            <w:hideMark/>
          </w:tcPr>
          <w:p w:rsidR="00086EAE" w:rsidRPr="00086EAE" w:rsidRDefault="00086EAE" w:rsidP="00086EAE">
            <w:pPr>
              <w:spacing w:after="0" w:line="240" w:lineRule="auto"/>
              <w:jc w:val="center"/>
              <w:rPr>
                <w:rFonts w:eastAsia="Times New Roman"/>
                <w:b/>
                <w:bCs/>
                <w:sz w:val="16"/>
                <w:szCs w:val="18"/>
              </w:rPr>
            </w:pPr>
            <w:r w:rsidRPr="00086EAE">
              <w:rPr>
                <w:rFonts w:eastAsia="Times New Roman"/>
                <w:b/>
                <w:bCs/>
                <w:sz w:val="16"/>
                <w:szCs w:val="18"/>
              </w:rPr>
              <w:t>Efectividad</w:t>
            </w:r>
          </w:p>
        </w:tc>
        <w:tc>
          <w:tcPr>
            <w:tcW w:w="354" w:type="pct"/>
            <w:vMerge/>
            <w:tcBorders>
              <w:top w:val="single" w:sz="4" w:space="0" w:color="auto"/>
              <w:left w:val="single" w:sz="4" w:space="0" w:color="auto"/>
              <w:bottom w:val="single" w:sz="4" w:space="0" w:color="auto"/>
              <w:right w:val="single" w:sz="4" w:space="0" w:color="auto"/>
            </w:tcBorders>
            <w:vAlign w:val="center"/>
            <w:hideMark/>
          </w:tcPr>
          <w:p w:rsidR="00086EAE" w:rsidRPr="00086EAE" w:rsidRDefault="00086EAE" w:rsidP="00086EAE">
            <w:pPr>
              <w:spacing w:after="0" w:line="240" w:lineRule="auto"/>
              <w:rPr>
                <w:rFonts w:eastAsia="Times New Roman"/>
                <w:b/>
                <w:bCs/>
                <w:sz w:val="20"/>
                <w:szCs w:val="20"/>
                <w:u w:val="single"/>
              </w:rPr>
            </w:pPr>
          </w:p>
        </w:tc>
        <w:tc>
          <w:tcPr>
            <w:tcW w:w="354" w:type="pct"/>
            <w:vMerge/>
            <w:tcBorders>
              <w:top w:val="single" w:sz="4" w:space="0" w:color="auto"/>
              <w:left w:val="single" w:sz="4" w:space="0" w:color="auto"/>
              <w:bottom w:val="single" w:sz="4" w:space="0" w:color="auto"/>
              <w:right w:val="single" w:sz="4" w:space="0" w:color="auto"/>
            </w:tcBorders>
            <w:vAlign w:val="center"/>
            <w:hideMark/>
          </w:tcPr>
          <w:p w:rsidR="00086EAE" w:rsidRPr="00086EAE" w:rsidRDefault="00086EAE" w:rsidP="00086EAE">
            <w:pPr>
              <w:spacing w:after="0" w:line="240" w:lineRule="auto"/>
              <w:rPr>
                <w:rFonts w:eastAsia="Times New Roman"/>
                <w:b/>
                <w:bCs/>
                <w:sz w:val="20"/>
                <w:szCs w:val="20"/>
                <w:u w:val="single"/>
              </w:rPr>
            </w:pPr>
          </w:p>
        </w:tc>
      </w:tr>
      <w:tr w:rsidR="006B0C74" w:rsidRPr="00086EAE" w:rsidTr="006B0C74">
        <w:trPr>
          <w:trHeight w:val="2030"/>
        </w:trPr>
        <w:tc>
          <w:tcPr>
            <w:tcW w:w="855"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086EAE" w:rsidRPr="00086EAE" w:rsidRDefault="00086EAE" w:rsidP="00086EAE">
            <w:pPr>
              <w:spacing w:after="0" w:line="240" w:lineRule="auto"/>
              <w:rPr>
                <w:rFonts w:eastAsia="Times New Roman"/>
              </w:rPr>
            </w:pPr>
            <w:r w:rsidRPr="00086EAE">
              <w:rPr>
                <w:rFonts w:eastAsia="Times New Roman"/>
              </w:rPr>
              <w:t>Desarrollar actividades educativas para fortalecer las capacidades financieras y combatir la informalidad como factor de riesgo de LA</w:t>
            </w:r>
          </w:p>
        </w:tc>
        <w:tc>
          <w:tcPr>
            <w:tcW w:w="2683" w:type="pct"/>
            <w:tcBorders>
              <w:top w:val="nil"/>
              <w:left w:val="nil"/>
              <w:bottom w:val="single" w:sz="4" w:space="0" w:color="auto"/>
              <w:right w:val="single" w:sz="4" w:space="0" w:color="auto"/>
            </w:tcBorders>
            <w:shd w:val="clear" w:color="auto" w:fill="EAF1DD" w:themeFill="accent3" w:themeFillTint="33"/>
            <w:vAlign w:val="center"/>
            <w:hideMark/>
          </w:tcPr>
          <w:p w:rsidR="0048448F" w:rsidRPr="0048448F" w:rsidRDefault="0048448F" w:rsidP="00086EAE">
            <w:pPr>
              <w:spacing w:after="0" w:line="240" w:lineRule="auto"/>
              <w:rPr>
                <w:rFonts w:eastAsia="Times New Roman"/>
                <w:b/>
                <w:i/>
              </w:rPr>
            </w:pPr>
            <w:r w:rsidRPr="0048448F">
              <w:rPr>
                <w:rFonts w:eastAsia="Times New Roman"/>
                <w:b/>
                <w:i/>
              </w:rPr>
              <w:t>Descripción</w:t>
            </w:r>
          </w:p>
          <w:p w:rsidR="00086EAE" w:rsidRDefault="00086EAE" w:rsidP="003E28CD">
            <w:pPr>
              <w:spacing w:after="0" w:line="240" w:lineRule="auto"/>
              <w:jc w:val="both"/>
              <w:rPr>
                <w:rFonts w:eastAsia="Times New Roman"/>
              </w:rPr>
            </w:pPr>
            <w:r w:rsidRPr="00086EAE">
              <w:rPr>
                <w:rFonts w:eastAsia="Times New Roman"/>
              </w:rPr>
              <w:t xml:space="preserve">Esta alternativa comprende un proceso de desarrollo de capacidades en la población que fomente el uso de los servicios del sistema financiero, mediante campañas o cursos, especialmente en zonas alejadas del país y con alto nivel de riesgo de LA. Asimismo, la incorporación de contenido en la currícula nacional alineado con el objetivo de propiciar la inclusión de la cultura financiera y de respecto a la legalidad. </w:t>
            </w:r>
          </w:p>
          <w:p w:rsidR="0048448F" w:rsidRDefault="0048448F" w:rsidP="00086EAE">
            <w:pPr>
              <w:spacing w:after="0" w:line="240" w:lineRule="auto"/>
              <w:rPr>
                <w:rFonts w:eastAsia="Times New Roman"/>
              </w:rPr>
            </w:pPr>
          </w:p>
          <w:p w:rsidR="0048448F" w:rsidRPr="0048448F" w:rsidRDefault="0048448F" w:rsidP="0048448F">
            <w:pPr>
              <w:spacing w:after="0" w:line="240" w:lineRule="auto"/>
              <w:rPr>
                <w:rFonts w:eastAsia="Times New Roman"/>
                <w:b/>
                <w:i/>
              </w:rPr>
            </w:pPr>
            <w:r>
              <w:rPr>
                <w:rFonts w:eastAsia="Times New Roman"/>
                <w:b/>
                <w:i/>
              </w:rPr>
              <w:t>Sustento</w:t>
            </w:r>
          </w:p>
          <w:p w:rsidR="0048448F" w:rsidRPr="00251B77" w:rsidRDefault="0048448F" w:rsidP="0048448F">
            <w:pPr>
              <w:jc w:val="both"/>
              <w:rPr>
                <w:rFonts w:asciiTheme="majorHAnsi" w:hAnsiTheme="majorHAnsi" w:cstheme="majorHAnsi"/>
              </w:rPr>
            </w:pPr>
            <w:r>
              <w:rPr>
                <w:rFonts w:asciiTheme="majorHAnsi" w:hAnsiTheme="majorHAnsi" w:cstheme="majorHAnsi"/>
              </w:rPr>
              <w:t>Como antecedente, a nivel nacional, en</w:t>
            </w:r>
            <w:r w:rsidRPr="00251B77">
              <w:rPr>
                <w:rFonts w:asciiTheme="majorHAnsi" w:hAnsiTheme="majorHAnsi" w:cstheme="majorHAnsi"/>
              </w:rPr>
              <w:t xml:space="preserve"> el año 2019, mediante Decreto Supremo N°  255- 2019-EF se </w:t>
            </w:r>
            <w:r>
              <w:rPr>
                <w:rFonts w:asciiTheme="majorHAnsi" w:hAnsiTheme="majorHAnsi" w:cstheme="majorHAnsi"/>
              </w:rPr>
              <w:t>aprobó</w:t>
            </w:r>
            <w:r w:rsidRPr="00251B77">
              <w:rPr>
                <w:rFonts w:asciiTheme="majorHAnsi" w:hAnsiTheme="majorHAnsi" w:cstheme="majorHAnsi"/>
              </w:rPr>
              <w:t xml:space="preserve"> la Política Nacional de Inclusión Financiera (PNIF) y</w:t>
            </w:r>
            <w:r>
              <w:rPr>
                <w:rFonts w:asciiTheme="majorHAnsi" w:hAnsiTheme="majorHAnsi" w:cstheme="majorHAnsi"/>
              </w:rPr>
              <w:t>,</w:t>
            </w:r>
            <w:r w:rsidRPr="00251B77">
              <w:rPr>
                <w:rFonts w:asciiTheme="majorHAnsi" w:hAnsiTheme="majorHAnsi" w:cstheme="majorHAnsi"/>
              </w:rPr>
              <w:t xml:space="preserve"> en el 2021</w:t>
            </w:r>
            <w:r>
              <w:rPr>
                <w:rFonts w:asciiTheme="majorHAnsi" w:hAnsiTheme="majorHAnsi" w:cstheme="majorHAnsi"/>
              </w:rPr>
              <w:t>,</w:t>
            </w:r>
            <w:r w:rsidRPr="00251B77">
              <w:rPr>
                <w:rFonts w:asciiTheme="majorHAnsi" w:hAnsiTheme="majorHAnsi" w:cstheme="majorHAnsi"/>
              </w:rPr>
              <w:t xml:space="preserve"> el Plan Estratégico Multisectorial de la PNIF</w:t>
            </w:r>
            <w:r>
              <w:rPr>
                <w:rFonts w:asciiTheme="majorHAnsi" w:hAnsiTheme="majorHAnsi" w:cstheme="majorHAnsi"/>
              </w:rPr>
              <w:t>,</w:t>
            </w:r>
            <w:r w:rsidRPr="00251B77">
              <w:rPr>
                <w:rFonts w:asciiTheme="majorHAnsi" w:hAnsiTheme="majorHAnsi" w:cstheme="majorHAnsi"/>
              </w:rPr>
              <w:t xml:space="preserve"> documentos </w:t>
            </w:r>
            <w:r>
              <w:rPr>
                <w:rFonts w:asciiTheme="majorHAnsi" w:hAnsiTheme="majorHAnsi" w:cstheme="majorHAnsi"/>
              </w:rPr>
              <w:t xml:space="preserve">que </w:t>
            </w:r>
            <w:r w:rsidRPr="00251B77">
              <w:rPr>
                <w:rFonts w:asciiTheme="majorHAnsi" w:hAnsiTheme="majorHAnsi" w:cstheme="majorHAnsi"/>
              </w:rPr>
              <w:t>consideran a la educación financiera como un medio para mejorar las competencias y capacidades financieras y así generar confianza en el sistema financiero.</w:t>
            </w:r>
          </w:p>
          <w:p w:rsidR="0048448F" w:rsidRDefault="0048448F" w:rsidP="0048448F">
            <w:pPr>
              <w:spacing w:before="240"/>
              <w:jc w:val="both"/>
              <w:rPr>
                <w:rFonts w:asciiTheme="majorHAnsi" w:hAnsiTheme="majorHAnsi" w:cstheme="majorHAnsi"/>
              </w:rPr>
            </w:pPr>
            <w:r>
              <w:rPr>
                <w:rFonts w:asciiTheme="majorHAnsi" w:hAnsiTheme="majorHAnsi" w:cstheme="majorHAnsi"/>
              </w:rPr>
              <w:t>Otra referencia a resaltar es la</w:t>
            </w:r>
            <w:r w:rsidRPr="00251B77">
              <w:rPr>
                <w:rFonts w:asciiTheme="majorHAnsi" w:hAnsiTheme="majorHAnsi" w:cstheme="majorHAnsi"/>
              </w:rPr>
              <w:t xml:space="preserve"> Ley N° 31337, Ley que declara de Interés Nacional la Introducción de contenidos curriculares de estudio de la ciudadanía y de los </w:t>
            </w:r>
            <w:r w:rsidRPr="00251B77">
              <w:rPr>
                <w:rFonts w:asciiTheme="majorHAnsi" w:hAnsiTheme="majorHAnsi" w:cstheme="majorHAnsi"/>
              </w:rPr>
              <w:lastRenderedPageBreak/>
              <w:t xml:space="preserve">valores éticos y cívicos para la lucha frontal contra la  corrupción en el Perú e Historia del Perú, </w:t>
            </w:r>
            <w:r>
              <w:rPr>
                <w:rFonts w:asciiTheme="majorHAnsi" w:hAnsiTheme="majorHAnsi" w:cstheme="majorHAnsi"/>
              </w:rPr>
              <w:t>en la cual se</w:t>
            </w:r>
            <w:r w:rsidRPr="00251B77">
              <w:rPr>
                <w:rFonts w:asciiTheme="majorHAnsi" w:hAnsiTheme="majorHAnsi" w:cstheme="majorHAnsi"/>
              </w:rPr>
              <w:t xml:space="preserve"> establece que el Ministerio de Educación deberá establecer los procedimientos para que se implementen los contenidos curriculares dentro del Currículo Nacional Escolar 2021 por parte de las instituciones educativas del país para el nivel secundario.</w:t>
            </w:r>
          </w:p>
          <w:p w:rsidR="0048448F" w:rsidRPr="00086EAE" w:rsidRDefault="0048448F" w:rsidP="0048448F">
            <w:pPr>
              <w:spacing w:before="240"/>
              <w:jc w:val="both"/>
              <w:rPr>
                <w:rFonts w:asciiTheme="majorHAnsi" w:hAnsiTheme="majorHAnsi" w:cstheme="majorHAnsi"/>
              </w:rPr>
            </w:pPr>
            <w:r>
              <w:rPr>
                <w:rFonts w:asciiTheme="majorHAnsi" w:hAnsiTheme="majorHAnsi" w:cstheme="majorHAnsi"/>
              </w:rPr>
              <w:t>C</w:t>
            </w:r>
            <w:r w:rsidRPr="00251B77">
              <w:rPr>
                <w:rFonts w:asciiTheme="majorHAnsi" w:hAnsiTheme="majorHAnsi" w:cstheme="majorHAnsi"/>
              </w:rPr>
              <w:t xml:space="preserve">abe destacar </w:t>
            </w:r>
            <w:r>
              <w:rPr>
                <w:rFonts w:asciiTheme="majorHAnsi" w:hAnsiTheme="majorHAnsi" w:cstheme="majorHAnsi"/>
              </w:rPr>
              <w:t xml:space="preserve">también como antecedente que </w:t>
            </w:r>
            <w:r w:rsidRPr="007A6B5D">
              <w:rPr>
                <w:rFonts w:asciiTheme="majorHAnsi" w:hAnsiTheme="majorHAnsi" w:cstheme="majorHAnsi"/>
              </w:rPr>
              <w:t xml:space="preserve">la Superintendencia de Banca, Seguros y AFP (a través del Departamento de Educación e Inclusión Financiera), tiene experiencia previa en el desarrollo de programas para fomentar la inclusión financiera como por ejemplo el Programa Finanzas en el Cole. Este programa está dirigido a los docentes de centros educativos públicos en el ámbito urbano y rural y se desarrolló en el marco de un convenio suscrito con el Ministerio de Educación. El programa Finanzas en el Cole brinda conocimientos financieros al docente de educación pública para que pueda desarrollar en sus estudiantes competencias que les permitan gestionar adecuadamente sus recursos y en el futuro ser usuarios informados que tomen decisiones responsables sobre productos y servicios financieros. </w:t>
            </w:r>
          </w:p>
        </w:tc>
        <w:tc>
          <w:tcPr>
            <w:tcW w:w="191"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rsidR="00086EAE" w:rsidRPr="00086EAE" w:rsidRDefault="00086EAE" w:rsidP="00086EAE">
            <w:pPr>
              <w:spacing w:after="0" w:line="240" w:lineRule="auto"/>
              <w:jc w:val="center"/>
              <w:rPr>
                <w:rFonts w:eastAsia="Times New Roman"/>
              </w:rPr>
            </w:pPr>
            <w:r w:rsidRPr="00086EAE">
              <w:rPr>
                <w:rFonts w:eastAsia="Times New Roman"/>
              </w:rPr>
              <w:lastRenderedPageBreak/>
              <w:t>5</w:t>
            </w:r>
          </w:p>
        </w:tc>
        <w:tc>
          <w:tcPr>
            <w:tcW w:w="180"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rsidR="00086EAE" w:rsidRPr="00086EAE" w:rsidRDefault="00086EAE" w:rsidP="00086EAE">
            <w:pPr>
              <w:spacing w:after="0" w:line="240" w:lineRule="auto"/>
              <w:jc w:val="center"/>
              <w:rPr>
                <w:rFonts w:eastAsia="Times New Roman"/>
              </w:rPr>
            </w:pPr>
            <w:r w:rsidRPr="00086EAE">
              <w:rPr>
                <w:rFonts w:eastAsia="Times New Roman"/>
              </w:rPr>
              <w:t>2</w:t>
            </w:r>
          </w:p>
        </w:tc>
        <w:tc>
          <w:tcPr>
            <w:tcW w:w="180"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rsidR="00086EAE" w:rsidRPr="00086EAE" w:rsidRDefault="00086EAE" w:rsidP="00086EAE">
            <w:pPr>
              <w:spacing w:after="0" w:line="240" w:lineRule="auto"/>
              <w:jc w:val="center"/>
              <w:rPr>
                <w:rFonts w:eastAsia="Times New Roman"/>
              </w:rPr>
            </w:pPr>
            <w:r w:rsidRPr="00086EAE">
              <w:rPr>
                <w:rFonts w:eastAsia="Times New Roman"/>
              </w:rPr>
              <w:t>3</w:t>
            </w:r>
          </w:p>
        </w:tc>
        <w:tc>
          <w:tcPr>
            <w:tcW w:w="202"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rsidR="00086EAE" w:rsidRPr="00086EAE" w:rsidRDefault="00086EAE" w:rsidP="00086EAE">
            <w:pPr>
              <w:spacing w:after="0" w:line="240" w:lineRule="auto"/>
              <w:jc w:val="center"/>
              <w:rPr>
                <w:rFonts w:eastAsia="Times New Roman"/>
              </w:rPr>
            </w:pPr>
            <w:r w:rsidRPr="00086EAE">
              <w:rPr>
                <w:rFonts w:eastAsia="Times New Roman"/>
              </w:rPr>
              <w:t>4</w:t>
            </w:r>
          </w:p>
        </w:tc>
        <w:tc>
          <w:tcPr>
            <w:tcW w:w="354"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rsidR="00086EAE" w:rsidRPr="00086EAE" w:rsidRDefault="00086EAE" w:rsidP="00086EAE">
            <w:pPr>
              <w:spacing w:after="0" w:line="240" w:lineRule="auto"/>
              <w:jc w:val="center"/>
              <w:rPr>
                <w:rFonts w:eastAsia="Times New Roman"/>
              </w:rPr>
            </w:pPr>
            <w:r w:rsidRPr="00086EAE">
              <w:rPr>
                <w:rFonts w:eastAsia="Times New Roman"/>
              </w:rPr>
              <w:t>14</w:t>
            </w:r>
          </w:p>
        </w:tc>
        <w:tc>
          <w:tcPr>
            <w:tcW w:w="354"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rsidR="00086EAE" w:rsidRPr="00086EAE" w:rsidRDefault="00086EAE" w:rsidP="00086EAE">
            <w:pPr>
              <w:spacing w:after="0" w:line="240" w:lineRule="auto"/>
              <w:jc w:val="center"/>
              <w:rPr>
                <w:rFonts w:eastAsia="Times New Roman"/>
                <w:b/>
                <w:bCs/>
              </w:rPr>
            </w:pPr>
            <w:r w:rsidRPr="00086EAE">
              <w:rPr>
                <w:rFonts w:eastAsia="Times New Roman"/>
                <w:b/>
                <w:bCs/>
              </w:rPr>
              <w:t>X</w:t>
            </w:r>
          </w:p>
        </w:tc>
      </w:tr>
      <w:tr w:rsidR="00086EAE" w:rsidRPr="00086EAE" w:rsidTr="00086EAE">
        <w:trPr>
          <w:trHeight w:val="1450"/>
        </w:trPr>
        <w:tc>
          <w:tcPr>
            <w:tcW w:w="855" w:type="pct"/>
            <w:tcBorders>
              <w:top w:val="nil"/>
              <w:left w:val="single" w:sz="4" w:space="0" w:color="auto"/>
              <w:bottom w:val="single" w:sz="4" w:space="0" w:color="auto"/>
              <w:right w:val="single" w:sz="4" w:space="0" w:color="auto"/>
            </w:tcBorders>
            <w:shd w:val="clear" w:color="auto" w:fill="auto"/>
            <w:vAlign w:val="center"/>
            <w:hideMark/>
          </w:tcPr>
          <w:p w:rsidR="00130FC0" w:rsidRPr="00E86271" w:rsidRDefault="00086EAE" w:rsidP="00130FC0">
            <w:pPr>
              <w:spacing w:after="0" w:line="240" w:lineRule="auto"/>
              <w:rPr>
                <w:rFonts w:eastAsia="Times New Roman"/>
                <w:highlight w:val="yellow"/>
              </w:rPr>
            </w:pPr>
            <w:r w:rsidRPr="00E86271">
              <w:rPr>
                <w:rFonts w:eastAsia="Times New Roman"/>
                <w:highlight w:val="yellow"/>
              </w:rPr>
              <w:lastRenderedPageBreak/>
              <w:t>Establecer sanciones administrativas elevadas para las personas que desarrollan sus actividades en la informalidad</w:t>
            </w:r>
          </w:p>
        </w:tc>
        <w:tc>
          <w:tcPr>
            <w:tcW w:w="2683" w:type="pct"/>
            <w:tcBorders>
              <w:top w:val="nil"/>
              <w:left w:val="nil"/>
              <w:bottom w:val="single" w:sz="4" w:space="0" w:color="auto"/>
              <w:right w:val="single" w:sz="4" w:space="0" w:color="auto"/>
            </w:tcBorders>
            <w:shd w:val="clear" w:color="auto" w:fill="auto"/>
            <w:vAlign w:val="center"/>
            <w:hideMark/>
          </w:tcPr>
          <w:p w:rsidR="00BF4DB4" w:rsidRPr="00E86271" w:rsidRDefault="00BF4DB4" w:rsidP="00BF4DB4">
            <w:pPr>
              <w:spacing w:after="0" w:line="240" w:lineRule="auto"/>
              <w:rPr>
                <w:rFonts w:eastAsia="Times New Roman"/>
                <w:b/>
                <w:i/>
                <w:highlight w:val="yellow"/>
              </w:rPr>
            </w:pPr>
            <w:r w:rsidRPr="00E86271">
              <w:rPr>
                <w:rFonts w:eastAsia="Times New Roman"/>
                <w:b/>
                <w:i/>
                <w:highlight w:val="yellow"/>
              </w:rPr>
              <w:t>Descripción</w:t>
            </w:r>
          </w:p>
          <w:p w:rsidR="00BF4DB4" w:rsidRPr="00E86271" w:rsidRDefault="00867ED8" w:rsidP="00867ED8">
            <w:pPr>
              <w:spacing w:after="0" w:line="240" w:lineRule="auto"/>
              <w:jc w:val="both"/>
              <w:rPr>
                <w:rFonts w:eastAsia="Times New Roman"/>
                <w:highlight w:val="yellow"/>
              </w:rPr>
            </w:pPr>
            <w:r>
              <w:rPr>
                <w:rFonts w:eastAsia="Times New Roman"/>
                <w:highlight w:val="yellow"/>
              </w:rPr>
              <w:t>Esta alternativa comprende modificar la regulación vigente</w:t>
            </w:r>
            <w:r w:rsidR="008A1010">
              <w:rPr>
                <w:rFonts w:eastAsia="Times New Roman"/>
                <w:highlight w:val="yellow"/>
              </w:rPr>
              <w:t>,</w:t>
            </w:r>
            <w:r>
              <w:rPr>
                <w:rFonts w:eastAsia="Times New Roman"/>
                <w:highlight w:val="yellow"/>
              </w:rPr>
              <w:t xml:space="preserve"> a fin de poder incrementar las sanciones para aquellas personas que desarrollen sus act</w:t>
            </w:r>
            <w:r w:rsidR="00A50DDA">
              <w:rPr>
                <w:rFonts w:eastAsia="Times New Roman"/>
                <w:highlight w:val="yellow"/>
              </w:rPr>
              <w:t>ividades dentro d</w:t>
            </w:r>
            <w:r>
              <w:rPr>
                <w:rFonts w:eastAsia="Times New Roman"/>
                <w:highlight w:val="yellow"/>
              </w:rPr>
              <w:t xml:space="preserve">el marco de la informalidad. </w:t>
            </w:r>
          </w:p>
          <w:p w:rsidR="00BF4DB4" w:rsidRPr="00E86271" w:rsidRDefault="00BF4DB4" w:rsidP="00086EAE">
            <w:pPr>
              <w:spacing w:after="0" w:line="240" w:lineRule="auto"/>
              <w:rPr>
                <w:rFonts w:eastAsia="Times New Roman"/>
                <w:highlight w:val="yellow"/>
              </w:rPr>
            </w:pPr>
          </w:p>
          <w:p w:rsidR="00BF4DB4" w:rsidRPr="00E86271" w:rsidRDefault="00BF4DB4" w:rsidP="00BF4DB4">
            <w:pPr>
              <w:spacing w:after="0" w:line="240" w:lineRule="auto"/>
              <w:rPr>
                <w:rFonts w:eastAsia="Times New Roman"/>
                <w:b/>
                <w:i/>
                <w:highlight w:val="yellow"/>
              </w:rPr>
            </w:pPr>
            <w:r w:rsidRPr="00E86271">
              <w:rPr>
                <w:rFonts w:eastAsia="Times New Roman"/>
                <w:b/>
                <w:i/>
                <w:highlight w:val="yellow"/>
              </w:rPr>
              <w:t>Sustento</w:t>
            </w:r>
          </w:p>
          <w:p w:rsidR="00BF4DB4" w:rsidRPr="00E86271" w:rsidRDefault="00E86271" w:rsidP="00E86271">
            <w:pPr>
              <w:spacing w:after="0" w:line="240" w:lineRule="auto"/>
              <w:jc w:val="both"/>
              <w:rPr>
                <w:rFonts w:eastAsia="Times New Roman"/>
                <w:highlight w:val="yellow"/>
              </w:rPr>
            </w:pPr>
            <w:r w:rsidRPr="00E86271">
              <w:rPr>
                <w:rFonts w:eastAsia="Times New Roman"/>
                <w:highlight w:val="yellow"/>
              </w:rPr>
              <w:t>A nivel regional, se puede considerar como antecedente la acción propuesta dentro del Plan de Acción para la atención de Estándares Internacionales del GAFI y el Proceso de Evaluación Mutua de Costa Rica, la cual plantea, dentro del ámbito de la ejecución de medidas de estímulo de la economía y de la regularización de las actividades económicas y mercantiles, implementar medidas orientadas a la reducción de la informalidad en la actividad económica y profesional.</w:t>
            </w:r>
          </w:p>
        </w:tc>
        <w:tc>
          <w:tcPr>
            <w:tcW w:w="191" w:type="pct"/>
            <w:tcBorders>
              <w:top w:val="nil"/>
              <w:left w:val="nil"/>
              <w:bottom w:val="single" w:sz="4" w:space="0" w:color="auto"/>
              <w:right w:val="single" w:sz="4" w:space="0" w:color="auto"/>
            </w:tcBorders>
            <w:shd w:val="clear" w:color="auto" w:fill="auto"/>
            <w:vAlign w:val="center"/>
            <w:hideMark/>
          </w:tcPr>
          <w:p w:rsidR="00086EAE" w:rsidRPr="004C3C82" w:rsidRDefault="00086EAE" w:rsidP="00086EAE">
            <w:pPr>
              <w:spacing w:after="0" w:line="240" w:lineRule="auto"/>
              <w:jc w:val="center"/>
              <w:rPr>
                <w:rFonts w:eastAsia="Times New Roman"/>
                <w:highlight w:val="yellow"/>
              </w:rPr>
            </w:pPr>
            <w:r w:rsidRPr="004C3C82">
              <w:rPr>
                <w:rFonts w:eastAsia="Times New Roman"/>
                <w:highlight w:val="yellow"/>
              </w:rPr>
              <w:t>3</w:t>
            </w:r>
          </w:p>
        </w:tc>
        <w:tc>
          <w:tcPr>
            <w:tcW w:w="180" w:type="pct"/>
            <w:tcBorders>
              <w:top w:val="nil"/>
              <w:left w:val="nil"/>
              <w:bottom w:val="single" w:sz="4" w:space="0" w:color="auto"/>
              <w:right w:val="single" w:sz="4" w:space="0" w:color="auto"/>
            </w:tcBorders>
            <w:shd w:val="clear" w:color="auto" w:fill="auto"/>
            <w:vAlign w:val="center"/>
            <w:hideMark/>
          </w:tcPr>
          <w:p w:rsidR="00086EAE" w:rsidRPr="004C3C82" w:rsidRDefault="00086EAE" w:rsidP="00086EAE">
            <w:pPr>
              <w:spacing w:after="0" w:line="240" w:lineRule="auto"/>
              <w:jc w:val="center"/>
              <w:rPr>
                <w:rFonts w:eastAsia="Times New Roman"/>
                <w:highlight w:val="yellow"/>
              </w:rPr>
            </w:pPr>
            <w:r w:rsidRPr="004C3C82">
              <w:rPr>
                <w:rFonts w:eastAsia="Times New Roman"/>
                <w:highlight w:val="yellow"/>
              </w:rPr>
              <w:t>2</w:t>
            </w:r>
          </w:p>
        </w:tc>
        <w:tc>
          <w:tcPr>
            <w:tcW w:w="180" w:type="pct"/>
            <w:tcBorders>
              <w:top w:val="nil"/>
              <w:left w:val="nil"/>
              <w:bottom w:val="single" w:sz="4" w:space="0" w:color="auto"/>
              <w:right w:val="single" w:sz="4" w:space="0" w:color="auto"/>
            </w:tcBorders>
            <w:shd w:val="clear" w:color="auto" w:fill="auto"/>
            <w:vAlign w:val="center"/>
            <w:hideMark/>
          </w:tcPr>
          <w:p w:rsidR="00086EAE" w:rsidRPr="004C3C82" w:rsidRDefault="00086EAE" w:rsidP="00086EAE">
            <w:pPr>
              <w:spacing w:after="0" w:line="240" w:lineRule="auto"/>
              <w:jc w:val="center"/>
              <w:rPr>
                <w:rFonts w:eastAsia="Times New Roman"/>
                <w:highlight w:val="yellow"/>
              </w:rPr>
            </w:pPr>
            <w:r w:rsidRPr="004C3C82">
              <w:rPr>
                <w:rFonts w:eastAsia="Times New Roman"/>
                <w:highlight w:val="yellow"/>
              </w:rPr>
              <w:t>2</w:t>
            </w:r>
          </w:p>
        </w:tc>
        <w:tc>
          <w:tcPr>
            <w:tcW w:w="202" w:type="pct"/>
            <w:tcBorders>
              <w:top w:val="nil"/>
              <w:left w:val="nil"/>
              <w:bottom w:val="single" w:sz="4" w:space="0" w:color="auto"/>
              <w:right w:val="single" w:sz="4" w:space="0" w:color="auto"/>
            </w:tcBorders>
            <w:shd w:val="clear" w:color="auto" w:fill="auto"/>
            <w:vAlign w:val="center"/>
            <w:hideMark/>
          </w:tcPr>
          <w:p w:rsidR="00086EAE" w:rsidRPr="004C3C82" w:rsidRDefault="00086EAE" w:rsidP="00086EAE">
            <w:pPr>
              <w:spacing w:after="0" w:line="240" w:lineRule="auto"/>
              <w:jc w:val="center"/>
              <w:rPr>
                <w:rFonts w:eastAsia="Times New Roman"/>
                <w:highlight w:val="yellow"/>
              </w:rPr>
            </w:pPr>
            <w:r w:rsidRPr="004C3C82">
              <w:rPr>
                <w:rFonts w:eastAsia="Times New Roman"/>
                <w:highlight w:val="yellow"/>
              </w:rPr>
              <w:t>2</w:t>
            </w:r>
          </w:p>
        </w:tc>
        <w:tc>
          <w:tcPr>
            <w:tcW w:w="354" w:type="pct"/>
            <w:tcBorders>
              <w:top w:val="nil"/>
              <w:left w:val="nil"/>
              <w:bottom w:val="single" w:sz="4" w:space="0" w:color="auto"/>
              <w:right w:val="single" w:sz="4" w:space="0" w:color="auto"/>
            </w:tcBorders>
            <w:shd w:val="clear" w:color="auto" w:fill="auto"/>
            <w:vAlign w:val="center"/>
            <w:hideMark/>
          </w:tcPr>
          <w:p w:rsidR="00086EAE" w:rsidRPr="004C3C82" w:rsidRDefault="00086EAE" w:rsidP="00086EAE">
            <w:pPr>
              <w:spacing w:after="0" w:line="240" w:lineRule="auto"/>
              <w:jc w:val="center"/>
              <w:rPr>
                <w:rFonts w:eastAsia="Times New Roman"/>
                <w:highlight w:val="yellow"/>
              </w:rPr>
            </w:pPr>
            <w:r w:rsidRPr="004C3C82">
              <w:rPr>
                <w:rFonts w:eastAsia="Times New Roman"/>
                <w:highlight w:val="yellow"/>
              </w:rPr>
              <w:t>9</w:t>
            </w:r>
          </w:p>
        </w:tc>
        <w:tc>
          <w:tcPr>
            <w:tcW w:w="354" w:type="pct"/>
            <w:tcBorders>
              <w:top w:val="nil"/>
              <w:left w:val="nil"/>
              <w:bottom w:val="single" w:sz="4" w:space="0" w:color="auto"/>
              <w:right w:val="single" w:sz="4" w:space="0" w:color="auto"/>
            </w:tcBorders>
            <w:shd w:val="clear" w:color="auto" w:fill="auto"/>
            <w:vAlign w:val="center"/>
            <w:hideMark/>
          </w:tcPr>
          <w:p w:rsidR="00086EAE" w:rsidRPr="004C3C82" w:rsidRDefault="00086EAE" w:rsidP="00086EAE">
            <w:pPr>
              <w:spacing w:after="0" w:line="240" w:lineRule="auto"/>
              <w:jc w:val="center"/>
              <w:rPr>
                <w:rFonts w:eastAsia="Times New Roman"/>
                <w:b/>
                <w:bCs/>
                <w:highlight w:val="yellow"/>
              </w:rPr>
            </w:pPr>
            <w:r w:rsidRPr="004C3C82">
              <w:rPr>
                <w:rFonts w:eastAsia="Times New Roman"/>
                <w:b/>
                <w:bCs/>
                <w:highlight w:val="yellow"/>
              </w:rPr>
              <w:t> </w:t>
            </w:r>
          </w:p>
        </w:tc>
      </w:tr>
      <w:tr w:rsidR="00086EAE" w:rsidRPr="00086EAE" w:rsidTr="00086EAE">
        <w:trPr>
          <w:trHeight w:val="4527"/>
        </w:trPr>
        <w:tc>
          <w:tcPr>
            <w:tcW w:w="855" w:type="pct"/>
            <w:tcBorders>
              <w:top w:val="nil"/>
              <w:left w:val="single" w:sz="4" w:space="0" w:color="auto"/>
              <w:bottom w:val="single" w:sz="4" w:space="0" w:color="auto"/>
              <w:right w:val="single" w:sz="4" w:space="0" w:color="auto"/>
            </w:tcBorders>
            <w:shd w:val="clear" w:color="auto" w:fill="auto"/>
            <w:vAlign w:val="center"/>
            <w:hideMark/>
          </w:tcPr>
          <w:p w:rsidR="00086EAE" w:rsidRPr="0050442C" w:rsidRDefault="00086EAE" w:rsidP="00086EAE">
            <w:pPr>
              <w:spacing w:after="0" w:line="240" w:lineRule="auto"/>
              <w:rPr>
                <w:rFonts w:eastAsia="Times New Roman"/>
                <w:highlight w:val="yellow"/>
              </w:rPr>
            </w:pPr>
            <w:r w:rsidRPr="0050442C">
              <w:rPr>
                <w:rFonts w:eastAsia="Times New Roman"/>
                <w:highlight w:val="yellow"/>
              </w:rPr>
              <w:lastRenderedPageBreak/>
              <w:t>Generar un marco normativo para promover la bancarización</w:t>
            </w:r>
          </w:p>
        </w:tc>
        <w:tc>
          <w:tcPr>
            <w:tcW w:w="2683" w:type="pct"/>
            <w:tcBorders>
              <w:top w:val="nil"/>
              <w:left w:val="nil"/>
              <w:bottom w:val="single" w:sz="4" w:space="0" w:color="auto"/>
              <w:right w:val="single" w:sz="4" w:space="0" w:color="auto"/>
            </w:tcBorders>
            <w:shd w:val="clear" w:color="auto" w:fill="auto"/>
            <w:vAlign w:val="center"/>
            <w:hideMark/>
          </w:tcPr>
          <w:p w:rsidR="0048448F" w:rsidRPr="0050442C" w:rsidRDefault="0048448F" w:rsidP="0048448F">
            <w:pPr>
              <w:spacing w:after="0" w:line="240" w:lineRule="auto"/>
              <w:rPr>
                <w:rFonts w:eastAsia="Times New Roman"/>
                <w:b/>
                <w:i/>
                <w:highlight w:val="yellow"/>
              </w:rPr>
            </w:pPr>
            <w:r w:rsidRPr="0050442C">
              <w:rPr>
                <w:rFonts w:eastAsia="Times New Roman"/>
                <w:b/>
                <w:i/>
                <w:highlight w:val="yellow"/>
              </w:rPr>
              <w:t>Descripción</w:t>
            </w:r>
          </w:p>
          <w:p w:rsidR="008A1010" w:rsidRDefault="00086EAE" w:rsidP="003E28CD">
            <w:pPr>
              <w:spacing w:after="0" w:line="240" w:lineRule="auto"/>
              <w:jc w:val="both"/>
              <w:rPr>
                <w:rFonts w:eastAsia="Times New Roman"/>
                <w:highlight w:val="yellow"/>
              </w:rPr>
            </w:pPr>
            <w:r w:rsidRPr="0050442C">
              <w:rPr>
                <w:rFonts w:eastAsia="Times New Roman"/>
                <w:highlight w:val="yellow"/>
              </w:rPr>
              <w:t xml:space="preserve">Esta alternativa comprende la promoción del uso de servicios del sistema financiero a partir de mejoras del marco regulatorio que desincentiven el uso de dinero en efectivo y promuevan la bancarización. Asimismo, implica un proceso de desarrollo de capacidades en la población que fomente el uso de los servicios del sistema financiero, mediante campañas o cursos a la población, especialmente en zonas alejadas del país y con alto nivel de riesgo de LA, </w:t>
            </w:r>
            <w:r w:rsidR="00A50DDA">
              <w:rPr>
                <w:rFonts w:eastAsia="Times New Roman"/>
                <w:highlight w:val="yellow"/>
              </w:rPr>
              <w:t>de acuerdo a lo identificado por</w:t>
            </w:r>
            <w:r w:rsidR="008A1010">
              <w:rPr>
                <w:rFonts w:eastAsia="Times New Roman"/>
                <w:highlight w:val="yellow"/>
              </w:rPr>
              <w:t xml:space="preserve"> la ENR 2021</w:t>
            </w:r>
            <w:r w:rsidRPr="0050442C">
              <w:rPr>
                <w:rFonts w:eastAsia="Times New Roman"/>
                <w:highlight w:val="yellow"/>
              </w:rPr>
              <w:t>.</w:t>
            </w:r>
          </w:p>
          <w:p w:rsidR="0048448F" w:rsidRPr="0050442C" w:rsidRDefault="0048448F" w:rsidP="003E28CD">
            <w:pPr>
              <w:spacing w:after="0" w:line="240" w:lineRule="auto"/>
              <w:jc w:val="both"/>
              <w:rPr>
                <w:rFonts w:eastAsia="Times New Roman"/>
                <w:highlight w:val="yellow"/>
              </w:rPr>
            </w:pPr>
          </w:p>
          <w:p w:rsidR="0048448F" w:rsidRPr="0050442C" w:rsidRDefault="0048448F" w:rsidP="0048448F">
            <w:pPr>
              <w:spacing w:after="0" w:line="240" w:lineRule="auto"/>
              <w:rPr>
                <w:rFonts w:eastAsia="Times New Roman"/>
                <w:b/>
                <w:i/>
                <w:highlight w:val="yellow"/>
              </w:rPr>
            </w:pPr>
            <w:r w:rsidRPr="0050442C">
              <w:rPr>
                <w:rFonts w:eastAsia="Times New Roman"/>
                <w:b/>
                <w:i/>
                <w:highlight w:val="yellow"/>
              </w:rPr>
              <w:t>Sustento</w:t>
            </w:r>
          </w:p>
          <w:p w:rsidR="008A1010" w:rsidRDefault="00086EAE" w:rsidP="003E28CD">
            <w:pPr>
              <w:spacing w:after="0" w:line="240" w:lineRule="auto"/>
              <w:jc w:val="both"/>
              <w:rPr>
                <w:rFonts w:eastAsia="Times New Roman"/>
                <w:highlight w:val="yellow"/>
              </w:rPr>
            </w:pPr>
            <w:r w:rsidRPr="0050442C">
              <w:rPr>
                <w:rFonts w:eastAsia="Times New Roman"/>
                <w:highlight w:val="yellow"/>
              </w:rPr>
              <w:t>A nivel nacional, respecto a dicha alternativa, ya existen antecedentes en el Plan Nacional contra el LA/FT 2018-2021, específicamente la acción 2.2.4, la cual consistía en elaborar e impulsar propuestas normativas ante el Congreso de la República que permitan establecer límites al traslado interno de movimiento de efectivo y valores y fomentar la bancarización. En esa línea, en el año 2018, se aprobó la Ley N° 30730 a través de la cual se estableció la bancarización obligatoria de determinadas operaciones pasibles de registros, siempre que superen determinado umbral. La obligatoriedad de utilizar medios de pago para realizar las siguientes operaciones cuando los montos sean iguales o superiores a 3 UIT: i) constitución o transferencia de derechos reales sobre inmuebles, ii) transferencia de propiedad o constitución de derechos reales sobre vehículos nuevos o usados, ya sean aéreos, marítimos o terrestres; y iii) adquisición, aumento y reducción de participación en el capital social de una persona jurídica. Al respecto, en el informe de cumplimiento del Plan 2018-2021, se especificó que aún quedó pendiente la norma que desarrolle límites al traslado interno de efectivo y valores.</w:t>
            </w:r>
            <w:r w:rsidRPr="0050442C">
              <w:rPr>
                <w:rFonts w:eastAsia="Times New Roman"/>
                <w:highlight w:val="yellow"/>
              </w:rPr>
              <w:br/>
            </w:r>
            <w:r w:rsidRPr="0050442C">
              <w:rPr>
                <w:rFonts w:eastAsia="Times New Roman"/>
                <w:highlight w:val="yellow"/>
              </w:rPr>
              <w:br/>
              <w:t xml:space="preserve">Por otro lado, también la acción 2.2.5 es un antecedente importante para la presente alternativa, debido a que consistía en promover y/o adoptar medidas normativas que permitan desincentivar el uso de dinero en efectivo, dificultando su utilización con fines LA/FT. En ese marco se aprobó la Resolución SBS N°4705-2017, la cual incorpora nuevas disposiciones para las empresas de transferencias </w:t>
            </w:r>
            <w:r w:rsidRPr="0050442C">
              <w:rPr>
                <w:rFonts w:eastAsia="Times New Roman"/>
                <w:highlight w:val="yellow"/>
              </w:rPr>
              <w:lastRenderedPageBreak/>
              <w:t>de fondos que les permita determinar y sustentar el origen de fondos cuando se efectúen operaciones en moneda extranjera en efectivo cuando se presen</w:t>
            </w:r>
            <w:r w:rsidR="008A1010">
              <w:rPr>
                <w:rFonts w:eastAsia="Times New Roman"/>
                <w:highlight w:val="yellow"/>
              </w:rPr>
              <w:t>ten las siguientes situaciones:</w:t>
            </w:r>
          </w:p>
          <w:p w:rsidR="003E28CD" w:rsidRDefault="00086EAE" w:rsidP="003E28CD">
            <w:pPr>
              <w:spacing w:after="0" w:line="240" w:lineRule="auto"/>
              <w:jc w:val="both"/>
              <w:rPr>
                <w:rFonts w:eastAsia="Times New Roman"/>
                <w:highlight w:val="yellow"/>
              </w:rPr>
            </w:pPr>
            <w:r w:rsidRPr="0050442C">
              <w:rPr>
                <w:rFonts w:eastAsia="Times New Roman"/>
                <w:highlight w:val="yellow"/>
              </w:rPr>
              <w:br/>
              <w:t>- Tratándose de transferencias de fondos, el importe es de siete mil quinientos dólares americanos (US$ 7,500.00), su equivalente en otras monedas extranjeras, de ser el caso.</w:t>
            </w:r>
          </w:p>
          <w:p w:rsidR="003E28CD" w:rsidRDefault="00086EAE" w:rsidP="003E28CD">
            <w:pPr>
              <w:spacing w:after="0" w:line="240" w:lineRule="auto"/>
              <w:jc w:val="both"/>
              <w:rPr>
                <w:rFonts w:eastAsia="Times New Roman"/>
                <w:highlight w:val="yellow"/>
              </w:rPr>
            </w:pPr>
            <w:r w:rsidRPr="0050442C">
              <w:rPr>
                <w:rFonts w:eastAsia="Times New Roman"/>
                <w:highlight w:val="yellow"/>
              </w:rPr>
              <w:br/>
              <w:t>- Cuando se trate de operaciones de compra y/o venta de divisas, el importe es de diez mil dólares americanos (US$ 10,000.00), su equivalente en otras monedas extranjeras, de ser el caso.</w:t>
            </w:r>
          </w:p>
          <w:p w:rsidR="003E28CD" w:rsidRDefault="00086EAE" w:rsidP="003E28CD">
            <w:pPr>
              <w:spacing w:after="0" w:line="240" w:lineRule="auto"/>
              <w:jc w:val="both"/>
              <w:rPr>
                <w:rFonts w:eastAsia="Times New Roman"/>
                <w:highlight w:val="yellow"/>
              </w:rPr>
            </w:pPr>
            <w:r w:rsidRPr="0050442C">
              <w:rPr>
                <w:rFonts w:eastAsia="Times New Roman"/>
                <w:highlight w:val="yellow"/>
              </w:rPr>
              <w:br/>
              <w:t>- Para las operaciones no consideradas en los literales precedentes, el importe a considerar es de cincuenta mil dólares americanos (US$ 50,000.00), su equivalente en otras monedas extranjeras, de ser el caso.</w:t>
            </w:r>
          </w:p>
          <w:p w:rsidR="00086EAE" w:rsidRPr="0050442C" w:rsidRDefault="00086EAE" w:rsidP="003E28CD">
            <w:pPr>
              <w:spacing w:after="0" w:line="240" w:lineRule="auto"/>
              <w:jc w:val="both"/>
              <w:rPr>
                <w:rFonts w:eastAsia="Times New Roman"/>
                <w:highlight w:val="yellow"/>
              </w:rPr>
            </w:pPr>
            <w:r w:rsidRPr="0050442C">
              <w:rPr>
                <w:rFonts w:eastAsia="Times New Roman"/>
                <w:highlight w:val="yellow"/>
              </w:rPr>
              <w:br/>
              <w:t>Asimismo, en dicha resolución, se especifica que las ETF pueden establecer umbrales menores a los expuestos, de acuerdo con la identificación y evaluación de riesgos que hayan efectuado.</w:t>
            </w:r>
          </w:p>
        </w:tc>
        <w:tc>
          <w:tcPr>
            <w:tcW w:w="191" w:type="pct"/>
            <w:tcBorders>
              <w:top w:val="nil"/>
              <w:left w:val="nil"/>
              <w:bottom w:val="single" w:sz="4" w:space="0" w:color="auto"/>
              <w:right w:val="single" w:sz="4" w:space="0" w:color="auto"/>
            </w:tcBorders>
            <w:shd w:val="clear" w:color="auto" w:fill="auto"/>
            <w:vAlign w:val="center"/>
            <w:hideMark/>
          </w:tcPr>
          <w:p w:rsidR="00086EAE" w:rsidRPr="0050442C" w:rsidRDefault="00086EAE" w:rsidP="00086EAE">
            <w:pPr>
              <w:spacing w:after="0" w:line="240" w:lineRule="auto"/>
              <w:jc w:val="center"/>
              <w:rPr>
                <w:rFonts w:eastAsia="Times New Roman"/>
                <w:highlight w:val="yellow"/>
              </w:rPr>
            </w:pPr>
            <w:r w:rsidRPr="0050442C">
              <w:rPr>
                <w:rFonts w:eastAsia="Times New Roman"/>
                <w:highlight w:val="yellow"/>
              </w:rPr>
              <w:lastRenderedPageBreak/>
              <w:t>3</w:t>
            </w:r>
          </w:p>
        </w:tc>
        <w:tc>
          <w:tcPr>
            <w:tcW w:w="180" w:type="pct"/>
            <w:tcBorders>
              <w:top w:val="nil"/>
              <w:left w:val="nil"/>
              <w:bottom w:val="single" w:sz="4" w:space="0" w:color="auto"/>
              <w:right w:val="single" w:sz="4" w:space="0" w:color="auto"/>
            </w:tcBorders>
            <w:shd w:val="clear" w:color="auto" w:fill="auto"/>
            <w:vAlign w:val="center"/>
            <w:hideMark/>
          </w:tcPr>
          <w:p w:rsidR="00086EAE" w:rsidRPr="0050442C" w:rsidRDefault="00086EAE" w:rsidP="00086EAE">
            <w:pPr>
              <w:spacing w:after="0" w:line="240" w:lineRule="auto"/>
              <w:jc w:val="center"/>
              <w:rPr>
                <w:rFonts w:eastAsia="Times New Roman"/>
                <w:highlight w:val="yellow"/>
              </w:rPr>
            </w:pPr>
            <w:r w:rsidRPr="0050442C">
              <w:rPr>
                <w:rFonts w:eastAsia="Times New Roman"/>
                <w:highlight w:val="yellow"/>
              </w:rPr>
              <w:t>2</w:t>
            </w:r>
          </w:p>
        </w:tc>
        <w:tc>
          <w:tcPr>
            <w:tcW w:w="180" w:type="pct"/>
            <w:tcBorders>
              <w:top w:val="nil"/>
              <w:left w:val="nil"/>
              <w:bottom w:val="single" w:sz="4" w:space="0" w:color="auto"/>
              <w:right w:val="single" w:sz="4" w:space="0" w:color="auto"/>
            </w:tcBorders>
            <w:shd w:val="clear" w:color="auto" w:fill="auto"/>
            <w:vAlign w:val="center"/>
            <w:hideMark/>
          </w:tcPr>
          <w:p w:rsidR="00086EAE" w:rsidRPr="0050442C" w:rsidRDefault="00086EAE" w:rsidP="00086EAE">
            <w:pPr>
              <w:spacing w:after="0" w:line="240" w:lineRule="auto"/>
              <w:jc w:val="center"/>
              <w:rPr>
                <w:rFonts w:eastAsia="Times New Roman"/>
                <w:highlight w:val="yellow"/>
              </w:rPr>
            </w:pPr>
            <w:r w:rsidRPr="0050442C">
              <w:rPr>
                <w:rFonts w:eastAsia="Times New Roman"/>
                <w:highlight w:val="yellow"/>
              </w:rPr>
              <w:t>3</w:t>
            </w:r>
          </w:p>
        </w:tc>
        <w:tc>
          <w:tcPr>
            <w:tcW w:w="202" w:type="pct"/>
            <w:tcBorders>
              <w:top w:val="nil"/>
              <w:left w:val="nil"/>
              <w:bottom w:val="single" w:sz="4" w:space="0" w:color="auto"/>
              <w:right w:val="single" w:sz="4" w:space="0" w:color="auto"/>
            </w:tcBorders>
            <w:shd w:val="clear" w:color="auto" w:fill="auto"/>
            <w:vAlign w:val="center"/>
            <w:hideMark/>
          </w:tcPr>
          <w:p w:rsidR="00086EAE" w:rsidRPr="0050442C" w:rsidRDefault="00086EAE" w:rsidP="00086EAE">
            <w:pPr>
              <w:spacing w:after="0" w:line="240" w:lineRule="auto"/>
              <w:jc w:val="center"/>
              <w:rPr>
                <w:rFonts w:eastAsia="Times New Roman"/>
                <w:highlight w:val="yellow"/>
              </w:rPr>
            </w:pPr>
            <w:r w:rsidRPr="0050442C">
              <w:rPr>
                <w:rFonts w:eastAsia="Times New Roman"/>
                <w:highlight w:val="yellow"/>
              </w:rPr>
              <w:t>2</w:t>
            </w:r>
          </w:p>
        </w:tc>
        <w:tc>
          <w:tcPr>
            <w:tcW w:w="354" w:type="pct"/>
            <w:tcBorders>
              <w:top w:val="nil"/>
              <w:left w:val="nil"/>
              <w:bottom w:val="single" w:sz="4" w:space="0" w:color="auto"/>
              <w:right w:val="single" w:sz="4" w:space="0" w:color="auto"/>
            </w:tcBorders>
            <w:shd w:val="clear" w:color="auto" w:fill="auto"/>
            <w:vAlign w:val="center"/>
            <w:hideMark/>
          </w:tcPr>
          <w:p w:rsidR="00086EAE" w:rsidRPr="0050442C" w:rsidRDefault="00086EAE" w:rsidP="00086EAE">
            <w:pPr>
              <w:spacing w:after="0" w:line="240" w:lineRule="auto"/>
              <w:jc w:val="center"/>
              <w:rPr>
                <w:rFonts w:eastAsia="Times New Roman"/>
                <w:highlight w:val="yellow"/>
              </w:rPr>
            </w:pPr>
            <w:r w:rsidRPr="0050442C">
              <w:rPr>
                <w:rFonts w:eastAsia="Times New Roman"/>
                <w:highlight w:val="yellow"/>
              </w:rPr>
              <w:t>10</w:t>
            </w:r>
          </w:p>
        </w:tc>
        <w:tc>
          <w:tcPr>
            <w:tcW w:w="354" w:type="pct"/>
            <w:tcBorders>
              <w:top w:val="nil"/>
              <w:left w:val="nil"/>
              <w:bottom w:val="single" w:sz="4" w:space="0" w:color="auto"/>
              <w:right w:val="single" w:sz="4" w:space="0" w:color="auto"/>
            </w:tcBorders>
            <w:shd w:val="clear" w:color="auto" w:fill="auto"/>
            <w:vAlign w:val="center"/>
            <w:hideMark/>
          </w:tcPr>
          <w:p w:rsidR="00086EAE" w:rsidRPr="0050442C" w:rsidRDefault="00086EAE" w:rsidP="00086EAE">
            <w:pPr>
              <w:spacing w:after="0" w:line="240" w:lineRule="auto"/>
              <w:jc w:val="center"/>
              <w:rPr>
                <w:rFonts w:eastAsia="Times New Roman"/>
                <w:b/>
                <w:bCs/>
                <w:highlight w:val="yellow"/>
              </w:rPr>
            </w:pPr>
            <w:r w:rsidRPr="0050442C">
              <w:rPr>
                <w:rFonts w:eastAsia="Times New Roman"/>
                <w:b/>
                <w:bCs/>
                <w:highlight w:val="yellow"/>
              </w:rPr>
              <w:t> </w:t>
            </w:r>
          </w:p>
        </w:tc>
      </w:tr>
    </w:tbl>
    <w:p w:rsidR="00086EAE" w:rsidRDefault="00086EAE" w:rsidP="00086EAE">
      <w:pPr>
        <w:jc w:val="both"/>
        <w:rPr>
          <w:b/>
          <w:sz w:val="28"/>
        </w:rPr>
      </w:pPr>
    </w:p>
    <w:p w:rsidR="00BF4DB4" w:rsidRDefault="00BF4DB4" w:rsidP="00086EAE">
      <w:pPr>
        <w:jc w:val="both"/>
        <w:rPr>
          <w:b/>
          <w:sz w:val="28"/>
        </w:rPr>
      </w:pPr>
    </w:p>
    <w:p w:rsidR="00BF4DB4" w:rsidRDefault="00BF4DB4" w:rsidP="00086EAE">
      <w:pPr>
        <w:jc w:val="both"/>
        <w:rPr>
          <w:b/>
          <w:sz w:val="28"/>
        </w:rPr>
      </w:pPr>
    </w:p>
    <w:p w:rsidR="00BF4DB4" w:rsidRDefault="00BF4DB4" w:rsidP="00086EAE">
      <w:pPr>
        <w:jc w:val="both"/>
        <w:rPr>
          <w:b/>
          <w:sz w:val="28"/>
        </w:rPr>
      </w:pPr>
    </w:p>
    <w:p w:rsidR="00BF4DB4" w:rsidRDefault="00BF4DB4" w:rsidP="00086EAE">
      <w:pPr>
        <w:jc w:val="both"/>
        <w:rPr>
          <w:b/>
          <w:sz w:val="28"/>
        </w:rPr>
      </w:pPr>
    </w:p>
    <w:p w:rsidR="00BF4DB4" w:rsidRDefault="00BF4DB4" w:rsidP="00086EAE">
      <w:pPr>
        <w:jc w:val="both"/>
        <w:rPr>
          <w:b/>
          <w:sz w:val="28"/>
        </w:rPr>
      </w:pPr>
    </w:p>
    <w:p w:rsidR="00086EAE" w:rsidRPr="00324C9C" w:rsidRDefault="00086EAE" w:rsidP="00086EAE">
      <w:pPr>
        <w:jc w:val="both"/>
        <w:rPr>
          <w:b/>
          <w:sz w:val="28"/>
        </w:rPr>
      </w:pPr>
      <w:r>
        <w:rPr>
          <w:b/>
          <w:sz w:val="28"/>
        </w:rPr>
        <w:lastRenderedPageBreak/>
        <w:t xml:space="preserve">CAUSA PRIMARIA 2: </w:t>
      </w:r>
      <w:r w:rsidRPr="00086EAE">
        <w:rPr>
          <w:b/>
          <w:sz w:val="28"/>
        </w:rPr>
        <w:t>Deficiente prevención de LA por parte de los sujetos obligados</w:t>
      </w:r>
    </w:p>
    <w:tbl>
      <w:tblPr>
        <w:tblW w:w="5000" w:type="pct"/>
        <w:tblCellMar>
          <w:left w:w="70" w:type="dxa"/>
          <w:right w:w="70" w:type="dxa"/>
        </w:tblCellMar>
        <w:tblLook w:val="04A0" w:firstRow="1" w:lastRow="0" w:firstColumn="1" w:lastColumn="0" w:noHBand="0" w:noVBand="1"/>
      </w:tblPr>
      <w:tblGrid>
        <w:gridCol w:w="2360"/>
        <w:gridCol w:w="7476"/>
        <w:gridCol w:w="501"/>
        <w:gridCol w:w="470"/>
        <w:gridCol w:w="470"/>
        <w:gridCol w:w="537"/>
        <w:gridCol w:w="957"/>
        <w:gridCol w:w="1223"/>
      </w:tblGrid>
      <w:tr w:rsidR="00862EF2" w:rsidRPr="00862EF2" w:rsidTr="00BC5FB7">
        <w:trPr>
          <w:trHeight w:val="290"/>
        </w:trPr>
        <w:tc>
          <w:tcPr>
            <w:tcW w:w="843" w:type="pct"/>
            <w:vMerge w:val="restart"/>
            <w:tcBorders>
              <w:top w:val="single" w:sz="4" w:space="0" w:color="auto"/>
              <w:left w:val="single" w:sz="4" w:space="0" w:color="auto"/>
              <w:bottom w:val="single" w:sz="4" w:space="0" w:color="auto"/>
              <w:right w:val="single" w:sz="4" w:space="0" w:color="auto"/>
            </w:tcBorders>
            <w:shd w:val="clear" w:color="8DB3E2" w:fill="8DB3E2"/>
            <w:vAlign w:val="center"/>
            <w:hideMark/>
          </w:tcPr>
          <w:p w:rsidR="00862EF2" w:rsidRPr="00862EF2" w:rsidRDefault="00862EF2" w:rsidP="00862EF2">
            <w:pPr>
              <w:spacing w:after="0" w:line="240" w:lineRule="auto"/>
              <w:jc w:val="center"/>
              <w:rPr>
                <w:rFonts w:eastAsia="Times New Roman"/>
                <w:b/>
                <w:bCs/>
                <w:sz w:val="20"/>
                <w:szCs w:val="20"/>
              </w:rPr>
            </w:pPr>
            <w:r w:rsidRPr="00862EF2">
              <w:rPr>
                <w:rFonts w:eastAsia="Times New Roman"/>
                <w:b/>
                <w:bCs/>
                <w:sz w:val="20"/>
                <w:szCs w:val="20"/>
              </w:rPr>
              <w:t>Alternativa de solución</w:t>
            </w:r>
          </w:p>
        </w:tc>
        <w:tc>
          <w:tcPr>
            <w:tcW w:w="2671" w:type="pct"/>
            <w:vMerge w:val="restart"/>
            <w:tcBorders>
              <w:top w:val="single" w:sz="4" w:space="0" w:color="auto"/>
              <w:left w:val="single" w:sz="4" w:space="0" w:color="auto"/>
              <w:bottom w:val="single" w:sz="4" w:space="0" w:color="000000"/>
              <w:right w:val="single" w:sz="4" w:space="0" w:color="auto"/>
            </w:tcBorders>
            <w:shd w:val="clear" w:color="8DB3E2" w:fill="8DB3E2"/>
            <w:vAlign w:val="center"/>
            <w:hideMark/>
          </w:tcPr>
          <w:p w:rsidR="00862EF2" w:rsidRPr="00862EF2" w:rsidRDefault="00862EF2" w:rsidP="00862EF2">
            <w:pPr>
              <w:spacing w:after="0" w:line="240" w:lineRule="auto"/>
              <w:jc w:val="center"/>
              <w:rPr>
                <w:rFonts w:eastAsia="Times New Roman"/>
                <w:b/>
                <w:bCs/>
                <w:sz w:val="20"/>
                <w:szCs w:val="20"/>
              </w:rPr>
            </w:pPr>
            <w:r w:rsidRPr="00862EF2">
              <w:rPr>
                <w:rFonts w:eastAsia="Times New Roman"/>
                <w:b/>
                <w:bCs/>
                <w:sz w:val="20"/>
                <w:szCs w:val="20"/>
              </w:rPr>
              <w:t>Detalle</w:t>
            </w:r>
          </w:p>
        </w:tc>
        <w:tc>
          <w:tcPr>
            <w:tcW w:w="707" w:type="pct"/>
            <w:gridSpan w:val="4"/>
            <w:tcBorders>
              <w:top w:val="single" w:sz="4" w:space="0" w:color="auto"/>
              <w:left w:val="nil"/>
              <w:bottom w:val="single" w:sz="4" w:space="0" w:color="auto"/>
              <w:right w:val="single" w:sz="4" w:space="0" w:color="auto"/>
            </w:tcBorders>
            <w:shd w:val="clear" w:color="8DB3E2" w:fill="8DB3E2"/>
            <w:noWrap/>
            <w:vAlign w:val="center"/>
            <w:hideMark/>
          </w:tcPr>
          <w:p w:rsidR="00862EF2" w:rsidRPr="00862EF2" w:rsidRDefault="00862EF2" w:rsidP="00862EF2">
            <w:pPr>
              <w:spacing w:after="0" w:line="240" w:lineRule="auto"/>
              <w:jc w:val="center"/>
              <w:rPr>
                <w:rFonts w:eastAsia="Times New Roman"/>
                <w:b/>
                <w:bCs/>
                <w:sz w:val="20"/>
                <w:szCs w:val="20"/>
                <w:u w:val="single"/>
              </w:rPr>
            </w:pPr>
            <w:r w:rsidRPr="00862EF2">
              <w:rPr>
                <w:rFonts w:eastAsia="Times New Roman"/>
                <w:b/>
                <w:bCs/>
                <w:sz w:val="20"/>
                <w:szCs w:val="20"/>
                <w:u w:val="single"/>
              </w:rPr>
              <w:t>Criterios</w:t>
            </w:r>
          </w:p>
        </w:tc>
        <w:tc>
          <w:tcPr>
            <w:tcW w:w="342" w:type="pct"/>
            <w:vMerge w:val="restart"/>
            <w:tcBorders>
              <w:top w:val="single" w:sz="4" w:space="0" w:color="auto"/>
              <w:left w:val="single" w:sz="4" w:space="0" w:color="auto"/>
              <w:bottom w:val="single" w:sz="4" w:space="0" w:color="auto"/>
              <w:right w:val="single" w:sz="4" w:space="0" w:color="auto"/>
            </w:tcBorders>
            <w:shd w:val="clear" w:color="8DB3E2" w:fill="8DB3E2"/>
            <w:vAlign w:val="center"/>
            <w:hideMark/>
          </w:tcPr>
          <w:p w:rsidR="00862EF2" w:rsidRPr="00862EF2" w:rsidRDefault="00862EF2" w:rsidP="00862EF2">
            <w:pPr>
              <w:spacing w:after="0" w:line="240" w:lineRule="auto"/>
              <w:jc w:val="center"/>
              <w:rPr>
                <w:rFonts w:eastAsia="Times New Roman"/>
                <w:b/>
                <w:bCs/>
                <w:sz w:val="20"/>
                <w:szCs w:val="20"/>
                <w:u w:val="single"/>
              </w:rPr>
            </w:pPr>
            <w:r w:rsidRPr="00862EF2">
              <w:rPr>
                <w:rFonts w:eastAsia="Times New Roman"/>
                <w:b/>
                <w:bCs/>
                <w:sz w:val="20"/>
                <w:szCs w:val="20"/>
                <w:u w:val="single"/>
              </w:rPr>
              <w:t>Puntaje final</w:t>
            </w:r>
          </w:p>
        </w:tc>
        <w:tc>
          <w:tcPr>
            <w:tcW w:w="437" w:type="pct"/>
            <w:vMerge w:val="restart"/>
            <w:tcBorders>
              <w:top w:val="single" w:sz="4" w:space="0" w:color="auto"/>
              <w:left w:val="single" w:sz="4" w:space="0" w:color="auto"/>
              <w:bottom w:val="single" w:sz="4" w:space="0" w:color="auto"/>
              <w:right w:val="single" w:sz="4" w:space="0" w:color="auto"/>
            </w:tcBorders>
            <w:shd w:val="clear" w:color="8DB3E2" w:fill="8DB3E2"/>
            <w:vAlign w:val="center"/>
            <w:hideMark/>
          </w:tcPr>
          <w:p w:rsidR="00862EF2" w:rsidRPr="00862EF2" w:rsidRDefault="00862EF2" w:rsidP="00862EF2">
            <w:pPr>
              <w:spacing w:after="0" w:line="240" w:lineRule="auto"/>
              <w:jc w:val="center"/>
              <w:rPr>
                <w:rFonts w:eastAsia="Times New Roman"/>
                <w:b/>
                <w:bCs/>
                <w:sz w:val="20"/>
                <w:szCs w:val="20"/>
                <w:u w:val="single"/>
              </w:rPr>
            </w:pPr>
            <w:r w:rsidRPr="00862EF2">
              <w:rPr>
                <w:rFonts w:eastAsia="Times New Roman"/>
                <w:b/>
                <w:bCs/>
                <w:sz w:val="20"/>
                <w:szCs w:val="20"/>
                <w:u w:val="single"/>
              </w:rPr>
              <w:t>Seleccionada</w:t>
            </w:r>
          </w:p>
        </w:tc>
      </w:tr>
      <w:tr w:rsidR="00BC5FB7" w:rsidRPr="00862EF2" w:rsidTr="00BC5FB7">
        <w:trPr>
          <w:trHeight w:val="1900"/>
        </w:trPr>
        <w:tc>
          <w:tcPr>
            <w:tcW w:w="843" w:type="pct"/>
            <w:vMerge/>
            <w:tcBorders>
              <w:top w:val="single" w:sz="4" w:space="0" w:color="auto"/>
              <w:left w:val="single" w:sz="4" w:space="0" w:color="auto"/>
              <w:bottom w:val="single" w:sz="4" w:space="0" w:color="auto"/>
              <w:right w:val="single" w:sz="4" w:space="0" w:color="auto"/>
            </w:tcBorders>
            <w:vAlign w:val="center"/>
            <w:hideMark/>
          </w:tcPr>
          <w:p w:rsidR="00862EF2" w:rsidRPr="00862EF2" w:rsidRDefault="00862EF2" w:rsidP="00862EF2">
            <w:pPr>
              <w:spacing w:after="0" w:line="240" w:lineRule="auto"/>
              <w:rPr>
                <w:rFonts w:eastAsia="Times New Roman"/>
                <w:b/>
                <w:bCs/>
                <w:sz w:val="20"/>
                <w:szCs w:val="20"/>
              </w:rPr>
            </w:pPr>
          </w:p>
        </w:tc>
        <w:tc>
          <w:tcPr>
            <w:tcW w:w="2671" w:type="pct"/>
            <w:vMerge/>
            <w:tcBorders>
              <w:top w:val="single" w:sz="4" w:space="0" w:color="auto"/>
              <w:left w:val="single" w:sz="4" w:space="0" w:color="auto"/>
              <w:bottom w:val="single" w:sz="4" w:space="0" w:color="000000"/>
              <w:right w:val="single" w:sz="4" w:space="0" w:color="auto"/>
            </w:tcBorders>
            <w:vAlign w:val="center"/>
            <w:hideMark/>
          </w:tcPr>
          <w:p w:rsidR="00862EF2" w:rsidRPr="00862EF2" w:rsidRDefault="00862EF2" w:rsidP="00862EF2">
            <w:pPr>
              <w:spacing w:after="0" w:line="240" w:lineRule="auto"/>
              <w:rPr>
                <w:rFonts w:eastAsia="Times New Roman"/>
                <w:b/>
                <w:bCs/>
                <w:sz w:val="20"/>
                <w:szCs w:val="20"/>
              </w:rPr>
            </w:pPr>
          </w:p>
        </w:tc>
        <w:tc>
          <w:tcPr>
            <w:tcW w:w="179" w:type="pct"/>
            <w:tcBorders>
              <w:top w:val="nil"/>
              <w:left w:val="nil"/>
              <w:bottom w:val="nil"/>
              <w:right w:val="single" w:sz="4" w:space="0" w:color="auto"/>
            </w:tcBorders>
            <w:shd w:val="clear" w:color="8DB3E2" w:fill="8DB3E2"/>
            <w:textDirection w:val="btLr"/>
            <w:vAlign w:val="center"/>
            <w:hideMark/>
          </w:tcPr>
          <w:p w:rsidR="00862EF2" w:rsidRPr="00862EF2" w:rsidRDefault="00862EF2" w:rsidP="00862EF2">
            <w:pPr>
              <w:spacing w:after="0" w:line="240" w:lineRule="auto"/>
              <w:jc w:val="center"/>
              <w:rPr>
                <w:rFonts w:eastAsia="Times New Roman"/>
                <w:b/>
                <w:bCs/>
                <w:sz w:val="18"/>
                <w:szCs w:val="18"/>
              </w:rPr>
            </w:pPr>
            <w:r w:rsidRPr="00862EF2">
              <w:rPr>
                <w:rFonts w:eastAsia="Times New Roman"/>
                <w:b/>
                <w:bCs/>
                <w:sz w:val="18"/>
                <w:szCs w:val="18"/>
              </w:rPr>
              <w:t>Viabilidad política</w:t>
            </w:r>
          </w:p>
        </w:tc>
        <w:tc>
          <w:tcPr>
            <w:tcW w:w="168" w:type="pct"/>
            <w:tcBorders>
              <w:top w:val="nil"/>
              <w:left w:val="nil"/>
              <w:bottom w:val="nil"/>
              <w:right w:val="single" w:sz="4" w:space="0" w:color="auto"/>
            </w:tcBorders>
            <w:shd w:val="clear" w:color="8DB3E2" w:fill="8DB3E2"/>
            <w:textDirection w:val="btLr"/>
            <w:vAlign w:val="center"/>
            <w:hideMark/>
          </w:tcPr>
          <w:p w:rsidR="00862EF2" w:rsidRPr="00862EF2" w:rsidRDefault="00862EF2" w:rsidP="00862EF2">
            <w:pPr>
              <w:spacing w:after="0" w:line="240" w:lineRule="auto"/>
              <w:jc w:val="center"/>
              <w:rPr>
                <w:rFonts w:eastAsia="Times New Roman"/>
                <w:b/>
                <w:bCs/>
                <w:sz w:val="18"/>
                <w:szCs w:val="18"/>
              </w:rPr>
            </w:pPr>
            <w:r w:rsidRPr="00862EF2">
              <w:rPr>
                <w:rFonts w:eastAsia="Times New Roman"/>
                <w:b/>
                <w:bCs/>
                <w:sz w:val="18"/>
                <w:szCs w:val="18"/>
              </w:rPr>
              <w:t>Viabilidad social</w:t>
            </w:r>
          </w:p>
        </w:tc>
        <w:tc>
          <w:tcPr>
            <w:tcW w:w="168" w:type="pct"/>
            <w:tcBorders>
              <w:top w:val="nil"/>
              <w:left w:val="nil"/>
              <w:bottom w:val="nil"/>
              <w:right w:val="single" w:sz="4" w:space="0" w:color="auto"/>
            </w:tcBorders>
            <w:shd w:val="clear" w:color="8DB3E2" w:fill="8DB3E2"/>
            <w:textDirection w:val="btLr"/>
            <w:vAlign w:val="center"/>
            <w:hideMark/>
          </w:tcPr>
          <w:p w:rsidR="00862EF2" w:rsidRPr="00862EF2" w:rsidRDefault="00862EF2" w:rsidP="00862EF2">
            <w:pPr>
              <w:spacing w:after="0" w:line="240" w:lineRule="auto"/>
              <w:jc w:val="center"/>
              <w:rPr>
                <w:rFonts w:eastAsia="Times New Roman"/>
                <w:b/>
                <w:bCs/>
                <w:sz w:val="18"/>
                <w:szCs w:val="18"/>
              </w:rPr>
            </w:pPr>
            <w:r w:rsidRPr="00862EF2">
              <w:rPr>
                <w:rFonts w:eastAsia="Times New Roman"/>
                <w:b/>
                <w:bCs/>
                <w:sz w:val="18"/>
                <w:szCs w:val="18"/>
              </w:rPr>
              <w:t>Viabilidad administrativa</w:t>
            </w:r>
          </w:p>
        </w:tc>
        <w:tc>
          <w:tcPr>
            <w:tcW w:w="191" w:type="pct"/>
            <w:tcBorders>
              <w:top w:val="nil"/>
              <w:left w:val="nil"/>
              <w:bottom w:val="nil"/>
              <w:right w:val="single" w:sz="4" w:space="0" w:color="auto"/>
            </w:tcBorders>
            <w:shd w:val="clear" w:color="8DB3E2" w:fill="8DB3E2"/>
            <w:textDirection w:val="btLr"/>
            <w:vAlign w:val="center"/>
            <w:hideMark/>
          </w:tcPr>
          <w:p w:rsidR="00862EF2" w:rsidRPr="00862EF2" w:rsidRDefault="00862EF2" w:rsidP="00862EF2">
            <w:pPr>
              <w:spacing w:after="0" w:line="240" w:lineRule="auto"/>
              <w:jc w:val="center"/>
              <w:rPr>
                <w:rFonts w:eastAsia="Times New Roman"/>
                <w:b/>
                <w:bCs/>
                <w:sz w:val="18"/>
                <w:szCs w:val="18"/>
              </w:rPr>
            </w:pPr>
            <w:r w:rsidRPr="00862EF2">
              <w:rPr>
                <w:rFonts w:eastAsia="Times New Roman"/>
                <w:b/>
                <w:bCs/>
                <w:sz w:val="18"/>
                <w:szCs w:val="18"/>
              </w:rPr>
              <w:t>Efectividad</w:t>
            </w:r>
          </w:p>
        </w:tc>
        <w:tc>
          <w:tcPr>
            <w:tcW w:w="342" w:type="pct"/>
            <w:vMerge/>
            <w:tcBorders>
              <w:top w:val="single" w:sz="4" w:space="0" w:color="auto"/>
              <w:left w:val="single" w:sz="4" w:space="0" w:color="auto"/>
              <w:bottom w:val="single" w:sz="4" w:space="0" w:color="auto"/>
              <w:right w:val="single" w:sz="4" w:space="0" w:color="auto"/>
            </w:tcBorders>
            <w:vAlign w:val="center"/>
            <w:hideMark/>
          </w:tcPr>
          <w:p w:rsidR="00862EF2" w:rsidRPr="00862EF2" w:rsidRDefault="00862EF2" w:rsidP="00862EF2">
            <w:pPr>
              <w:spacing w:after="0" w:line="240" w:lineRule="auto"/>
              <w:rPr>
                <w:rFonts w:eastAsia="Times New Roman"/>
                <w:b/>
                <w:bCs/>
                <w:sz w:val="20"/>
                <w:szCs w:val="20"/>
                <w:u w:val="single"/>
              </w:rPr>
            </w:pPr>
          </w:p>
        </w:tc>
        <w:tc>
          <w:tcPr>
            <w:tcW w:w="437" w:type="pct"/>
            <w:vMerge/>
            <w:tcBorders>
              <w:top w:val="single" w:sz="4" w:space="0" w:color="auto"/>
              <w:left w:val="single" w:sz="4" w:space="0" w:color="auto"/>
              <w:bottom w:val="single" w:sz="4" w:space="0" w:color="auto"/>
              <w:right w:val="single" w:sz="4" w:space="0" w:color="auto"/>
            </w:tcBorders>
            <w:vAlign w:val="center"/>
            <w:hideMark/>
          </w:tcPr>
          <w:p w:rsidR="00862EF2" w:rsidRPr="00862EF2" w:rsidRDefault="00862EF2" w:rsidP="00862EF2">
            <w:pPr>
              <w:spacing w:after="0" w:line="240" w:lineRule="auto"/>
              <w:rPr>
                <w:rFonts w:eastAsia="Times New Roman"/>
                <w:b/>
                <w:bCs/>
                <w:sz w:val="20"/>
                <w:szCs w:val="20"/>
                <w:u w:val="single"/>
              </w:rPr>
            </w:pPr>
          </w:p>
        </w:tc>
      </w:tr>
      <w:tr w:rsidR="006B0C74" w:rsidRPr="00862EF2" w:rsidTr="00BC5FB7">
        <w:trPr>
          <w:trHeight w:val="1450"/>
        </w:trPr>
        <w:tc>
          <w:tcPr>
            <w:tcW w:w="843"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rPr>
                <w:rFonts w:eastAsia="Times New Roman"/>
              </w:rPr>
            </w:pPr>
            <w:r w:rsidRPr="00862EF2">
              <w:rPr>
                <w:rFonts w:eastAsia="Times New Roman"/>
              </w:rPr>
              <w:t>Profundizar la comprensión de los riesgos de LA/FT en los sujetos obligados</w:t>
            </w:r>
          </w:p>
        </w:tc>
        <w:tc>
          <w:tcPr>
            <w:tcW w:w="2671" w:type="pct"/>
            <w:tcBorders>
              <w:top w:val="nil"/>
              <w:left w:val="nil"/>
              <w:bottom w:val="single" w:sz="4" w:space="0" w:color="auto"/>
              <w:right w:val="single" w:sz="4" w:space="0" w:color="auto"/>
            </w:tcBorders>
            <w:shd w:val="clear" w:color="auto" w:fill="EAF1DD" w:themeFill="accent3" w:themeFillTint="33"/>
            <w:vAlign w:val="center"/>
            <w:hideMark/>
          </w:tcPr>
          <w:p w:rsidR="00BC5FB7" w:rsidRPr="00BC5FB7" w:rsidRDefault="00BC5FB7" w:rsidP="00862EF2">
            <w:pPr>
              <w:spacing w:after="0" w:line="240" w:lineRule="auto"/>
              <w:rPr>
                <w:rFonts w:eastAsia="Times New Roman"/>
                <w:b/>
                <w:i/>
              </w:rPr>
            </w:pPr>
            <w:r w:rsidRPr="00BC5FB7">
              <w:rPr>
                <w:rFonts w:eastAsia="Times New Roman"/>
                <w:b/>
                <w:i/>
              </w:rPr>
              <w:t>Descripción</w:t>
            </w:r>
          </w:p>
          <w:p w:rsidR="00862EF2" w:rsidRDefault="00862EF2" w:rsidP="00862EF2">
            <w:pPr>
              <w:spacing w:after="0" w:line="240" w:lineRule="auto"/>
              <w:rPr>
                <w:rFonts w:eastAsia="Times New Roman"/>
              </w:rPr>
            </w:pPr>
            <w:r w:rsidRPr="00862EF2">
              <w:rPr>
                <w:rFonts w:eastAsia="Times New Roman"/>
              </w:rPr>
              <w:t xml:space="preserve">Esta alternativa se orienta a fortalecer la comprensión de los riesgos de lavado de activos, tanto a nivel nacional como a nivel de cada sector. Ello implica realizar una difusión de los resultados de la Evaluación Nacional de Riesgo, así como de las evaluaciones sectoriales, informe de sentencias o cualquier documento que identifique riesgos de LA, a través de diversos medios de difusión (página web, talleres, cursos de capacitación o campañas). </w:t>
            </w:r>
          </w:p>
          <w:p w:rsidR="00BC5FB7" w:rsidRDefault="00BC5FB7" w:rsidP="00862EF2">
            <w:pPr>
              <w:spacing w:after="0" w:line="240" w:lineRule="auto"/>
              <w:rPr>
                <w:rFonts w:eastAsia="Times New Roman"/>
              </w:rPr>
            </w:pPr>
          </w:p>
          <w:p w:rsidR="00BC5FB7" w:rsidRDefault="00BC5FB7" w:rsidP="00862EF2">
            <w:pPr>
              <w:spacing w:after="0" w:line="240" w:lineRule="auto"/>
              <w:rPr>
                <w:rFonts w:eastAsia="Times New Roman"/>
                <w:b/>
                <w:i/>
              </w:rPr>
            </w:pPr>
            <w:r w:rsidRPr="00BC5FB7">
              <w:rPr>
                <w:rFonts w:eastAsia="Times New Roman"/>
                <w:b/>
                <w:i/>
              </w:rPr>
              <w:t>Sustento</w:t>
            </w:r>
          </w:p>
          <w:p w:rsidR="00BC5FB7" w:rsidRPr="00BC5FB7" w:rsidRDefault="00BC5FB7" w:rsidP="00BC5FB7">
            <w:pPr>
              <w:spacing w:after="0" w:line="240" w:lineRule="auto"/>
              <w:rPr>
                <w:rFonts w:eastAsia="Times New Roman"/>
              </w:rPr>
            </w:pPr>
            <w:r w:rsidRPr="00BC5FB7">
              <w:rPr>
                <w:rFonts w:eastAsia="Times New Roman"/>
              </w:rPr>
              <w:t>Cabe resaltar, que dicha alternativa se enmarca en una de las acciones prioritarias establecidas en el IEM (implementación de instancias que permitan una comprensión común respecto al riesgo LA/FT en el país, su magnitud e impacto).</w:t>
            </w:r>
          </w:p>
          <w:p w:rsidR="00BC5FB7" w:rsidRDefault="00BC5FB7" w:rsidP="00BC5FB7">
            <w:pPr>
              <w:spacing w:after="0" w:line="240" w:lineRule="auto"/>
              <w:rPr>
                <w:rFonts w:eastAsia="Times New Roman"/>
              </w:rPr>
            </w:pPr>
          </w:p>
          <w:p w:rsidR="00BC5FB7" w:rsidRPr="00862EF2" w:rsidRDefault="00BC5FB7" w:rsidP="00BC5FB7">
            <w:pPr>
              <w:spacing w:after="0" w:line="240" w:lineRule="auto"/>
              <w:rPr>
                <w:rFonts w:eastAsia="Times New Roman"/>
                <w:b/>
                <w:i/>
              </w:rPr>
            </w:pPr>
            <w:r w:rsidRPr="00BC5FB7">
              <w:rPr>
                <w:rFonts w:eastAsia="Times New Roman"/>
              </w:rPr>
              <w:t>Siguiendo esta línea, se ha podido identificar referencias regionales de aplicación de políticas públicas en temas similares</w:t>
            </w:r>
            <w:r>
              <w:rPr>
                <w:rFonts w:eastAsia="Times New Roman"/>
              </w:rPr>
              <w:t xml:space="preserve"> en Chile, Uruguay y Colombia.</w:t>
            </w:r>
          </w:p>
        </w:tc>
        <w:tc>
          <w:tcPr>
            <w:tcW w:w="179"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t>4</w:t>
            </w:r>
          </w:p>
        </w:tc>
        <w:tc>
          <w:tcPr>
            <w:tcW w:w="168"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t>3</w:t>
            </w:r>
          </w:p>
        </w:tc>
        <w:tc>
          <w:tcPr>
            <w:tcW w:w="168"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t>4</w:t>
            </w:r>
          </w:p>
        </w:tc>
        <w:tc>
          <w:tcPr>
            <w:tcW w:w="191"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t>5</w:t>
            </w:r>
          </w:p>
        </w:tc>
        <w:tc>
          <w:tcPr>
            <w:tcW w:w="342"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t>16</w:t>
            </w:r>
          </w:p>
        </w:tc>
        <w:tc>
          <w:tcPr>
            <w:tcW w:w="437"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b/>
                <w:bCs/>
              </w:rPr>
            </w:pPr>
            <w:r w:rsidRPr="00862EF2">
              <w:rPr>
                <w:rFonts w:eastAsia="Times New Roman"/>
                <w:b/>
                <w:bCs/>
              </w:rPr>
              <w:t>X</w:t>
            </w:r>
          </w:p>
        </w:tc>
      </w:tr>
      <w:tr w:rsidR="006B0C74" w:rsidRPr="00862EF2" w:rsidTr="002C49EA">
        <w:trPr>
          <w:trHeight w:val="562"/>
        </w:trPr>
        <w:tc>
          <w:tcPr>
            <w:tcW w:w="843"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rPr>
                <w:rFonts w:eastAsia="Times New Roman"/>
              </w:rPr>
            </w:pPr>
            <w:r w:rsidRPr="00862EF2">
              <w:rPr>
                <w:rFonts w:eastAsia="Times New Roman"/>
              </w:rPr>
              <w:t>Diseño de herramientas que ayuden a</w:t>
            </w:r>
            <w:r w:rsidR="00867ED8">
              <w:rPr>
                <w:rFonts w:eastAsia="Times New Roman"/>
              </w:rPr>
              <w:t xml:space="preserve"> los SO a</w:t>
            </w:r>
            <w:r w:rsidRPr="00862EF2">
              <w:rPr>
                <w:rFonts w:eastAsia="Times New Roman"/>
              </w:rPr>
              <w:t xml:space="preserve"> fortalecer la implementación del SPLAFT con un EBR</w:t>
            </w:r>
          </w:p>
        </w:tc>
        <w:tc>
          <w:tcPr>
            <w:tcW w:w="2671" w:type="pct"/>
            <w:tcBorders>
              <w:top w:val="nil"/>
              <w:left w:val="nil"/>
              <w:bottom w:val="single" w:sz="4" w:space="0" w:color="auto"/>
              <w:right w:val="single" w:sz="4" w:space="0" w:color="auto"/>
            </w:tcBorders>
            <w:shd w:val="clear" w:color="auto" w:fill="EAF1DD" w:themeFill="accent3" w:themeFillTint="33"/>
            <w:vAlign w:val="center"/>
            <w:hideMark/>
          </w:tcPr>
          <w:p w:rsidR="00BC5FB7" w:rsidRPr="00BC5FB7" w:rsidRDefault="00BC5FB7" w:rsidP="00862EF2">
            <w:pPr>
              <w:spacing w:after="0" w:line="240" w:lineRule="auto"/>
              <w:rPr>
                <w:rFonts w:eastAsia="Times New Roman"/>
                <w:b/>
                <w:i/>
              </w:rPr>
            </w:pPr>
            <w:r w:rsidRPr="00BC5FB7">
              <w:rPr>
                <w:rFonts w:eastAsia="Times New Roman"/>
                <w:b/>
                <w:i/>
              </w:rPr>
              <w:t>Descripción</w:t>
            </w:r>
          </w:p>
          <w:p w:rsidR="00862EF2" w:rsidRDefault="00862EF2" w:rsidP="00862EF2">
            <w:pPr>
              <w:spacing w:after="0" w:line="240" w:lineRule="auto"/>
              <w:rPr>
                <w:rFonts w:eastAsia="Times New Roman"/>
              </w:rPr>
            </w:pPr>
            <w:r w:rsidRPr="00862EF2">
              <w:rPr>
                <w:rFonts w:eastAsia="Times New Roman"/>
              </w:rPr>
              <w:t xml:space="preserve">Esta alternativa implica la preparación de herramientas que faciliten a los sujetos obligados (en general) el diseño, la planeación e implementación de los sistemas de prevención de lavado de activos con EBR en sus respectivos sectores. Esta alternativa debe contemplar un público diferenciado de acuerdo a las características de los SO, los sectores de los que provienen, su naturaleza </w:t>
            </w:r>
            <w:r w:rsidRPr="00862EF2">
              <w:rPr>
                <w:rFonts w:eastAsia="Times New Roman"/>
              </w:rPr>
              <w:lastRenderedPageBreak/>
              <w:t>(persona jurídica o persona natural) y sus recursos disponibles (diferencia entre grandes, medianas y pequeñas empresas). Asimismo, estas herramientas deberán considerar modelos con enfoque práctico que faciliten la implementación de un sistema de prevención.</w:t>
            </w:r>
          </w:p>
          <w:p w:rsidR="00BC5FB7" w:rsidRDefault="00BC5FB7" w:rsidP="00862EF2">
            <w:pPr>
              <w:spacing w:after="0" w:line="240" w:lineRule="auto"/>
              <w:rPr>
                <w:rFonts w:eastAsia="Times New Roman"/>
              </w:rPr>
            </w:pPr>
          </w:p>
          <w:p w:rsidR="00BC5FB7" w:rsidRDefault="00BC5FB7" w:rsidP="00862EF2">
            <w:pPr>
              <w:spacing w:after="0" w:line="240" w:lineRule="auto"/>
              <w:rPr>
                <w:rFonts w:eastAsia="Times New Roman"/>
                <w:b/>
                <w:i/>
              </w:rPr>
            </w:pPr>
            <w:r w:rsidRPr="00BC5FB7">
              <w:rPr>
                <w:rFonts w:eastAsia="Times New Roman"/>
                <w:b/>
                <w:i/>
              </w:rPr>
              <w:t>Sustento</w:t>
            </w:r>
          </w:p>
          <w:p w:rsidR="00BC5FB7" w:rsidRDefault="00BC5FB7" w:rsidP="002C49EA">
            <w:pPr>
              <w:spacing w:after="0" w:line="240" w:lineRule="auto"/>
              <w:rPr>
                <w:rFonts w:eastAsia="Times New Roman"/>
              </w:rPr>
            </w:pPr>
            <w:r w:rsidRPr="00BC5FB7">
              <w:rPr>
                <w:rFonts w:eastAsia="Times New Roman"/>
              </w:rPr>
              <w:t>Siguiendo esta línea, se ha podido identificar referencias regionales</w:t>
            </w:r>
            <w:r w:rsidR="002C49EA">
              <w:rPr>
                <w:rFonts w:eastAsia="Times New Roman"/>
              </w:rPr>
              <w:t xml:space="preserve"> (Chile, República Dominicana y Colombia)</w:t>
            </w:r>
            <w:r w:rsidRPr="00BC5FB7">
              <w:rPr>
                <w:rFonts w:eastAsia="Times New Roman"/>
              </w:rPr>
              <w:t xml:space="preserve"> que buscan fortalecer la implementación de un SP</w:t>
            </w:r>
            <w:r w:rsidR="002C49EA">
              <w:rPr>
                <w:rFonts w:eastAsia="Times New Roman"/>
              </w:rPr>
              <w:t>LAFT con EBR en temas similares.</w:t>
            </w:r>
          </w:p>
          <w:p w:rsidR="002C49EA" w:rsidRDefault="002C49EA" w:rsidP="002C49EA">
            <w:pPr>
              <w:spacing w:after="0" w:line="240" w:lineRule="auto"/>
              <w:rPr>
                <w:rFonts w:eastAsia="Times New Roman"/>
              </w:rPr>
            </w:pPr>
          </w:p>
          <w:p w:rsidR="002C49EA" w:rsidRPr="002C49EA" w:rsidRDefault="002C49EA" w:rsidP="002C49EA">
            <w:pPr>
              <w:spacing w:after="0" w:line="240" w:lineRule="auto"/>
              <w:rPr>
                <w:rFonts w:eastAsia="Times New Roman"/>
              </w:rPr>
            </w:pPr>
            <w:r w:rsidRPr="002C49EA">
              <w:rPr>
                <w:rFonts w:eastAsia="Times New Roman"/>
              </w:rPr>
              <w:t>Cabe mencionar que, en el ámbito nacional, la UIF ha publicado en su portal web una serie de guías con el objeto de que sirvan de instrumentos de apoyo para el cumplimiento de las obligaciones del SPLAFT de los sujetos obligados supervisados por la UIF, entre las cuales destacan:</w:t>
            </w:r>
          </w:p>
          <w:p w:rsidR="002C49EA" w:rsidRPr="002C49EA" w:rsidRDefault="002C49EA" w:rsidP="002C49EA">
            <w:pPr>
              <w:pStyle w:val="Prrafodelista"/>
              <w:numPr>
                <w:ilvl w:val="0"/>
                <w:numId w:val="33"/>
              </w:numPr>
              <w:spacing w:after="0" w:line="240" w:lineRule="auto"/>
              <w:rPr>
                <w:rFonts w:eastAsia="Times New Roman"/>
              </w:rPr>
            </w:pPr>
            <w:r w:rsidRPr="002C49EA">
              <w:rPr>
                <w:rFonts w:eastAsia="Times New Roman"/>
              </w:rPr>
              <w:t>Guía para la debida diligencia en el conocimiento del cliente con un enfoque basado en riesgos, con énfasis en el régimen reforzado, dirigida al sector notarial.</w:t>
            </w:r>
          </w:p>
          <w:p w:rsidR="002C49EA" w:rsidRPr="002C49EA" w:rsidRDefault="002C49EA" w:rsidP="002C49EA">
            <w:pPr>
              <w:pStyle w:val="Prrafodelista"/>
              <w:numPr>
                <w:ilvl w:val="0"/>
                <w:numId w:val="33"/>
              </w:numPr>
              <w:spacing w:after="0" w:line="240" w:lineRule="auto"/>
              <w:rPr>
                <w:rFonts w:eastAsia="Times New Roman"/>
              </w:rPr>
            </w:pPr>
            <w:r w:rsidRPr="002C49EA">
              <w:rPr>
                <w:rFonts w:eastAsia="Times New Roman"/>
              </w:rPr>
              <w:t>Guía para la aplicación de la debida diligencia en el conocimiento del cliente con un enfoque basado en riesgos dirigida a la actividad de compraventa de vehículos nuevos.</w:t>
            </w:r>
          </w:p>
          <w:p w:rsidR="002C49EA" w:rsidRPr="002C49EA" w:rsidRDefault="002C49EA" w:rsidP="002C49EA">
            <w:pPr>
              <w:pStyle w:val="Prrafodelista"/>
              <w:numPr>
                <w:ilvl w:val="0"/>
                <w:numId w:val="33"/>
              </w:numPr>
              <w:spacing w:after="0" w:line="240" w:lineRule="auto"/>
              <w:rPr>
                <w:rFonts w:eastAsia="Times New Roman"/>
              </w:rPr>
            </w:pPr>
            <w:r w:rsidRPr="002C49EA">
              <w:rPr>
                <w:rFonts w:eastAsia="Times New Roman"/>
              </w:rPr>
              <w:t>Guía para la aplicación de la debida diligencia en el conocimiento del cliente con un enfoque basado en riesgos, dirigida al sector construcción y/o inmobiliario.</w:t>
            </w:r>
          </w:p>
          <w:p w:rsidR="002C49EA" w:rsidRPr="002C49EA" w:rsidRDefault="002C49EA" w:rsidP="002C49EA">
            <w:pPr>
              <w:pStyle w:val="Prrafodelista"/>
              <w:numPr>
                <w:ilvl w:val="0"/>
                <w:numId w:val="33"/>
              </w:numPr>
              <w:spacing w:after="0" w:line="240" w:lineRule="auto"/>
              <w:rPr>
                <w:rFonts w:eastAsia="Times New Roman"/>
              </w:rPr>
            </w:pPr>
            <w:r w:rsidRPr="002C49EA">
              <w:rPr>
                <w:rFonts w:eastAsia="Times New Roman"/>
              </w:rPr>
              <w:t>Guía para la implementación del Sistema de Prevención del Lavado de Activos y de Financiamiento del Terrorismo con Enfoque Basado en Riesgos en el Sector de Compraventa de Divisas.</w:t>
            </w:r>
          </w:p>
        </w:tc>
        <w:tc>
          <w:tcPr>
            <w:tcW w:w="179"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lastRenderedPageBreak/>
              <w:t>5</w:t>
            </w:r>
          </w:p>
        </w:tc>
        <w:tc>
          <w:tcPr>
            <w:tcW w:w="168"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t>3</w:t>
            </w:r>
          </w:p>
        </w:tc>
        <w:tc>
          <w:tcPr>
            <w:tcW w:w="168"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t>4</w:t>
            </w:r>
          </w:p>
        </w:tc>
        <w:tc>
          <w:tcPr>
            <w:tcW w:w="191"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t>5</w:t>
            </w:r>
          </w:p>
        </w:tc>
        <w:tc>
          <w:tcPr>
            <w:tcW w:w="342"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t>17</w:t>
            </w:r>
          </w:p>
        </w:tc>
        <w:tc>
          <w:tcPr>
            <w:tcW w:w="437"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b/>
                <w:bCs/>
              </w:rPr>
            </w:pPr>
            <w:r w:rsidRPr="00862EF2">
              <w:rPr>
                <w:rFonts w:eastAsia="Times New Roman"/>
                <w:b/>
                <w:bCs/>
              </w:rPr>
              <w:t>X</w:t>
            </w:r>
          </w:p>
        </w:tc>
      </w:tr>
      <w:tr w:rsidR="00862EF2" w:rsidRPr="00862EF2" w:rsidTr="00BC5FB7">
        <w:trPr>
          <w:trHeight w:val="987"/>
        </w:trPr>
        <w:tc>
          <w:tcPr>
            <w:tcW w:w="843" w:type="pct"/>
            <w:tcBorders>
              <w:top w:val="nil"/>
              <w:left w:val="single" w:sz="4" w:space="0" w:color="auto"/>
              <w:bottom w:val="single" w:sz="4" w:space="0" w:color="auto"/>
              <w:right w:val="single" w:sz="4" w:space="0" w:color="auto"/>
            </w:tcBorders>
            <w:shd w:val="clear" w:color="auto" w:fill="auto"/>
            <w:vAlign w:val="center"/>
            <w:hideMark/>
          </w:tcPr>
          <w:p w:rsidR="00862EF2" w:rsidRPr="00EF5D64" w:rsidRDefault="00862EF2" w:rsidP="00862EF2">
            <w:pPr>
              <w:spacing w:after="0" w:line="240" w:lineRule="auto"/>
              <w:rPr>
                <w:rFonts w:eastAsia="Times New Roman"/>
              </w:rPr>
            </w:pPr>
            <w:r w:rsidRPr="00EF5D64">
              <w:rPr>
                <w:rFonts w:eastAsia="Times New Roman"/>
              </w:rPr>
              <w:lastRenderedPageBreak/>
              <w:t xml:space="preserve">Fomentar el intercambio de buenas prácticas sobre el SPLAFT entre SO, resaltando la </w:t>
            </w:r>
            <w:r w:rsidRPr="00EF5D64">
              <w:rPr>
                <w:rFonts w:eastAsia="Times New Roman"/>
              </w:rPr>
              <w:lastRenderedPageBreak/>
              <w:t>innovación y la eficacia de estos</w:t>
            </w:r>
          </w:p>
        </w:tc>
        <w:tc>
          <w:tcPr>
            <w:tcW w:w="2671" w:type="pct"/>
            <w:tcBorders>
              <w:top w:val="nil"/>
              <w:left w:val="nil"/>
              <w:bottom w:val="single" w:sz="4" w:space="0" w:color="auto"/>
              <w:right w:val="single" w:sz="4" w:space="0" w:color="auto"/>
            </w:tcBorders>
            <w:shd w:val="clear" w:color="auto" w:fill="auto"/>
            <w:vAlign w:val="center"/>
            <w:hideMark/>
          </w:tcPr>
          <w:p w:rsidR="00862EF2" w:rsidRPr="00EF5D64" w:rsidRDefault="00E56D8E" w:rsidP="00862EF2">
            <w:pPr>
              <w:spacing w:after="0" w:line="240" w:lineRule="auto"/>
              <w:rPr>
                <w:rFonts w:eastAsia="Times New Roman"/>
                <w:b/>
                <w:i/>
                <w:highlight w:val="yellow"/>
              </w:rPr>
            </w:pPr>
            <w:r w:rsidRPr="00EF5D64">
              <w:rPr>
                <w:rFonts w:eastAsia="Times New Roman"/>
                <w:b/>
                <w:i/>
                <w:highlight w:val="yellow"/>
              </w:rPr>
              <w:lastRenderedPageBreak/>
              <w:t>Descripción</w:t>
            </w:r>
          </w:p>
          <w:p w:rsidR="00E56D8E" w:rsidRPr="00EF5D64" w:rsidRDefault="004C3C82" w:rsidP="00D43A27">
            <w:pPr>
              <w:spacing w:after="0" w:line="240" w:lineRule="auto"/>
              <w:jc w:val="both"/>
              <w:rPr>
                <w:rFonts w:eastAsia="Times New Roman"/>
                <w:highlight w:val="yellow"/>
              </w:rPr>
            </w:pPr>
            <w:r w:rsidRPr="00EF5D64">
              <w:rPr>
                <w:rFonts w:eastAsia="Times New Roman"/>
                <w:highlight w:val="yellow"/>
              </w:rPr>
              <w:t xml:space="preserve">Esta alternativa consiste en </w:t>
            </w:r>
            <w:r w:rsidR="00A50DDA">
              <w:rPr>
                <w:rFonts w:eastAsia="Times New Roman"/>
                <w:highlight w:val="yellow"/>
              </w:rPr>
              <w:t xml:space="preserve">implementar </w:t>
            </w:r>
            <w:r w:rsidR="00D43A27" w:rsidRPr="00EF5D64">
              <w:rPr>
                <w:rFonts w:eastAsia="Times New Roman"/>
                <w:highlight w:val="yellow"/>
              </w:rPr>
              <w:t>acciones que permitan incentivar la difusión e intercambio de buenas prácticas sobre</w:t>
            </w:r>
            <w:r w:rsidR="008A1010">
              <w:rPr>
                <w:rFonts w:eastAsia="Times New Roman"/>
                <w:highlight w:val="yellow"/>
              </w:rPr>
              <w:t xml:space="preserve"> los sistemas de prevención de LA </w:t>
            </w:r>
            <w:r w:rsidR="00D43A27" w:rsidRPr="00EF5D64">
              <w:rPr>
                <w:rFonts w:eastAsia="Times New Roman"/>
                <w:highlight w:val="yellow"/>
              </w:rPr>
              <w:t xml:space="preserve">entre los </w:t>
            </w:r>
            <w:r w:rsidR="008A1010">
              <w:rPr>
                <w:rFonts w:eastAsia="Times New Roman"/>
                <w:highlight w:val="yellow"/>
              </w:rPr>
              <w:t>SO</w:t>
            </w:r>
            <w:r w:rsidR="00D43A27" w:rsidRPr="00EF5D64">
              <w:rPr>
                <w:rFonts w:eastAsia="Times New Roman"/>
                <w:highlight w:val="yellow"/>
              </w:rPr>
              <w:t xml:space="preserve">. Estas acciones buscarán difundir aquellas experiencias en las que se </w:t>
            </w:r>
            <w:r w:rsidR="00D43A27" w:rsidRPr="00EF5D64">
              <w:rPr>
                <w:rFonts w:eastAsia="Times New Roman"/>
                <w:highlight w:val="yellow"/>
              </w:rPr>
              <w:lastRenderedPageBreak/>
              <w:t xml:space="preserve">apliquen mecanismos o herramientas innovadoras y que hayan permitido una alta eficacia a nivel de prevención. </w:t>
            </w:r>
          </w:p>
          <w:p w:rsidR="00E56D8E" w:rsidRPr="00EF5D64" w:rsidRDefault="00E56D8E" w:rsidP="00862EF2">
            <w:pPr>
              <w:spacing w:after="0" w:line="240" w:lineRule="auto"/>
              <w:rPr>
                <w:rFonts w:eastAsia="Times New Roman"/>
                <w:highlight w:val="yellow"/>
              </w:rPr>
            </w:pPr>
          </w:p>
          <w:p w:rsidR="00E56D8E" w:rsidRPr="00EF5D64" w:rsidRDefault="00E56D8E" w:rsidP="00862EF2">
            <w:pPr>
              <w:spacing w:after="0" w:line="240" w:lineRule="auto"/>
              <w:rPr>
                <w:rFonts w:eastAsia="Times New Roman"/>
                <w:b/>
                <w:i/>
                <w:highlight w:val="yellow"/>
              </w:rPr>
            </w:pPr>
            <w:r w:rsidRPr="00EF5D64">
              <w:rPr>
                <w:rFonts w:eastAsia="Times New Roman"/>
                <w:b/>
                <w:i/>
                <w:highlight w:val="yellow"/>
              </w:rPr>
              <w:t>Sustento</w:t>
            </w:r>
          </w:p>
          <w:p w:rsidR="00EF5D64" w:rsidRPr="00EF5D64" w:rsidRDefault="00EF5D64" w:rsidP="008A1010">
            <w:pPr>
              <w:spacing w:after="0" w:line="240" w:lineRule="auto"/>
              <w:jc w:val="both"/>
              <w:rPr>
                <w:rFonts w:eastAsia="Times New Roman"/>
              </w:rPr>
            </w:pPr>
            <w:r w:rsidRPr="00EF5D64">
              <w:rPr>
                <w:rFonts w:eastAsia="Times New Roman"/>
                <w:highlight w:val="yellow"/>
              </w:rPr>
              <w:t xml:space="preserve">Cabe mencionar que, </w:t>
            </w:r>
            <w:r w:rsidR="00A50DDA">
              <w:rPr>
                <w:rFonts w:eastAsia="Times New Roman"/>
                <w:highlight w:val="yellow"/>
              </w:rPr>
              <w:t>el</w:t>
            </w:r>
            <w:r w:rsidRPr="00EF5D64">
              <w:rPr>
                <w:rFonts w:eastAsia="Times New Roman"/>
                <w:highlight w:val="yellow"/>
              </w:rPr>
              <w:t xml:space="preserve"> </w:t>
            </w:r>
            <w:r w:rsidR="00A50DDA">
              <w:rPr>
                <w:rFonts w:eastAsia="Times New Roman"/>
                <w:highlight w:val="yellow"/>
              </w:rPr>
              <w:t>GAFILAT</w:t>
            </w:r>
            <w:r w:rsidRPr="00EF5D64">
              <w:rPr>
                <w:rFonts w:eastAsia="Times New Roman"/>
                <w:highlight w:val="yellow"/>
              </w:rPr>
              <w:t>, en su plan estratég</w:t>
            </w:r>
            <w:r w:rsidR="00A50DDA">
              <w:rPr>
                <w:rFonts w:eastAsia="Times New Roman"/>
                <w:highlight w:val="yellow"/>
              </w:rPr>
              <w:t xml:space="preserve">ico para el periodo 2020-2025 </w:t>
            </w:r>
            <w:r w:rsidR="008A1010">
              <w:rPr>
                <w:rFonts w:eastAsia="Times New Roman"/>
                <w:highlight w:val="yellow"/>
              </w:rPr>
              <w:t xml:space="preserve"> estableció </w:t>
            </w:r>
            <w:r w:rsidRPr="00EF5D64">
              <w:rPr>
                <w:rFonts w:eastAsia="Times New Roman"/>
                <w:highlight w:val="yellow"/>
              </w:rPr>
              <w:t>como estrategia promover el in</w:t>
            </w:r>
            <w:r w:rsidRPr="00F7793D">
              <w:rPr>
                <w:rFonts w:eastAsia="Times New Roman"/>
                <w:highlight w:val="yellow"/>
              </w:rPr>
              <w:t>tercambio de buenas prácticas y experiencias a nivel global y regional.</w:t>
            </w:r>
            <w:r w:rsidR="00F7793D" w:rsidRPr="00F7793D">
              <w:rPr>
                <w:rFonts w:eastAsia="Times New Roman"/>
                <w:highlight w:val="yellow"/>
              </w:rPr>
              <w:t xml:space="preserve"> Esta acción forma parte del objetivo de fortalecer los sistemas anti-lavado de activos, contra el financiamiento del terrorismo y contra el financiamiento de proliferación de armas de destrucción masiva (ALA/CFT/CFPADM).</w:t>
            </w:r>
          </w:p>
        </w:tc>
        <w:tc>
          <w:tcPr>
            <w:tcW w:w="179" w:type="pct"/>
            <w:tcBorders>
              <w:top w:val="nil"/>
              <w:left w:val="nil"/>
              <w:bottom w:val="single" w:sz="4" w:space="0" w:color="auto"/>
              <w:right w:val="single" w:sz="4" w:space="0" w:color="auto"/>
            </w:tcBorders>
            <w:shd w:val="clear" w:color="auto" w:fill="auto"/>
            <w:vAlign w:val="center"/>
            <w:hideMark/>
          </w:tcPr>
          <w:p w:rsidR="00862EF2" w:rsidRPr="0050442C" w:rsidRDefault="00862EF2" w:rsidP="00862EF2">
            <w:pPr>
              <w:spacing w:after="0" w:line="240" w:lineRule="auto"/>
              <w:jc w:val="center"/>
              <w:rPr>
                <w:rFonts w:eastAsia="Times New Roman"/>
                <w:highlight w:val="yellow"/>
              </w:rPr>
            </w:pPr>
            <w:r w:rsidRPr="0050442C">
              <w:rPr>
                <w:rFonts w:eastAsia="Times New Roman"/>
                <w:highlight w:val="yellow"/>
              </w:rPr>
              <w:lastRenderedPageBreak/>
              <w:t>3</w:t>
            </w:r>
          </w:p>
        </w:tc>
        <w:tc>
          <w:tcPr>
            <w:tcW w:w="168" w:type="pct"/>
            <w:tcBorders>
              <w:top w:val="nil"/>
              <w:left w:val="nil"/>
              <w:bottom w:val="single" w:sz="4" w:space="0" w:color="auto"/>
              <w:right w:val="single" w:sz="4" w:space="0" w:color="auto"/>
            </w:tcBorders>
            <w:shd w:val="clear" w:color="auto" w:fill="auto"/>
            <w:vAlign w:val="center"/>
            <w:hideMark/>
          </w:tcPr>
          <w:p w:rsidR="00862EF2" w:rsidRPr="0050442C" w:rsidRDefault="00862EF2" w:rsidP="00862EF2">
            <w:pPr>
              <w:spacing w:after="0" w:line="240" w:lineRule="auto"/>
              <w:jc w:val="center"/>
              <w:rPr>
                <w:rFonts w:eastAsia="Times New Roman"/>
                <w:highlight w:val="yellow"/>
              </w:rPr>
            </w:pPr>
            <w:r w:rsidRPr="0050442C">
              <w:rPr>
                <w:rFonts w:eastAsia="Times New Roman"/>
                <w:highlight w:val="yellow"/>
              </w:rPr>
              <w:t>2</w:t>
            </w:r>
          </w:p>
        </w:tc>
        <w:tc>
          <w:tcPr>
            <w:tcW w:w="168" w:type="pct"/>
            <w:tcBorders>
              <w:top w:val="nil"/>
              <w:left w:val="nil"/>
              <w:bottom w:val="single" w:sz="4" w:space="0" w:color="auto"/>
              <w:right w:val="single" w:sz="4" w:space="0" w:color="auto"/>
            </w:tcBorders>
            <w:shd w:val="clear" w:color="auto" w:fill="auto"/>
            <w:vAlign w:val="center"/>
            <w:hideMark/>
          </w:tcPr>
          <w:p w:rsidR="00862EF2" w:rsidRPr="0050442C" w:rsidRDefault="00862EF2" w:rsidP="00862EF2">
            <w:pPr>
              <w:spacing w:after="0" w:line="240" w:lineRule="auto"/>
              <w:jc w:val="center"/>
              <w:rPr>
                <w:rFonts w:eastAsia="Times New Roman"/>
                <w:highlight w:val="yellow"/>
              </w:rPr>
            </w:pPr>
            <w:r w:rsidRPr="0050442C">
              <w:rPr>
                <w:rFonts w:eastAsia="Times New Roman"/>
                <w:highlight w:val="yellow"/>
              </w:rPr>
              <w:t>3</w:t>
            </w:r>
          </w:p>
        </w:tc>
        <w:tc>
          <w:tcPr>
            <w:tcW w:w="191" w:type="pct"/>
            <w:tcBorders>
              <w:top w:val="nil"/>
              <w:left w:val="nil"/>
              <w:bottom w:val="single" w:sz="4" w:space="0" w:color="auto"/>
              <w:right w:val="single" w:sz="4" w:space="0" w:color="auto"/>
            </w:tcBorders>
            <w:shd w:val="clear" w:color="auto" w:fill="auto"/>
            <w:vAlign w:val="center"/>
            <w:hideMark/>
          </w:tcPr>
          <w:p w:rsidR="00862EF2" w:rsidRPr="0050442C" w:rsidRDefault="00862EF2" w:rsidP="00862EF2">
            <w:pPr>
              <w:spacing w:after="0" w:line="240" w:lineRule="auto"/>
              <w:jc w:val="center"/>
              <w:rPr>
                <w:rFonts w:eastAsia="Times New Roman"/>
                <w:highlight w:val="yellow"/>
              </w:rPr>
            </w:pPr>
            <w:r w:rsidRPr="0050442C">
              <w:rPr>
                <w:rFonts w:eastAsia="Times New Roman"/>
                <w:highlight w:val="yellow"/>
              </w:rPr>
              <w:t>2</w:t>
            </w:r>
          </w:p>
        </w:tc>
        <w:tc>
          <w:tcPr>
            <w:tcW w:w="342" w:type="pct"/>
            <w:tcBorders>
              <w:top w:val="nil"/>
              <w:left w:val="nil"/>
              <w:bottom w:val="single" w:sz="4" w:space="0" w:color="auto"/>
              <w:right w:val="single" w:sz="4" w:space="0" w:color="auto"/>
            </w:tcBorders>
            <w:shd w:val="clear" w:color="auto" w:fill="auto"/>
            <w:vAlign w:val="center"/>
            <w:hideMark/>
          </w:tcPr>
          <w:p w:rsidR="00862EF2" w:rsidRPr="0050442C" w:rsidRDefault="00862EF2" w:rsidP="00862EF2">
            <w:pPr>
              <w:spacing w:after="0" w:line="240" w:lineRule="auto"/>
              <w:jc w:val="center"/>
              <w:rPr>
                <w:rFonts w:eastAsia="Times New Roman"/>
                <w:highlight w:val="yellow"/>
              </w:rPr>
            </w:pPr>
            <w:r w:rsidRPr="0050442C">
              <w:rPr>
                <w:rFonts w:eastAsia="Times New Roman"/>
                <w:highlight w:val="yellow"/>
              </w:rPr>
              <w:t>10</w:t>
            </w:r>
          </w:p>
        </w:tc>
        <w:tc>
          <w:tcPr>
            <w:tcW w:w="437" w:type="pct"/>
            <w:tcBorders>
              <w:top w:val="nil"/>
              <w:left w:val="nil"/>
              <w:bottom w:val="single" w:sz="4" w:space="0" w:color="auto"/>
              <w:right w:val="single" w:sz="4" w:space="0" w:color="auto"/>
            </w:tcBorders>
            <w:shd w:val="clear" w:color="auto" w:fill="auto"/>
            <w:vAlign w:val="center"/>
            <w:hideMark/>
          </w:tcPr>
          <w:p w:rsidR="00862EF2" w:rsidRPr="0050442C" w:rsidRDefault="00862EF2" w:rsidP="00862EF2">
            <w:pPr>
              <w:spacing w:after="0" w:line="240" w:lineRule="auto"/>
              <w:jc w:val="center"/>
              <w:rPr>
                <w:rFonts w:eastAsia="Times New Roman"/>
                <w:b/>
                <w:bCs/>
                <w:highlight w:val="yellow"/>
              </w:rPr>
            </w:pPr>
            <w:r w:rsidRPr="0050442C">
              <w:rPr>
                <w:rFonts w:eastAsia="Times New Roman"/>
                <w:b/>
                <w:bCs/>
                <w:highlight w:val="yellow"/>
              </w:rPr>
              <w:t> </w:t>
            </w:r>
          </w:p>
        </w:tc>
      </w:tr>
    </w:tbl>
    <w:p w:rsidR="00862EF2" w:rsidRDefault="00862EF2" w:rsidP="00086EAE">
      <w:pPr>
        <w:jc w:val="both"/>
        <w:rPr>
          <w:b/>
          <w:sz w:val="28"/>
        </w:rPr>
      </w:pPr>
    </w:p>
    <w:p w:rsidR="00862EF2" w:rsidRDefault="00862EF2" w:rsidP="00086EAE">
      <w:pPr>
        <w:jc w:val="both"/>
        <w:rPr>
          <w:b/>
          <w:sz w:val="28"/>
        </w:rPr>
      </w:pPr>
    </w:p>
    <w:p w:rsidR="00086EAE" w:rsidRPr="00324C9C" w:rsidRDefault="00086EAE" w:rsidP="00086EAE">
      <w:pPr>
        <w:jc w:val="both"/>
        <w:rPr>
          <w:b/>
          <w:sz w:val="28"/>
        </w:rPr>
      </w:pPr>
      <w:r>
        <w:rPr>
          <w:b/>
          <w:sz w:val="28"/>
        </w:rPr>
        <w:t xml:space="preserve">CAUSA PRIMARIA 3: </w:t>
      </w:r>
      <w:r w:rsidRPr="00086EAE">
        <w:rPr>
          <w:b/>
          <w:sz w:val="28"/>
        </w:rPr>
        <w:t>Debilidad del Estado para combatir el LA</w:t>
      </w:r>
    </w:p>
    <w:p w:rsidR="00086EAE" w:rsidRDefault="00086EAE" w:rsidP="00086EAE">
      <w:pPr>
        <w:jc w:val="both"/>
        <w:rPr>
          <w:b/>
          <w:sz w:val="28"/>
        </w:rPr>
      </w:pPr>
    </w:p>
    <w:tbl>
      <w:tblPr>
        <w:tblW w:w="5000" w:type="pct"/>
        <w:tblCellMar>
          <w:left w:w="70" w:type="dxa"/>
          <w:right w:w="70" w:type="dxa"/>
        </w:tblCellMar>
        <w:tblLook w:val="04A0" w:firstRow="1" w:lastRow="0" w:firstColumn="1" w:lastColumn="0" w:noHBand="0" w:noVBand="1"/>
      </w:tblPr>
      <w:tblGrid>
        <w:gridCol w:w="2359"/>
        <w:gridCol w:w="7476"/>
        <w:gridCol w:w="502"/>
        <w:gridCol w:w="471"/>
        <w:gridCol w:w="471"/>
        <w:gridCol w:w="535"/>
        <w:gridCol w:w="958"/>
        <w:gridCol w:w="1222"/>
      </w:tblGrid>
      <w:tr w:rsidR="00862EF2" w:rsidRPr="00862EF2" w:rsidTr="00862EF2">
        <w:trPr>
          <w:trHeight w:val="290"/>
        </w:trPr>
        <w:tc>
          <w:tcPr>
            <w:tcW w:w="855" w:type="pct"/>
            <w:vMerge w:val="restart"/>
            <w:tcBorders>
              <w:top w:val="single" w:sz="4" w:space="0" w:color="auto"/>
              <w:left w:val="single" w:sz="4" w:space="0" w:color="auto"/>
              <w:bottom w:val="single" w:sz="4" w:space="0" w:color="auto"/>
              <w:right w:val="single" w:sz="4" w:space="0" w:color="auto"/>
            </w:tcBorders>
            <w:shd w:val="clear" w:color="8DB3E2" w:fill="8DB3E2"/>
            <w:vAlign w:val="center"/>
            <w:hideMark/>
          </w:tcPr>
          <w:p w:rsidR="00862EF2" w:rsidRPr="00862EF2" w:rsidRDefault="00862EF2" w:rsidP="00862EF2">
            <w:pPr>
              <w:spacing w:after="0" w:line="240" w:lineRule="auto"/>
              <w:jc w:val="center"/>
              <w:rPr>
                <w:rFonts w:eastAsia="Times New Roman"/>
                <w:b/>
                <w:bCs/>
                <w:sz w:val="20"/>
                <w:szCs w:val="20"/>
              </w:rPr>
            </w:pPr>
            <w:r w:rsidRPr="00862EF2">
              <w:rPr>
                <w:rFonts w:eastAsia="Times New Roman"/>
                <w:b/>
                <w:bCs/>
                <w:sz w:val="20"/>
                <w:szCs w:val="20"/>
              </w:rPr>
              <w:t>Alternativa de solución</w:t>
            </w:r>
          </w:p>
        </w:tc>
        <w:tc>
          <w:tcPr>
            <w:tcW w:w="2683" w:type="pct"/>
            <w:vMerge w:val="restart"/>
            <w:tcBorders>
              <w:top w:val="single" w:sz="4" w:space="0" w:color="auto"/>
              <w:left w:val="single" w:sz="4" w:space="0" w:color="auto"/>
              <w:bottom w:val="single" w:sz="4" w:space="0" w:color="000000"/>
              <w:right w:val="single" w:sz="4" w:space="0" w:color="auto"/>
            </w:tcBorders>
            <w:shd w:val="clear" w:color="8DB3E2" w:fill="8DB3E2"/>
            <w:vAlign w:val="center"/>
            <w:hideMark/>
          </w:tcPr>
          <w:p w:rsidR="00862EF2" w:rsidRPr="00862EF2" w:rsidRDefault="00862EF2" w:rsidP="00862EF2">
            <w:pPr>
              <w:spacing w:after="0" w:line="240" w:lineRule="auto"/>
              <w:jc w:val="center"/>
              <w:rPr>
                <w:rFonts w:eastAsia="Times New Roman"/>
                <w:b/>
                <w:bCs/>
                <w:sz w:val="20"/>
                <w:szCs w:val="20"/>
              </w:rPr>
            </w:pPr>
            <w:r w:rsidRPr="00862EF2">
              <w:rPr>
                <w:rFonts w:eastAsia="Times New Roman"/>
                <w:b/>
                <w:bCs/>
                <w:sz w:val="20"/>
                <w:szCs w:val="20"/>
              </w:rPr>
              <w:t>Detalle</w:t>
            </w:r>
          </w:p>
        </w:tc>
        <w:tc>
          <w:tcPr>
            <w:tcW w:w="754" w:type="pct"/>
            <w:gridSpan w:val="4"/>
            <w:tcBorders>
              <w:top w:val="single" w:sz="4" w:space="0" w:color="auto"/>
              <w:left w:val="nil"/>
              <w:bottom w:val="single" w:sz="4" w:space="0" w:color="auto"/>
              <w:right w:val="single" w:sz="4" w:space="0" w:color="auto"/>
            </w:tcBorders>
            <w:shd w:val="clear" w:color="8DB3E2" w:fill="8DB3E2"/>
            <w:noWrap/>
            <w:vAlign w:val="center"/>
            <w:hideMark/>
          </w:tcPr>
          <w:p w:rsidR="00862EF2" w:rsidRPr="00862EF2" w:rsidRDefault="00862EF2" w:rsidP="00862EF2">
            <w:pPr>
              <w:spacing w:after="0" w:line="240" w:lineRule="auto"/>
              <w:jc w:val="center"/>
              <w:rPr>
                <w:rFonts w:eastAsia="Times New Roman"/>
                <w:b/>
                <w:bCs/>
                <w:sz w:val="20"/>
                <w:szCs w:val="20"/>
                <w:u w:val="single"/>
              </w:rPr>
            </w:pPr>
            <w:r w:rsidRPr="00862EF2">
              <w:rPr>
                <w:rFonts w:eastAsia="Times New Roman"/>
                <w:b/>
                <w:bCs/>
                <w:sz w:val="20"/>
                <w:szCs w:val="20"/>
                <w:u w:val="single"/>
              </w:rPr>
              <w:t>Criterios</w:t>
            </w:r>
          </w:p>
        </w:tc>
        <w:tc>
          <w:tcPr>
            <w:tcW w:w="354" w:type="pct"/>
            <w:vMerge w:val="restart"/>
            <w:tcBorders>
              <w:top w:val="single" w:sz="4" w:space="0" w:color="auto"/>
              <w:left w:val="single" w:sz="4" w:space="0" w:color="auto"/>
              <w:bottom w:val="single" w:sz="4" w:space="0" w:color="auto"/>
              <w:right w:val="single" w:sz="4" w:space="0" w:color="auto"/>
            </w:tcBorders>
            <w:shd w:val="clear" w:color="8DB3E2" w:fill="8DB3E2"/>
            <w:vAlign w:val="center"/>
            <w:hideMark/>
          </w:tcPr>
          <w:p w:rsidR="00862EF2" w:rsidRPr="00862EF2" w:rsidRDefault="00862EF2" w:rsidP="00862EF2">
            <w:pPr>
              <w:spacing w:after="0" w:line="240" w:lineRule="auto"/>
              <w:jc w:val="center"/>
              <w:rPr>
                <w:rFonts w:eastAsia="Times New Roman"/>
                <w:b/>
                <w:bCs/>
                <w:sz w:val="20"/>
                <w:szCs w:val="20"/>
                <w:u w:val="single"/>
              </w:rPr>
            </w:pPr>
            <w:r w:rsidRPr="00862EF2">
              <w:rPr>
                <w:rFonts w:eastAsia="Times New Roman"/>
                <w:b/>
                <w:bCs/>
                <w:sz w:val="20"/>
                <w:szCs w:val="20"/>
                <w:u w:val="single"/>
              </w:rPr>
              <w:t>Puntaje final</w:t>
            </w:r>
          </w:p>
        </w:tc>
        <w:tc>
          <w:tcPr>
            <w:tcW w:w="354" w:type="pct"/>
            <w:vMerge w:val="restart"/>
            <w:tcBorders>
              <w:top w:val="single" w:sz="4" w:space="0" w:color="auto"/>
              <w:left w:val="single" w:sz="4" w:space="0" w:color="auto"/>
              <w:bottom w:val="single" w:sz="4" w:space="0" w:color="auto"/>
              <w:right w:val="single" w:sz="4" w:space="0" w:color="auto"/>
            </w:tcBorders>
            <w:shd w:val="clear" w:color="8DB3E2" w:fill="8DB3E2"/>
            <w:vAlign w:val="center"/>
            <w:hideMark/>
          </w:tcPr>
          <w:p w:rsidR="00862EF2" w:rsidRPr="00862EF2" w:rsidRDefault="00862EF2" w:rsidP="00862EF2">
            <w:pPr>
              <w:spacing w:after="0" w:line="240" w:lineRule="auto"/>
              <w:jc w:val="center"/>
              <w:rPr>
                <w:rFonts w:eastAsia="Times New Roman"/>
                <w:b/>
                <w:bCs/>
                <w:sz w:val="20"/>
                <w:szCs w:val="20"/>
                <w:u w:val="single"/>
              </w:rPr>
            </w:pPr>
            <w:r w:rsidRPr="00862EF2">
              <w:rPr>
                <w:rFonts w:eastAsia="Times New Roman"/>
                <w:b/>
                <w:bCs/>
                <w:sz w:val="20"/>
                <w:szCs w:val="20"/>
                <w:u w:val="single"/>
              </w:rPr>
              <w:t>Seleccionada</w:t>
            </w:r>
          </w:p>
        </w:tc>
      </w:tr>
      <w:tr w:rsidR="00862EF2" w:rsidRPr="00862EF2" w:rsidTr="00862EF2">
        <w:trPr>
          <w:trHeight w:val="2300"/>
        </w:trPr>
        <w:tc>
          <w:tcPr>
            <w:tcW w:w="855" w:type="pct"/>
            <w:vMerge/>
            <w:tcBorders>
              <w:top w:val="single" w:sz="4" w:space="0" w:color="auto"/>
              <w:left w:val="single" w:sz="4" w:space="0" w:color="auto"/>
              <w:bottom w:val="single" w:sz="4" w:space="0" w:color="auto"/>
              <w:right w:val="single" w:sz="4" w:space="0" w:color="auto"/>
            </w:tcBorders>
            <w:vAlign w:val="center"/>
            <w:hideMark/>
          </w:tcPr>
          <w:p w:rsidR="00862EF2" w:rsidRPr="00862EF2" w:rsidRDefault="00862EF2" w:rsidP="00862EF2">
            <w:pPr>
              <w:spacing w:after="0" w:line="240" w:lineRule="auto"/>
              <w:rPr>
                <w:rFonts w:eastAsia="Times New Roman"/>
                <w:b/>
                <w:bCs/>
                <w:sz w:val="20"/>
                <w:szCs w:val="20"/>
              </w:rPr>
            </w:pPr>
          </w:p>
        </w:tc>
        <w:tc>
          <w:tcPr>
            <w:tcW w:w="2683" w:type="pct"/>
            <w:vMerge/>
            <w:tcBorders>
              <w:top w:val="single" w:sz="4" w:space="0" w:color="auto"/>
              <w:left w:val="single" w:sz="4" w:space="0" w:color="auto"/>
              <w:bottom w:val="single" w:sz="4" w:space="0" w:color="000000"/>
              <w:right w:val="single" w:sz="4" w:space="0" w:color="auto"/>
            </w:tcBorders>
            <w:vAlign w:val="center"/>
            <w:hideMark/>
          </w:tcPr>
          <w:p w:rsidR="00862EF2" w:rsidRPr="00862EF2" w:rsidRDefault="00862EF2" w:rsidP="00862EF2">
            <w:pPr>
              <w:spacing w:after="0" w:line="240" w:lineRule="auto"/>
              <w:rPr>
                <w:rFonts w:eastAsia="Times New Roman"/>
                <w:b/>
                <w:bCs/>
                <w:sz w:val="20"/>
                <w:szCs w:val="20"/>
              </w:rPr>
            </w:pPr>
          </w:p>
        </w:tc>
        <w:tc>
          <w:tcPr>
            <w:tcW w:w="191" w:type="pct"/>
            <w:tcBorders>
              <w:top w:val="nil"/>
              <w:left w:val="nil"/>
              <w:bottom w:val="nil"/>
              <w:right w:val="single" w:sz="4" w:space="0" w:color="auto"/>
            </w:tcBorders>
            <w:shd w:val="clear" w:color="8DB3E2" w:fill="8DB3E2"/>
            <w:textDirection w:val="btLr"/>
            <w:vAlign w:val="center"/>
            <w:hideMark/>
          </w:tcPr>
          <w:p w:rsidR="00862EF2" w:rsidRPr="00862EF2" w:rsidRDefault="00862EF2" w:rsidP="00862EF2">
            <w:pPr>
              <w:spacing w:after="0" w:line="240" w:lineRule="auto"/>
              <w:jc w:val="center"/>
              <w:rPr>
                <w:rFonts w:eastAsia="Times New Roman"/>
                <w:b/>
                <w:bCs/>
                <w:sz w:val="18"/>
                <w:szCs w:val="18"/>
              </w:rPr>
            </w:pPr>
            <w:r w:rsidRPr="00862EF2">
              <w:rPr>
                <w:rFonts w:eastAsia="Times New Roman"/>
                <w:b/>
                <w:bCs/>
                <w:sz w:val="18"/>
                <w:szCs w:val="18"/>
              </w:rPr>
              <w:t>Viabilidad política</w:t>
            </w:r>
          </w:p>
        </w:tc>
        <w:tc>
          <w:tcPr>
            <w:tcW w:w="180" w:type="pct"/>
            <w:tcBorders>
              <w:top w:val="nil"/>
              <w:left w:val="nil"/>
              <w:bottom w:val="nil"/>
              <w:right w:val="single" w:sz="4" w:space="0" w:color="auto"/>
            </w:tcBorders>
            <w:shd w:val="clear" w:color="8DB3E2" w:fill="8DB3E2"/>
            <w:textDirection w:val="btLr"/>
            <w:vAlign w:val="center"/>
            <w:hideMark/>
          </w:tcPr>
          <w:p w:rsidR="00862EF2" w:rsidRPr="00862EF2" w:rsidRDefault="00862EF2" w:rsidP="00862EF2">
            <w:pPr>
              <w:spacing w:after="0" w:line="240" w:lineRule="auto"/>
              <w:jc w:val="center"/>
              <w:rPr>
                <w:rFonts w:eastAsia="Times New Roman"/>
                <w:b/>
                <w:bCs/>
                <w:sz w:val="18"/>
                <w:szCs w:val="18"/>
              </w:rPr>
            </w:pPr>
            <w:r w:rsidRPr="00862EF2">
              <w:rPr>
                <w:rFonts w:eastAsia="Times New Roman"/>
                <w:b/>
                <w:bCs/>
                <w:sz w:val="18"/>
                <w:szCs w:val="18"/>
              </w:rPr>
              <w:t>Viabilidad social</w:t>
            </w:r>
          </w:p>
        </w:tc>
        <w:tc>
          <w:tcPr>
            <w:tcW w:w="180" w:type="pct"/>
            <w:tcBorders>
              <w:top w:val="nil"/>
              <w:left w:val="nil"/>
              <w:bottom w:val="nil"/>
              <w:right w:val="single" w:sz="4" w:space="0" w:color="auto"/>
            </w:tcBorders>
            <w:shd w:val="clear" w:color="8DB3E2" w:fill="8DB3E2"/>
            <w:textDirection w:val="btLr"/>
            <w:vAlign w:val="center"/>
            <w:hideMark/>
          </w:tcPr>
          <w:p w:rsidR="00862EF2" w:rsidRPr="00862EF2" w:rsidRDefault="00862EF2" w:rsidP="00862EF2">
            <w:pPr>
              <w:spacing w:after="0" w:line="240" w:lineRule="auto"/>
              <w:jc w:val="center"/>
              <w:rPr>
                <w:rFonts w:eastAsia="Times New Roman"/>
                <w:b/>
                <w:bCs/>
                <w:sz w:val="18"/>
                <w:szCs w:val="18"/>
              </w:rPr>
            </w:pPr>
            <w:r w:rsidRPr="00862EF2">
              <w:rPr>
                <w:rFonts w:eastAsia="Times New Roman"/>
                <w:b/>
                <w:bCs/>
                <w:sz w:val="18"/>
                <w:szCs w:val="18"/>
              </w:rPr>
              <w:t>Viabilidad administrativa</w:t>
            </w:r>
          </w:p>
        </w:tc>
        <w:tc>
          <w:tcPr>
            <w:tcW w:w="202" w:type="pct"/>
            <w:tcBorders>
              <w:top w:val="nil"/>
              <w:left w:val="nil"/>
              <w:bottom w:val="nil"/>
              <w:right w:val="single" w:sz="4" w:space="0" w:color="auto"/>
            </w:tcBorders>
            <w:shd w:val="clear" w:color="8DB3E2" w:fill="8DB3E2"/>
            <w:textDirection w:val="btLr"/>
            <w:vAlign w:val="center"/>
            <w:hideMark/>
          </w:tcPr>
          <w:p w:rsidR="00862EF2" w:rsidRPr="00862EF2" w:rsidRDefault="00862EF2" w:rsidP="00862EF2">
            <w:pPr>
              <w:spacing w:after="0" w:line="240" w:lineRule="auto"/>
              <w:jc w:val="center"/>
              <w:rPr>
                <w:rFonts w:eastAsia="Times New Roman"/>
                <w:b/>
                <w:bCs/>
                <w:sz w:val="18"/>
                <w:szCs w:val="18"/>
              </w:rPr>
            </w:pPr>
            <w:r w:rsidRPr="00862EF2">
              <w:rPr>
                <w:rFonts w:eastAsia="Times New Roman"/>
                <w:b/>
                <w:bCs/>
                <w:sz w:val="18"/>
                <w:szCs w:val="18"/>
              </w:rPr>
              <w:t>Efectividad</w:t>
            </w:r>
          </w:p>
        </w:tc>
        <w:tc>
          <w:tcPr>
            <w:tcW w:w="354" w:type="pct"/>
            <w:vMerge/>
            <w:tcBorders>
              <w:top w:val="single" w:sz="4" w:space="0" w:color="auto"/>
              <w:left w:val="single" w:sz="4" w:space="0" w:color="auto"/>
              <w:bottom w:val="single" w:sz="4" w:space="0" w:color="auto"/>
              <w:right w:val="single" w:sz="4" w:space="0" w:color="auto"/>
            </w:tcBorders>
            <w:vAlign w:val="center"/>
            <w:hideMark/>
          </w:tcPr>
          <w:p w:rsidR="00862EF2" w:rsidRPr="00862EF2" w:rsidRDefault="00862EF2" w:rsidP="00862EF2">
            <w:pPr>
              <w:spacing w:after="0" w:line="240" w:lineRule="auto"/>
              <w:rPr>
                <w:rFonts w:eastAsia="Times New Roman"/>
                <w:b/>
                <w:bCs/>
                <w:sz w:val="20"/>
                <w:szCs w:val="20"/>
                <w:u w:val="single"/>
              </w:rPr>
            </w:pPr>
          </w:p>
        </w:tc>
        <w:tc>
          <w:tcPr>
            <w:tcW w:w="354" w:type="pct"/>
            <w:vMerge/>
            <w:tcBorders>
              <w:top w:val="single" w:sz="4" w:space="0" w:color="auto"/>
              <w:left w:val="single" w:sz="4" w:space="0" w:color="auto"/>
              <w:bottom w:val="single" w:sz="4" w:space="0" w:color="auto"/>
              <w:right w:val="single" w:sz="4" w:space="0" w:color="auto"/>
            </w:tcBorders>
            <w:vAlign w:val="center"/>
            <w:hideMark/>
          </w:tcPr>
          <w:p w:rsidR="00862EF2" w:rsidRPr="00862EF2" w:rsidRDefault="00862EF2" w:rsidP="00862EF2">
            <w:pPr>
              <w:spacing w:after="0" w:line="240" w:lineRule="auto"/>
              <w:rPr>
                <w:rFonts w:eastAsia="Times New Roman"/>
                <w:b/>
                <w:bCs/>
                <w:sz w:val="20"/>
                <w:szCs w:val="20"/>
                <w:u w:val="single"/>
              </w:rPr>
            </w:pPr>
          </w:p>
        </w:tc>
      </w:tr>
      <w:tr w:rsidR="006B0C74" w:rsidRPr="00862EF2" w:rsidTr="006B0C74">
        <w:trPr>
          <w:trHeight w:val="2360"/>
        </w:trPr>
        <w:tc>
          <w:tcPr>
            <w:tcW w:w="855"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rPr>
                <w:rFonts w:eastAsia="Times New Roman"/>
              </w:rPr>
            </w:pPr>
            <w:r w:rsidRPr="00862EF2">
              <w:rPr>
                <w:rFonts w:eastAsia="Times New Roman"/>
              </w:rPr>
              <w:lastRenderedPageBreak/>
              <w:t>Generar un marco normativo para regular los proveedores de servicios de activos virtuales.</w:t>
            </w:r>
          </w:p>
        </w:tc>
        <w:tc>
          <w:tcPr>
            <w:tcW w:w="2683" w:type="pct"/>
            <w:tcBorders>
              <w:top w:val="nil"/>
              <w:left w:val="nil"/>
              <w:bottom w:val="single" w:sz="4" w:space="0" w:color="auto"/>
              <w:right w:val="single" w:sz="4" w:space="0" w:color="auto"/>
            </w:tcBorders>
            <w:shd w:val="clear" w:color="auto" w:fill="EAF1DD" w:themeFill="accent3" w:themeFillTint="33"/>
            <w:vAlign w:val="center"/>
            <w:hideMark/>
          </w:tcPr>
          <w:p w:rsidR="002C49EA" w:rsidRPr="002C49EA" w:rsidRDefault="002C49EA" w:rsidP="00862EF2">
            <w:pPr>
              <w:spacing w:after="0" w:line="240" w:lineRule="auto"/>
              <w:rPr>
                <w:rFonts w:eastAsia="Times New Roman"/>
                <w:b/>
                <w:i/>
              </w:rPr>
            </w:pPr>
            <w:r w:rsidRPr="002C49EA">
              <w:rPr>
                <w:rFonts w:eastAsia="Times New Roman"/>
                <w:b/>
                <w:i/>
              </w:rPr>
              <w:t>Descripción</w:t>
            </w:r>
          </w:p>
          <w:p w:rsidR="00862EF2" w:rsidRDefault="00862EF2" w:rsidP="00862EF2">
            <w:pPr>
              <w:spacing w:after="0" w:line="240" w:lineRule="auto"/>
              <w:rPr>
                <w:rFonts w:eastAsia="Times New Roman"/>
              </w:rPr>
            </w:pPr>
            <w:r w:rsidRPr="00862EF2">
              <w:rPr>
                <w:rFonts w:eastAsia="Times New Roman"/>
              </w:rPr>
              <w:t>Esta alternativa, conforme a la modificación de la Recomendación 15 del GAFI (octubre, 2018) y su Nota Interpretativa (junio 2019), tiene como objetivo generar los instrumentos jurídicos necesarios para regular a los proveedores de servicios de activos virtuales. La regulación no sólo debe apuntar a incluirlos como sujetos obligados, sino también a especificar los temas relacionados a supervisión, así como lineamientos para investigaciones que involucren el uso de AV, disponer su incautación y decomiso</w:t>
            </w:r>
          </w:p>
          <w:p w:rsidR="002C49EA" w:rsidRDefault="002C49EA" w:rsidP="00862EF2">
            <w:pPr>
              <w:spacing w:after="0" w:line="240" w:lineRule="auto"/>
              <w:rPr>
                <w:rFonts w:eastAsia="Times New Roman"/>
              </w:rPr>
            </w:pPr>
          </w:p>
          <w:p w:rsidR="002C49EA" w:rsidRPr="002C49EA" w:rsidRDefault="002C49EA" w:rsidP="00862EF2">
            <w:pPr>
              <w:spacing w:after="0" w:line="240" w:lineRule="auto"/>
              <w:rPr>
                <w:rFonts w:eastAsia="Times New Roman"/>
                <w:b/>
                <w:i/>
              </w:rPr>
            </w:pPr>
            <w:r w:rsidRPr="002C49EA">
              <w:rPr>
                <w:rFonts w:eastAsia="Times New Roman"/>
                <w:b/>
                <w:i/>
              </w:rPr>
              <w:t>Sustento</w:t>
            </w:r>
          </w:p>
          <w:p w:rsidR="002C49EA" w:rsidRDefault="002C49EA" w:rsidP="00862EF2">
            <w:pPr>
              <w:spacing w:after="0" w:line="240" w:lineRule="auto"/>
              <w:rPr>
                <w:rFonts w:asciiTheme="majorHAnsi" w:hAnsiTheme="majorHAnsi" w:cstheme="majorHAnsi"/>
              </w:rPr>
            </w:pPr>
            <w:r>
              <w:rPr>
                <w:rFonts w:asciiTheme="majorHAnsi" w:hAnsiTheme="majorHAnsi" w:cstheme="majorHAnsi"/>
              </w:rPr>
              <w:t>Mediante</w:t>
            </w:r>
            <w:r w:rsidRPr="006B3CBE">
              <w:rPr>
                <w:rFonts w:asciiTheme="majorHAnsi" w:hAnsiTheme="majorHAnsi" w:cstheme="majorHAnsi"/>
              </w:rPr>
              <w:t xml:space="preserve"> la </w:t>
            </w:r>
            <w:r w:rsidRPr="006B3CBE">
              <w:rPr>
                <w:rFonts w:asciiTheme="majorHAnsi" w:hAnsiTheme="majorHAnsi" w:cstheme="majorHAnsi"/>
                <w:i/>
              </w:rPr>
              <w:t xml:space="preserve">Guía actualizada para un enfoque basado en el riesgo a los activos virtuales y proveedores de servicios de activos </w:t>
            </w:r>
            <w:r w:rsidRPr="006B3CBE">
              <w:rPr>
                <w:rFonts w:asciiTheme="majorHAnsi" w:hAnsiTheme="majorHAnsi" w:cstheme="majorHAnsi"/>
              </w:rPr>
              <w:t>(2021), el GAFI busca ayudar a las autoridades nacionales a entender y desarrollar respuestas regulatorias a las actividades de AV y PSAV cubiertos, incluyendo la modificación de las leyes nacionales, cuando sea aplicable, en sus respectivas jurisdicciones con el fin de abordar los riesgos de LA/FT asociados a estas actividades. En la misma guía se precisan, como referencia las medidas tomadas por otros países en la aplicación del enfoque basado en el riesgo aplicado a los AV y PSAV</w:t>
            </w:r>
            <w:r w:rsidR="00671DEA">
              <w:rPr>
                <w:rFonts w:asciiTheme="majorHAnsi" w:hAnsiTheme="majorHAnsi" w:cstheme="majorHAnsi"/>
              </w:rPr>
              <w:t xml:space="preserve">, tales como: Italia, Finlandia, México, Colombia. </w:t>
            </w:r>
          </w:p>
          <w:p w:rsidR="00671DEA" w:rsidRDefault="00671DEA" w:rsidP="00862EF2">
            <w:pPr>
              <w:spacing w:after="0" w:line="240" w:lineRule="auto"/>
              <w:rPr>
                <w:rFonts w:asciiTheme="majorHAnsi" w:hAnsiTheme="majorHAnsi" w:cstheme="majorHAnsi"/>
              </w:rPr>
            </w:pPr>
          </w:p>
          <w:p w:rsidR="00671DEA" w:rsidRPr="006B3CBE" w:rsidRDefault="00671DEA" w:rsidP="00671DEA">
            <w:pPr>
              <w:spacing w:before="120" w:after="120" w:line="240" w:lineRule="auto"/>
              <w:jc w:val="both"/>
              <w:rPr>
                <w:rFonts w:asciiTheme="majorHAnsi" w:hAnsiTheme="majorHAnsi" w:cstheme="majorHAnsi"/>
              </w:rPr>
            </w:pPr>
            <w:r w:rsidRPr="006B3CBE">
              <w:rPr>
                <w:rFonts w:asciiTheme="majorHAnsi" w:hAnsiTheme="majorHAnsi" w:cstheme="majorHAnsi"/>
              </w:rPr>
              <w:t>En esa línea, existen experiencias de la aplicación de esta recomendación en otros países, fuera y dentro de la región. De acuerdo a lo señalado en el Informe realizado por la Secretaría Ejecutiva del GAFILAT en el Pleno Virtual del GAFI en junio del 2021, se mencionó que 58 de las 128 jurisdicciones informantes comunicaron que han implementado los estándares del GAFI, 52 han regulado a los PSAV y 6 los prohibieron (se resaltó que en el Perú aún no se aplicado la recomendación del GAFI).</w:t>
            </w:r>
          </w:p>
          <w:p w:rsidR="00671DEA" w:rsidRPr="006B3CBE" w:rsidRDefault="00671DEA" w:rsidP="00671DEA">
            <w:pPr>
              <w:spacing w:before="120" w:after="120" w:line="240" w:lineRule="auto"/>
              <w:jc w:val="both"/>
              <w:rPr>
                <w:rFonts w:asciiTheme="majorHAnsi" w:hAnsiTheme="majorHAnsi" w:cstheme="majorHAnsi"/>
              </w:rPr>
            </w:pPr>
            <w:r w:rsidRPr="006B3CBE">
              <w:rPr>
                <w:rFonts w:asciiTheme="majorHAnsi" w:hAnsiTheme="majorHAnsi" w:cstheme="majorHAnsi"/>
              </w:rPr>
              <w:t xml:space="preserve">Asimismo, en un reciente informe del GAFI (junio 2022), se identificó que 29 jurisdicciones han reportado que han aprobado la legislación sobre la regla de viaje </w:t>
            </w:r>
            <w:r w:rsidRPr="006B3CBE">
              <w:rPr>
                <w:rFonts w:asciiTheme="majorHAnsi" w:hAnsiTheme="majorHAnsi" w:cstheme="majorHAnsi"/>
              </w:rPr>
              <w:lastRenderedPageBreak/>
              <w:t>(Travel Rule</w:t>
            </w:r>
            <w:r>
              <w:rPr>
                <w:rStyle w:val="Refdenotaalpie"/>
                <w:rFonts w:asciiTheme="majorHAnsi" w:hAnsiTheme="majorHAnsi" w:cstheme="majorHAnsi"/>
              </w:rPr>
              <w:footnoteReference w:id="14"/>
            </w:r>
            <w:r w:rsidRPr="006B3CBE">
              <w:rPr>
                <w:rFonts w:asciiTheme="majorHAnsi" w:hAnsiTheme="majorHAnsi" w:cstheme="majorHAnsi"/>
              </w:rPr>
              <w:t>). Esto permite que las instituciones financieras y los VASP realicen controles de sanciones y detecten transacciones sospechosas.</w:t>
            </w:r>
          </w:p>
          <w:p w:rsidR="00671DEA" w:rsidRPr="006B3CBE" w:rsidRDefault="00671DEA" w:rsidP="00671DEA">
            <w:pPr>
              <w:spacing w:before="120" w:after="120" w:line="240" w:lineRule="auto"/>
              <w:jc w:val="both"/>
              <w:rPr>
                <w:rFonts w:asciiTheme="majorHAnsi" w:hAnsiTheme="majorHAnsi" w:cstheme="majorHAnsi"/>
              </w:rPr>
            </w:pPr>
            <w:r w:rsidRPr="006B3CBE">
              <w:rPr>
                <w:rFonts w:asciiTheme="majorHAnsi" w:hAnsiTheme="majorHAnsi" w:cstheme="majorHAnsi"/>
              </w:rPr>
              <w:t>En el caso peruano, a finales del 2021, la UIF presentó ante el MINJUS, el informe técnico y la propuesta de Decreto Supremo para designar a los PSAV como SO. Ello en atención a lo dispuesto en el numeral 3.3 del artículo 3 de la Ley N° 29038, según la cual, mediante Decreto Supremo, a propuesta de la SBS y refrendado por el MINJUS y el MEF, se puede ampliar la lista de SO a informar a la UIF.</w:t>
            </w:r>
          </w:p>
          <w:p w:rsidR="00671DEA" w:rsidRPr="006B3CBE" w:rsidRDefault="00671DEA" w:rsidP="00671DEA">
            <w:pPr>
              <w:spacing w:before="120" w:after="120" w:line="240" w:lineRule="auto"/>
              <w:jc w:val="both"/>
              <w:rPr>
                <w:rFonts w:asciiTheme="majorHAnsi" w:hAnsiTheme="majorHAnsi" w:cstheme="majorHAnsi"/>
              </w:rPr>
            </w:pPr>
            <w:r w:rsidRPr="006B3CBE">
              <w:rPr>
                <w:rFonts w:asciiTheme="majorHAnsi" w:eastAsia="Roboto" w:hAnsiTheme="majorHAnsi" w:cstheme="majorHAnsi"/>
              </w:rPr>
              <w:t xml:space="preserve">Finalmente, con relación a los </w:t>
            </w:r>
            <w:r w:rsidRPr="006B3CBE">
              <w:rPr>
                <w:rFonts w:asciiTheme="majorHAnsi" w:hAnsiTheme="majorHAnsi" w:cstheme="majorHAnsi"/>
              </w:rPr>
              <w:t xml:space="preserve">lineamientos para el manejo de AV en procesos de investigación e incautación, la Guía sobre Aspectos Relevantes y Pasos Apropiados para la Investigación, Identificación, Incautación y Decomiso de Activos Virtuales del GAFILAT (2021), se recomienda que las agencias que puedan tener que ejecutar esta clase de medidas establezcan de antemano políticas o protocolos internos que regulen la incautación de AV y su tratamiento posterior. </w:t>
            </w:r>
          </w:p>
          <w:p w:rsidR="00671DEA" w:rsidRDefault="00671DEA" w:rsidP="00671DEA">
            <w:pPr>
              <w:spacing w:after="0" w:line="240" w:lineRule="auto"/>
              <w:jc w:val="both"/>
              <w:rPr>
                <w:rFonts w:asciiTheme="majorHAnsi" w:hAnsiTheme="majorHAnsi" w:cstheme="majorHAnsi"/>
              </w:rPr>
            </w:pPr>
            <w:r w:rsidRPr="006B3CBE">
              <w:rPr>
                <w:rFonts w:asciiTheme="majorHAnsi" w:hAnsiTheme="majorHAnsi" w:cstheme="majorHAnsi"/>
              </w:rPr>
              <w:t>En tal sentido, la Guía precisa que debería preverse, como mínimo:</w:t>
            </w:r>
          </w:p>
          <w:p w:rsidR="00671DEA" w:rsidRPr="006B3CBE" w:rsidRDefault="00671DEA" w:rsidP="00671DEA">
            <w:pPr>
              <w:spacing w:after="0" w:line="240" w:lineRule="auto"/>
              <w:jc w:val="both"/>
              <w:rPr>
                <w:rFonts w:asciiTheme="majorHAnsi" w:hAnsiTheme="majorHAnsi" w:cstheme="majorHAnsi"/>
              </w:rPr>
            </w:pPr>
          </w:p>
          <w:p w:rsidR="00671DEA" w:rsidRPr="006B3CBE" w:rsidRDefault="00671DEA" w:rsidP="00671DEA">
            <w:pPr>
              <w:numPr>
                <w:ilvl w:val="0"/>
                <w:numId w:val="7"/>
              </w:numPr>
              <w:spacing w:after="0" w:line="240" w:lineRule="auto"/>
              <w:jc w:val="both"/>
              <w:rPr>
                <w:rFonts w:asciiTheme="majorHAnsi" w:hAnsiTheme="majorHAnsi" w:cstheme="majorHAnsi"/>
              </w:rPr>
            </w:pPr>
            <w:r w:rsidRPr="006B3CBE">
              <w:rPr>
                <w:rFonts w:asciiTheme="majorHAnsi" w:hAnsiTheme="majorHAnsi" w:cstheme="majorHAnsi"/>
              </w:rPr>
              <w:t>La identificación de los/las funcionarios/as autorizados/as a llevar a cabo incautaciones o transacciones con AV.</w:t>
            </w:r>
          </w:p>
          <w:p w:rsidR="00671DEA" w:rsidRPr="006B3CBE" w:rsidRDefault="00671DEA" w:rsidP="00671DEA">
            <w:pPr>
              <w:numPr>
                <w:ilvl w:val="0"/>
                <w:numId w:val="7"/>
              </w:numPr>
              <w:spacing w:after="0" w:line="240" w:lineRule="auto"/>
              <w:jc w:val="both"/>
              <w:rPr>
                <w:rFonts w:asciiTheme="majorHAnsi" w:hAnsiTheme="majorHAnsi" w:cstheme="majorHAnsi"/>
              </w:rPr>
            </w:pPr>
            <w:r w:rsidRPr="006B3CBE">
              <w:rPr>
                <w:rFonts w:asciiTheme="majorHAnsi" w:hAnsiTheme="majorHAnsi" w:cstheme="majorHAnsi"/>
              </w:rPr>
              <w:t>El detalle de las notificaciones internas y externas que es preciso efectuar cuando un caso involucra AV.</w:t>
            </w:r>
          </w:p>
          <w:p w:rsidR="00671DEA" w:rsidRPr="006B3CBE" w:rsidRDefault="00671DEA" w:rsidP="00671DEA">
            <w:pPr>
              <w:numPr>
                <w:ilvl w:val="0"/>
                <w:numId w:val="7"/>
              </w:numPr>
              <w:spacing w:after="0" w:line="240" w:lineRule="auto"/>
              <w:jc w:val="both"/>
              <w:rPr>
                <w:rFonts w:asciiTheme="majorHAnsi" w:hAnsiTheme="majorHAnsi" w:cstheme="majorHAnsi"/>
              </w:rPr>
            </w:pPr>
            <w:r w:rsidRPr="006B3CBE">
              <w:rPr>
                <w:rFonts w:asciiTheme="majorHAnsi" w:hAnsiTheme="majorHAnsi" w:cstheme="majorHAnsi"/>
              </w:rPr>
              <w:t>Los procedimientos estándar para recolectar y preservar evidencia electrónica.</w:t>
            </w:r>
          </w:p>
          <w:p w:rsidR="00671DEA" w:rsidRPr="006B3CBE" w:rsidRDefault="00671DEA" w:rsidP="00671DEA">
            <w:pPr>
              <w:numPr>
                <w:ilvl w:val="0"/>
                <w:numId w:val="7"/>
              </w:numPr>
              <w:spacing w:after="0" w:line="240" w:lineRule="auto"/>
              <w:jc w:val="both"/>
              <w:rPr>
                <w:rFonts w:asciiTheme="majorHAnsi" w:hAnsiTheme="majorHAnsi" w:cstheme="majorHAnsi"/>
              </w:rPr>
            </w:pPr>
            <w:r w:rsidRPr="006B3CBE">
              <w:rPr>
                <w:rFonts w:asciiTheme="majorHAnsi" w:hAnsiTheme="majorHAnsi" w:cstheme="majorHAnsi"/>
              </w:rPr>
              <w:t>Los protocolos de cadena de custodia que deben regir para todos los dispositivos que puedan contener evidencia electrónica.</w:t>
            </w:r>
          </w:p>
          <w:p w:rsidR="00671DEA" w:rsidRPr="00862EF2" w:rsidRDefault="00671DEA" w:rsidP="00862EF2">
            <w:pPr>
              <w:spacing w:after="0" w:line="240" w:lineRule="auto"/>
              <w:rPr>
                <w:rFonts w:eastAsia="Times New Roman"/>
              </w:rPr>
            </w:pPr>
          </w:p>
        </w:tc>
        <w:tc>
          <w:tcPr>
            <w:tcW w:w="191"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lastRenderedPageBreak/>
              <w:t>3</w:t>
            </w:r>
          </w:p>
        </w:tc>
        <w:tc>
          <w:tcPr>
            <w:tcW w:w="180"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t>2</w:t>
            </w:r>
          </w:p>
        </w:tc>
        <w:tc>
          <w:tcPr>
            <w:tcW w:w="180"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t>3</w:t>
            </w:r>
          </w:p>
        </w:tc>
        <w:tc>
          <w:tcPr>
            <w:tcW w:w="202"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t>5</w:t>
            </w:r>
          </w:p>
        </w:tc>
        <w:tc>
          <w:tcPr>
            <w:tcW w:w="354"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t>13</w:t>
            </w:r>
          </w:p>
        </w:tc>
        <w:tc>
          <w:tcPr>
            <w:tcW w:w="354"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b/>
                <w:bCs/>
              </w:rPr>
            </w:pPr>
            <w:r w:rsidRPr="00862EF2">
              <w:rPr>
                <w:rFonts w:eastAsia="Times New Roman"/>
                <w:b/>
                <w:bCs/>
              </w:rPr>
              <w:t>X</w:t>
            </w:r>
          </w:p>
        </w:tc>
      </w:tr>
      <w:tr w:rsidR="006B0C74" w:rsidRPr="00862EF2" w:rsidTr="006B0C74">
        <w:trPr>
          <w:trHeight w:val="870"/>
        </w:trPr>
        <w:tc>
          <w:tcPr>
            <w:tcW w:w="855"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rPr>
                <w:rFonts w:eastAsia="Times New Roman"/>
              </w:rPr>
            </w:pPr>
            <w:r w:rsidRPr="00862EF2">
              <w:rPr>
                <w:rFonts w:eastAsia="Times New Roman"/>
              </w:rPr>
              <w:lastRenderedPageBreak/>
              <w:t xml:space="preserve">Potenciar y/o diseñar supervisión con un EBR (sectores de valores, </w:t>
            </w:r>
            <w:r w:rsidRPr="00862EF2">
              <w:rPr>
                <w:rFonts w:eastAsia="Times New Roman"/>
              </w:rPr>
              <w:lastRenderedPageBreak/>
              <w:t>casinos y tragamonedas, abogados, contadores y remesas postales).</w:t>
            </w:r>
          </w:p>
        </w:tc>
        <w:tc>
          <w:tcPr>
            <w:tcW w:w="2683" w:type="pct"/>
            <w:tcBorders>
              <w:top w:val="nil"/>
              <w:left w:val="nil"/>
              <w:bottom w:val="single" w:sz="4" w:space="0" w:color="auto"/>
              <w:right w:val="single" w:sz="4" w:space="0" w:color="auto"/>
            </w:tcBorders>
            <w:shd w:val="clear" w:color="auto" w:fill="EAF1DD" w:themeFill="accent3" w:themeFillTint="33"/>
            <w:vAlign w:val="center"/>
            <w:hideMark/>
          </w:tcPr>
          <w:p w:rsidR="00BD0EB7" w:rsidRPr="002C49EA" w:rsidRDefault="00BD0EB7" w:rsidP="00BD0EB7">
            <w:pPr>
              <w:spacing w:after="0" w:line="240" w:lineRule="auto"/>
              <w:rPr>
                <w:rFonts w:eastAsia="Times New Roman"/>
                <w:b/>
                <w:i/>
              </w:rPr>
            </w:pPr>
            <w:r w:rsidRPr="002C49EA">
              <w:rPr>
                <w:rFonts w:eastAsia="Times New Roman"/>
                <w:b/>
                <w:i/>
              </w:rPr>
              <w:lastRenderedPageBreak/>
              <w:t>Descripción</w:t>
            </w:r>
          </w:p>
          <w:p w:rsidR="00BD0EB7" w:rsidRDefault="00BD0EB7" w:rsidP="00BD0EB7">
            <w:pPr>
              <w:jc w:val="both"/>
              <w:rPr>
                <w:rFonts w:asciiTheme="majorHAnsi" w:eastAsia="Roboto" w:hAnsiTheme="majorHAnsi" w:cstheme="majorHAnsi"/>
                <w:color w:val="333333"/>
              </w:rPr>
            </w:pPr>
            <w:r w:rsidRPr="006B3CBE">
              <w:rPr>
                <w:rFonts w:asciiTheme="majorHAnsi" w:eastAsia="Roboto" w:hAnsiTheme="majorHAnsi" w:cstheme="majorHAnsi"/>
                <w:color w:val="333333"/>
              </w:rPr>
              <w:t xml:space="preserve">Esta alternativa propone el diseño y ejecución de acciones que fortalezcan los procesos de supervisión de prevención de LA/FT con un enfoque basado en riesgos. </w:t>
            </w:r>
            <w:r w:rsidRPr="006B3CBE">
              <w:rPr>
                <w:rFonts w:asciiTheme="majorHAnsi" w:eastAsia="Roboto" w:hAnsiTheme="majorHAnsi" w:cstheme="majorHAnsi"/>
                <w:color w:val="333333"/>
              </w:rPr>
              <w:lastRenderedPageBreak/>
              <w:t>Ello implica desarrollar herramientas tales como planes, manuales y guías</w:t>
            </w:r>
            <w:r>
              <w:rPr>
                <w:rFonts w:asciiTheme="majorHAnsi" w:eastAsia="Roboto" w:hAnsiTheme="majorHAnsi" w:cstheme="majorHAnsi"/>
                <w:color w:val="333333"/>
              </w:rPr>
              <w:t xml:space="preserve"> para fortalecer la supervisión</w:t>
            </w:r>
            <w:r w:rsidRPr="006B3CBE">
              <w:rPr>
                <w:rFonts w:asciiTheme="majorHAnsi" w:eastAsia="Roboto" w:hAnsiTheme="majorHAnsi" w:cstheme="majorHAnsi"/>
                <w:color w:val="333333"/>
              </w:rPr>
              <w:t xml:space="preserve"> en aquellos sectores especificados</w:t>
            </w:r>
            <w:r w:rsidRPr="00761457">
              <w:rPr>
                <w:rFonts w:asciiTheme="majorHAnsi" w:eastAsia="Roboto" w:hAnsiTheme="majorHAnsi" w:cstheme="majorHAnsi"/>
                <w:color w:val="333333"/>
              </w:rPr>
              <w:t>.</w:t>
            </w:r>
          </w:p>
          <w:p w:rsidR="00BD0EB7" w:rsidRPr="00BD0EB7" w:rsidRDefault="00BD0EB7" w:rsidP="00BD0EB7">
            <w:pPr>
              <w:jc w:val="both"/>
              <w:rPr>
                <w:rFonts w:asciiTheme="majorHAnsi" w:eastAsia="Roboto" w:hAnsiTheme="majorHAnsi" w:cstheme="majorHAnsi"/>
                <w:b/>
                <w:i/>
                <w:color w:val="333333"/>
              </w:rPr>
            </w:pPr>
            <w:r w:rsidRPr="00BD0EB7">
              <w:rPr>
                <w:rFonts w:asciiTheme="majorHAnsi" w:eastAsia="Roboto" w:hAnsiTheme="majorHAnsi" w:cstheme="majorHAnsi"/>
                <w:b/>
                <w:i/>
                <w:color w:val="333333"/>
              </w:rPr>
              <w:t>Sustento</w:t>
            </w:r>
          </w:p>
          <w:p w:rsidR="00BD0EB7" w:rsidRPr="006B3CBE" w:rsidRDefault="00BD0EB7" w:rsidP="00BD0EB7">
            <w:pPr>
              <w:jc w:val="both"/>
              <w:rPr>
                <w:rFonts w:asciiTheme="majorHAnsi" w:eastAsia="Roboto" w:hAnsiTheme="majorHAnsi" w:cstheme="majorHAnsi"/>
                <w:color w:val="333333"/>
              </w:rPr>
            </w:pPr>
            <w:r>
              <w:rPr>
                <w:rFonts w:asciiTheme="majorHAnsi" w:eastAsia="Roboto" w:hAnsiTheme="majorHAnsi" w:cstheme="majorHAnsi"/>
                <w:color w:val="333333"/>
              </w:rPr>
              <w:t>Como antecedente se puede resaltar que, p</w:t>
            </w:r>
            <w:r w:rsidRPr="006B3CBE">
              <w:rPr>
                <w:rFonts w:asciiTheme="majorHAnsi" w:eastAsia="Roboto" w:hAnsiTheme="majorHAnsi" w:cstheme="majorHAnsi"/>
                <w:color w:val="333333"/>
              </w:rPr>
              <w:t>or parte del GAFI</w:t>
            </w:r>
            <w:r>
              <w:rPr>
                <w:rFonts w:asciiTheme="majorHAnsi" w:eastAsia="Roboto" w:hAnsiTheme="majorHAnsi" w:cstheme="majorHAnsi"/>
                <w:color w:val="333333"/>
              </w:rPr>
              <w:t>,</w:t>
            </w:r>
            <w:r w:rsidRPr="006B3CBE">
              <w:rPr>
                <w:rFonts w:asciiTheme="majorHAnsi" w:eastAsia="Roboto" w:hAnsiTheme="majorHAnsi" w:cstheme="majorHAnsi"/>
                <w:color w:val="333333"/>
              </w:rPr>
              <w:t xml:space="preserve"> se han impulsado este tipo de herramientas para fortalecer las capacidades de los supervisores y su</w:t>
            </w:r>
            <w:r>
              <w:rPr>
                <w:rFonts w:asciiTheme="majorHAnsi" w:eastAsia="Roboto" w:hAnsiTheme="majorHAnsi" w:cstheme="majorHAnsi"/>
                <w:color w:val="333333"/>
              </w:rPr>
              <w:t>jetos obligados a nivel mundial,</w:t>
            </w:r>
            <w:r w:rsidRPr="006B3CBE">
              <w:rPr>
                <w:rFonts w:asciiTheme="majorHAnsi" w:eastAsia="Roboto" w:hAnsiTheme="majorHAnsi" w:cstheme="majorHAnsi"/>
                <w:color w:val="333333"/>
              </w:rPr>
              <w:t xml:space="preserve"> como es el caso del documento: “</w:t>
            </w:r>
            <w:r w:rsidRPr="00BD0EB7">
              <w:rPr>
                <w:rFonts w:asciiTheme="majorHAnsi" w:eastAsia="Roboto" w:hAnsiTheme="majorHAnsi" w:cstheme="majorHAnsi"/>
                <w:color w:val="333333"/>
              </w:rPr>
              <w:t xml:space="preserve">Orientación del GAFI sobre la supervisión basada en el riesgo”, de marzo de 2021. </w:t>
            </w:r>
            <w:r>
              <w:rPr>
                <w:rFonts w:asciiTheme="majorHAnsi" w:eastAsia="Roboto" w:hAnsiTheme="majorHAnsi" w:cstheme="majorHAnsi"/>
                <w:color w:val="333333"/>
              </w:rPr>
              <w:t>Asimismo</w:t>
            </w:r>
            <w:r w:rsidRPr="006B3CBE">
              <w:rPr>
                <w:rFonts w:asciiTheme="majorHAnsi" w:eastAsia="Roboto" w:hAnsiTheme="majorHAnsi" w:cstheme="majorHAnsi"/>
                <w:color w:val="333333"/>
              </w:rPr>
              <w:t>, a nivel de Latinoamérica el GAFILAT ha desarrollado también diversos manuales y guías como por ejemplo el documento denominado “Supervisión con enfoque basado en riesgos de las APNFD sin regulación prudencial”, publicado en febrero de 2020.</w:t>
            </w:r>
          </w:p>
          <w:p w:rsidR="00BD0EB7" w:rsidRPr="002E5929" w:rsidRDefault="00BD0EB7" w:rsidP="00BD0EB7">
            <w:pPr>
              <w:jc w:val="both"/>
              <w:rPr>
                <w:rFonts w:asciiTheme="majorHAnsi" w:eastAsia="Roboto" w:hAnsiTheme="majorHAnsi" w:cstheme="majorHAnsi"/>
                <w:color w:val="333333"/>
              </w:rPr>
            </w:pPr>
            <w:r w:rsidRPr="002E5929">
              <w:rPr>
                <w:rFonts w:asciiTheme="majorHAnsi" w:eastAsia="Roboto" w:hAnsiTheme="majorHAnsi" w:cstheme="majorHAnsi"/>
                <w:color w:val="333333"/>
              </w:rPr>
              <w:t xml:space="preserve">Al respecto, </w:t>
            </w:r>
            <w:r>
              <w:rPr>
                <w:rFonts w:asciiTheme="majorHAnsi" w:eastAsia="Roboto" w:hAnsiTheme="majorHAnsi" w:cstheme="majorHAnsi"/>
                <w:color w:val="333333"/>
              </w:rPr>
              <w:t xml:space="preserve">a nivel nacional, </w:t>
            </w:r>
            <w:r w:rsidRPr="002E5929">
              <w:rPr>
                <w:rFonts w:asciiTheme="majorHAnsi" w:eastAsia="Roboto" w:hAnsiTheme="majorHAnsi" w:cstheme="majorHAnsi"/>
                <w:color w:val="333333"/>
              </w:rPr>
              <w:t xml:space="preserve">los antecedentes de esta alternativa se encuentran en las acciones 1.3.1 </w:t>
            </w:r>
            <w:r>
              <w:rPr>
                <w:rFonts w:asciiTheme="majorHAnsi" w:eastAsia="Roboto" w:hAnsiTheme="majorHAnsi" w:cstheme="majorHAnsi"/>
                <w:color w:val="333333"/>
              </w:rPr>
              <w:t>(</w:t>
            </w:r>
            <w:r w:rsidRPr="000E5061">
              <w:rPr>
                <w:rFonts w:asciiTheme="majorHAnsi" w:eastAsia="Roboto" w:hAnsiTheme="majorHAnsi" w:cstheme="majorHAnsi"/>
                <w:color w:val="333333"/>
              </w:rPr>
              <w:t>potenciar la planificación de la supervisión anual en materia de LA/FT con un enfoque basado en riesg</w:t>
            </w:r>
            <w:r>
              <w:rPr>
                <w:rFonts w:asciiTheme="majorHAnsi" w:eastAsia="Roboto" w:hAnsiTheme="majorHAnsi" w:cstheme="majorHAnsi"/>
                <w:color w:val="333333"/>
              </w:rPr>
              <w:t xml:space="preserve">os) </w:t>
            </w:r>
            <w:r w:rsidRPr="002E5929">
              <w:rPr>
                <w:rFonts w:asciiTheme="majorHAnsi" w:eastAsia="Roboto" w:hAnsiTheme="majorHAnsi" w:cstheme="majorHAnsi"/>
                <w:color w:val="333333"/>
              </w:rPr>
              <w:t>y 4.3.1</w:t>
            </w:r>
            <w:r>
              <w:rPr>
                <w:rFonts w:asciiTheme="majorHAnsi" w:eastAsia="Roboto" w:hAnsiTheme="majorHAnsi" w:cstheme="majorHAnsi"/>
                <w:color w:val="333333"/>
              </w:rPr>
              <w:t xml:space="preserve"> (</w:t>
            </w:r>
            <w:r w:rsidRPr="000E5061">
              <w:rPr>
                <w:rFonts w:asciiTheme="majorHAnsi" w:eastAsia="Roboto" w:hAnsiTheme="majorHAnsi" w:cstheme="majorHAnsi"/>
                <w:color w:val="333333"/>
              </w:rPr>
              <w:t>promover la cultura de la prevención LA/FT entre los sujetos obligados y ejecución de acciones de concientización y apoyo</w:t>
            </w:r>
            <w:r>
              <w:rPr>
                <w:rFonts w:asciiTheme="majorHAnsi" w:eastAsia="Roboto" w:hAnsiTheme="majorHAnsi" w:cstheme="majorHAnsi"/>
                <w:color w:val="333333"/>
              </w:rPr>
              <w:t>)</w:t>
            </w:r>
            <w:r w:rsidRPr="002E5929">
              <w:rPr>
                <w:rFonts w:asciiTheme="majorHAnsi" w:eastAsia="Roboto" w:hAnsiTheme="majorHAnsi" w:cstheme="majorHAnsi"/>
                <w:color w:val="333333"/>
              </w:rPr>
              <w:t xml:space="preserve"> del Plan Nacional contra el LA/FT 2018-2021</w:t>
            </w:r>
            <w:r>
              <w:rPr>
                <w:rFonts w:asciiTheme="majorHAnsi" w:eastAsia="Roboto" w:hAnsiTheme="majorHAnsi" w:cstheme="majorHAnsi"/>
                <w:color w:val="333333"/>
              </w:rPr>
              <w:t xml:space="preserve">. </w:t>
            </w:r>
            <w:r w:rsidRPr="002E5929">
              <w:rPr>
                <w:rFonts w:asciiTheme="majorHAnsi" w:eastAsia="Roboto" w:hAnsiTheme="majorHAnsi" w:cstheme="majorHAnsi"/>
                <w:color w:val="333333"/>
              </w:rPr>
              <w:t xml:space="preserve"> </w:t>
            </w:r>
            <w:r>
              <w:rPr>
                <w:rFonts w:asciiTheme="majorHAnsi" w:eastAsia="Roboto" w:hAnsiTheme="majorHAnsi" w:cstheme="majorHAnsi"/>
                <w:color w:val="333333"/>
              </w:rPr>
              <w:t xml:space="preserve">Respecto a esta última, por ejemplo, se emitió </w:t>
            </w:r>
            <w:r w:rsidRPr="000E5061">
              <w:rPr>
                <w:rFonts w:asciiTheme="majorHAnsi" w:eastAsia="Roboto" w:hAnsiTheme="majorHAnsi" w:cstheme="majorHAnsi"/>
                <w:color w:val="333333"/>
              </w:rPr>
              <w:t>la “Guía para la implementación de la supervisión basada en riesgos, para los sectores supervisados por la UIF-Perú”.</w:t>
            </w:r>
          </w:p>
          <w:p w:rsidR="00862EF2" w:rsidRPr="00862EF2" w:rsidRDefault="00862EF2" w:rsidP="00862EF2">
            <w:pPr>
              <w:spacing w:after="0" w:line="240" w:lineRule="auto"/>
              <w:rPr>
                <w:rFonts w:eastAsia="Times New Roman"/>
              </w:rPr>
            </w:pPr>
          </w:p>
        </w:tc>
        <w:tc>
          <w:tcPr>
            <w:tcW w:w="191"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lastRenderedPageBreak/>
              <w:t>4</w:t>
            </w:r>
          </w:p>
        </w:tc>
        <w:tc>
          <w:tcPr>
            <w:tcW w:w="180"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t>4</w:t>
            </w:r>
          </w:p>
        </w:tc>
        <w:tc>
          <w:tcPr>
            <w:tcW w:w="180"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t>3</w:t>
            </w:r>
          </w:p>
        </w:tc>
        <w:tc>
          <w:tcPr>
            <w:tcW w:w="202"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t>5</w:t>
            </w:r>
          </w:p>
        </w:tc>
        <w:tc>
          <w:tcPr>
            <w:tcW w:w="354"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t>16</w:t>
            </w:r>
          </w:p>
        </w:tc>
        <w:tc>
          <w:tcPr>
            <w:tcW w:w="354"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b/>
                <w:bCs/>
              </w:rPr>
            </w:pPr>
            <w:r w:rsidRPr="00862EF2">
              <w:rPr>
                <w:rFonts w:eastAsia="Times New Roman"/>
                <w:b/>
                <w:bCs/>
              </w:rPr>
              <w:t>X</w:t>
            </w:r>
          </w:p>
        </w:tc>
      </w:tr>
      <w:tr w:rsidR="006B0C74" w:rsidRPr="00862EF2" w:rsidTr="006B0C74">
        <w:trPr>
          <w:trHeight w:val="870"/>
        </w:trPr>
        <w:tc>
          <w:tcPr>
            <w:tcW w:w="855"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rPr>
                <w:rFonts w:eastAsia="Times New Roman"/>
              </w:rPr>
            </w:pPr>
            <w:r w:rsidRPr="00862EF2">
              <w:rPr>
                <w:rFonts w:eastAsia="Times New Roman"/>
              </w:rPr>
              <w:lastRenderedPageBreak/>
              <w:t>Diseñar e implementar mecanismos que provean la información suficiente a los supervisores sobre los SO</w:t>
            </w:r>
          </w:p>
        </w:tc>
        <w:tc>
          <w:tcPr>
            <w:tcW w:w="2683" w:type="pct"/>
            <w:tcBorders>
              <w:top w:val="nil"/>
              <w:left w:val="nil"/>
              <w:bottom w:val="single" w:sz="4" w:space="0" w:color="auto"/>
              <w:right w:val="single" w:sz="4" w:space="0" w:color="auto"/>
            </w:tcBorders>
            <w:shd w:val="clear" w:color="auto" w:fill="EAF1DD" w:themeFill="accent3" w:themeFillTint="33"/>
            <w:vAlign w:val="center"/>
            <w:hideMark/>
          </w:tcPr>
          <w:p w:rsidR="0082155D" w:rsidRPr="0082155D" w:rsidRDefault="0082155D" w:rsidP="00BD0EB7">
            <w:pPr>
              <w:pBdr>
                <w:top w:val="nil"/>
                <w:left w:val="nil"/>
                <w:bottom w:val="nil"/>
                <w:right w:val="nil"/>
                <w:between w:val="nil"/>
              </w:pBdr>
              <w:jc w:val="both"/>
              <w:rPr>
                <w:rFonts w:eastAsia="Times New Roman"/>
                <w:b/>
                <w:i/>
              </w:rPr>
            </w:pPr>
            <w:r w:rsidRPr="0082155D">
              <w:rPr>
                <w:rFonts w:eastAsia="Times New Roman"/>
                <w:b/>
                <w:i/>
              </w:rPr>
              <w:t>Descripción</w:t>
            </w:r>
          </w:p>
          <w:p w:rsidR="00BD0EB7" w:rsidRDefault="00BD0EB7" w:rsidP="00BD0EB7">
            <w:pPr>
              <w:pBdr>
                <w:top w:val="nil"/>
                <w:left w:val="nil"/>
                <w:bottom w:val="nil"/>
                <w:right w:val="nil"/>
                <w:between w:val="nil"/>
              </w:pBdr>
              <w:jc w:val="both"/>
              <w:rPr>
                <w:rFonts w:asciiTheme="majorHAnsi" w:eastAsia="Roboto" w:hAnsiTheme="majorHAnsi" w:cstheme="majorHAnsi"/>
              </w:rPr>
            </w:pPr>
            <w:r w:rsidRPr="006B3CBE">
              <w:rPr>
                <w:rFonts w:asciiTheme="majorHAnsi" w:eastAsia="Roboto" w:hAnsiTheme="majorHAnsi" w:cstheme="majorHAnsi"/>
              </w:rPr>
              <w:t xml:space="preserve">Esta alternativa </w:t>
            </w:r>
            <w:r>
              <w:rPr>
                <w:rFonts w:asciiTheme="majorHAnsi" w:eastAsia="Roboto" w:hAnsiTheme="majorHAnsi" w:cstheme="majorHAnsi"/>
              </w:rPr>
              <w:t xml:space="preserve">busca </w:t>
            </w:r>
            <w:r w:rsidRPr="006B3CBE">
              <w:rPr>
                <w:rFonts w:asciiTheme="majorHAnsi" w:eastAsia="Roboto" w:hAnsiTheme="majorHAnsi" w:cstheme="majorHAnsi"/>
              </w:rPr>
              <w:t xml:space="preserve">establecer mecanismos para la obtención de información sobre quiénes serían los </w:t>
            </w:r>
            <w:r>
              <w:rPr>
                <w:rFonts w:asciiTheme="majorHAnsi" w:eastAsia="Roboto" w:hAnsiTheme="majorHAnsi" w:cstheme="majorHAnsi"/>
              </w:rPr>
              <w:t>SO</w:t>
            </w:r>
            <w:r w:rsidRPr="006B3CBE">
              <w:rPr>
                <w:rFonts w:asciiTheme="majorHAnsi" w:eastAsia="Roboto" w:hAnsiTheme="majorHAnsi" w:cstheme="majorHAnsi"/>
              </w:rPr>
              <w:t xml:space="preserve"> que deben ser supervisados a pesar que no se encuentran registrados en alguna institución que los licencie (como sucede por ejemplo con el sector de compraventa de divisas, préstamos y/o empeños). </w:t>
            </w:r>
          </w:p>
          <w:p w:rsidR="0082155D" w:rsidRPr="0082155D" w:rsidRDefault="0082155D" w:rsidP="00BD0EB7">
            <w:pPr>
              <w:pBdr>
                <w:top w:val="nil"/>
                <w:left w:val="nil"/>
                <w:bottom w:val="nil"/>
                <w:right w:val="nil"/>
                <w:between w:val="nil"/>
              </w:pBdr>
              <w:jc w:val="both"/>
              <w:rPr>
                <w:rFonts w:asciiTheme="majorHAnsi" w:eastAsia="Roboto" w:hAnsiTheme="majorHAnsi" w:cstheme="majorHAnsi"/>
                <w:b/>
                <w:i/>
              </w:rPr>
            </w:pPr>
            <w:r w:rsidRPr="0082155D">
              <w:rPr>
                <w:rFonts w:asciiTheme="majorHAnsi" w:eastAsia="Roboto" w:hAnsiTheme="majorHAnsi" w:cstheme="majorHAnsi"/>
                <w:b/>
                <w:i/>
              </w:rPr>
              <w:t>Sustento</w:t>
            </w:r>
          </w:p>
          <w:p w:rsidR="00BD0EB7" w:rsidRPr="00BD0EB7" w:rsidRDefault="00BD0EB7" w:rsidP="00BD0EB7">
            <w:pPr>
              <w:pBdr>
                <w:top w:val="nil"/>
                <w:left w:val="nil"/>
                <w:bottom w:val="nil"/>
                <w:right w:val="nil"/>
                <w:between w:val="nil"/>
              </w:pBdr>
              <w:jc w:val="both"/>
              <w:rPr>
                <w:rFonts w:asciiTheme="majorHAnsi" w:eastAsia="Roboto" w:hAnsiTheme="majorHAnsi" w:cstheme="majorHAnsi"/>
              </w:rPr>
            </w:pPr>
            <w:r w:rsidRPr="00BD0EB7">
              <w:rPr>
                <w:rFonts w:asciiTheme="majorHAnsi" w:eastAsia="Roboto" w:hAnsiTheme="majorHAnsi" w:cstheme="majorHAnsi"/>
              </w:rPr>
              <w:lastRenderedPageBreak/>
              <w:t>Un antecedente sobre el particular lo encontramos en Chile, quienes vienen celebrando convenios con su autoridad tributaria a fin de que pueda ayudarlos a acceder a información sobre los datos de las personas naturales o jurídicas que son contribuyentes en los sectores que agrupan a los sujetos obligados, pudiendo así ampliar el ámbito de supervisión. En el Informe de Evaluación Mutua de Chile del año 2021 se señaló lo siguiente:</w:t>
            </w:r>
          </w:p>
          <w:p w:rsidR="00BD0EB7" w:rsidRPr="00BD0EB7" w:rsidRDefault="00BD0EB7" w:rsidP="00BD0EB7">
            <w:pPr>
              <w:pBdr>
                <w:top w:val="nil"/>
                <w:left w:val="nil"/>
                <w:bottom w:val="nil"/>
                <w:right w:val="nil"/>
                <w:between w:val="nil"/>
              </w:pBdr>
              <w:ind w:left="968"/>
              <w:jc w:val="both"/>
              <w:rPr>
                <w:rFonts w:asciiTheme="majorHAnsi" w:eastAsia="Roboto" w:hAnsiTheme="majorHAnsi" w:cstheme="majorHAnsi"/>
                <w:i/>
              </w:rPr>
            </w:pPr>
            <w:r w:rsidRPr="00BD0EB7">
              <w:rPr>
                <w:rFonts w:asciiTheme="majorHAnsi" w:eastAsia="Roboto" w:hAnsiTheme="majorHAnsi" w:cstheme="majorHAnsi"/>
                <w:i/>
              </w:rPr>
              <w:t>“492. La UAF también cuenta con procedimientos para la identificación de instituciones, actividades y profesiones que se encuentran en las categorías de SO pendientes de registro. Por ejemplo, a través del Convenio de colaboración con el SII cuentan con información respecto de las entidades registradas en materia tributaria que aún no se han registrado ante la UAF. De esa manera, la UAF les notifica su obligación de registro. “</w:t>
            </w:r>
          </w:p>
          <w:p w:rsidR="00BD0EB7" w:rsidRPr="00BD0EB7" w:rsidRDefault="00BD0EB7" w:rsidP="00BD0EB7">
            <w:pPr>
              <w:pBdr>
                <w:top w:val="nil"/>
                <w:left w:val="nil"/>
                <w:bottom w:val="nil"/>
                <w:right w:val="nil"/>
                <w:between w:val="nil"/>
              </w:pBdr>
              <w:jc w:val="both"/>
              <w:rPr>
                <w:rFonts w:asciiTheme="majorHAnsi" w:eastAsia="Roboto" w:hAnsiTheme="majorHAnsi" w:cstheme="majorHAnsi"/>
              </w:rPr>
            </w:pPr>
            <w:r w:rsidRPr="00BD0EB7">
              <w:rPr>
                <w:rFonts w:asciiTheme="majorHAnsi" w:eastAsia="Roboto" w:hAnsiTheme="majorHAnsi" w:cstheme="majorHAnsi"/>
              </w:rPr>
              <w:t>Por lo señalado, se puede evidenciar que existen otros países en la región que debe trabajar en establecer mecanismos para lograr agrupar al número real de sujetos obligados de los sectores designados; por lo que, urge poder implementar estas medidas a fin de que el sistema de prevención de LA funcione adecuadamente y complete la cadena de valor del Sistema Nacional contra el LA.</w:t>
            </w:r>
          </w:p>
          <w:p w:rsidR="00862EF2" w:rsidRPr="00862EF2" w:rsidRDefault="00862EF2" w:rsidP="00862EF2">
            <w:pPr>
              <w:spacing w:after="0" w:line="240" w:lineRule="auto"/>
              <w:rPr>
                <w:rFonts w:eastAsia="Times New Roman"/>
              </w:rPr>
            </w:pPr>
          </w:p>
        </w:tc>
        <w:tc>
          <w:tcPr>
            <w:tcW w:w="191"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lastRenderedPageBreak/>
              <w:t>4</w:t>
            </w:r>
          </w:p>
        </w:tc>
        <w:tc>
          <w:tcPr>
            <w:tcW w:w="180"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t>4</w:t>
            </w:r>
          </w:p>
        </w:tc>
        <w:tc>
          <w:tcPr>
            <w:tcW w:w="180"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t>4</w:t>
            </w:r>
          </w:p>
        </w:tc>
        <w:tc>
          <w:tcPr>
            <w:tcW w:w="202"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t>5</w:t>
            </w:r>
          </w:p>
        </w:tc>
        <w:tc>
          <w:tcPr>
            <w:tcW w:w="354"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t>17</w:t>
            </w:r>
          </w:p>
        </w:tc>
        <w:tc>
          <w:tcPr>
            <w:tcW w:w="354"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b/>
                <w:bCs/>
              </w:rPr>
            </w:pPr>
            <w:r w:rsidRPr="00862EF2">
              <w:rPr>
                <w:rFonts w:eastAsia="Times New Roman"/>
                <w:b/>
                <w:bCs/>
              </w:rPr>
              <w:t>X</w:t>
            </w:r>
          </w:p>
        </w:tc>
      </w:tr>
      <w:tr w:rsidR="006B0C74" w:rsidRPr="00862EF2" w:rsidTr="006B0C74">
        <w:trPr>
          <w:trHeight w:val="1160"/>
        </w:trPr>
        <w:tc>
          <w:tcPr>
            <w:tcW w:w="855"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rPr>
                <w:rFonts w:eastAsia="Times New Roman"/>
              </w:rPr>
            </w:pPr>
            <w:r w:rsidRPr="00862EF2">
              <w:rPr>
                <w:rFonts w:eastAsia="Times New Roman"/>
              </w:rPr>
              <w:lastRenderedPageBreak/>
              <w:t>Fortalecer los controles en zonas de alto riesgo (frontera, puerto, aeropuertos, etc.) para evitar el transporte de dinero en efectivo de origen ilícito</w:t>
            </w:r>
          </w:p>
        </w:tc>
        <w:tc>
          <w:tcPr>
            <w:tcW w:w="2683" w:type="pct"/>
            <w:tcBorders>
              <w:top w:val="nil"/>
              <w:left w:val="nil"/>
              <w:bottom w:val="single" w:sz="4" w:space="0" w:color="auto"/>
              <w:right w:val="single" w:sz="4" w:space="0" w:color="auto"/>
            </w:tcBorders>
            <w:shd w:val="clear" w:color="auto" w:fill="EAF1DD" w:themeFill="accent3" w:themeFillTint="33"/>
            <w:vAlign w:val="center"/>
            <w:hideMark/>
          </w:tcPr>
          <w:p w:rsidR="006D33AF" w:rsidRDefault="006D33AF" w:rsidP="006D33AF">
            <w:pPr>
              <w:jc w:val="both"/>
              <w:rPr>
                <w:rFonts w:asciiTheme="majorHAnsi" w:eastAsia="Roboto" w:hAnsiTheme="majorHAnsi" w:cstheme="majorHAnsi"/>
              </w:rPr>
            </w:pPr>
            <w:r w:rsidRPr="006D33AF">
              <w:rPr>
                <w:rFonts w:asciiTheme="majorHAnsi" w:eastAsia="Roboto" w:hAnsiTheme="majorHAnsi" w:cstheme="majorHAnsi"/>
              </w:rPr>
              <w:t>Esta alternativa busca mejorar la regulación y normativa existente, incrementar el recurso humano y tecnológico a la SUNAT y fortalecer la coordinación interinstitucional, entre aquella y demás autoridades intervinientes, en las acciones de control de dinero en efectivo de origen ilícito en frontera.</w:t>
            </w:r>
            <w:r>
              <w:rPr>
                <w:rFonts w:asciiTheme="majorHAnsi" w:eastAsia="Roboto" w:hAnsiTheme="majorHAnsi" w:cstheme="majorHAnsi"/>
              </w:rPr>
              <w:t xml:space="preserve"> </w:t>
            </w:r>
          </w:p>
          <w:p w:rsidR="00862EF2" w:rsidRDefault="006D33AF" w:rsidP="008A1010">
            <w:pPr>
              <w:spacing w:after="0" w:line="240" w:lineRule="auto"/>
              <w:jc w:val="both"/>
              <w:rPr>
                <w:rFonts w:asciiTheme="majorHAnsi" w:eastAsia="Roboto" w:hAnsiTheme="majorHAnsi" w:cstheme="majorHAnsi"/>
              </w:rPr>
            </w:pPr>
            <w:r w:rsidRPr="00352FC4">
              <w:rPr>
                <w:rFonts w:asciiTheme="majorHAnsi" w:eastAsia="Roboto" w:hAnsiTheme="majorHAnsi" w:cstheme="majorHAnsi"/>
              </w:rPr>
              <w:t xml:space="preserve">Algunos antecedentes a nivel de la región </w:t>
            </w:r>
            <w:r w:rsidR="00BB6329">
              <w:rPr>
                <w:rFonts w:asciiTheme="majorHAnsi" w:eastAsia="Roboto" w:hAnsiTheme="majorHAnsi" w:cstheme="majorHAnsi"/>
              </w:rPr>
              <w:t xml:space="preserve">se pueden encontrar en la Estrategia Nacional de Prevención y combate al LA y al FT de Chile, así como en la Estrategia Nacional de Lucha contra la Legitimación de Ganancias Ilícitas y FT de Bolivia. </w:t>
            </w:r>
          </w:p>
          <w:p w:rsidR="00BB6329" w:rsidRDefault="00BB6329" w:rsidP="00BB6329">
            <w:pPr>
              <w:spacing w:after="0" w:line="240" w:lineRule="auto"/>
              <w:rPr>
                <w:rFonts w:asciiTheme="majorHAnsi" w:eastAsia="Roboto" w:hAnsiTheme="majorHAnsi" w:cstheme="majorHAnsi"/>
              </w:rPr>
            </w:pPr>
          </w:p>
          <w:p w:rsidR="00BB6329" w:rsidRPr="00862EF2" w:rsidRDefault="00BB6329" w:rsidP="00BB6329">
            <w:pPr>
              <w:jc w:val="both"/>
              <w:rPr>
                <w:rFonts w:eastAsia="Times New Roman"/>
              </w:rPr>
            </w:pPr>
            <w:r w:rsidRPr="00352FC4">
              <w:rPr>
                <w:rFonts w:asciiTheme="majorHAnsi" w:eastAsia="Roboto" w:hAnsiTheme="majorHAnsi" w:cstheme="majorHAnsi"/>
              </w:rPr>
              <w:lastRenderedPageBreak/>
              <w:t xml:space="preserve">A nivel nacional, el antecedente de esta alternativa se encuentra en las acciones del Plan Nacional contra el LA/FT 2018-2021 comprendidas en el objetivo estratégico 2.2 “Controlar adecuadamente el flujo de activos ilícitos o con fines ilícitos en zonas fronterizas y a nivel nacional”. </w:t>
            </w:r>
          </w:p>
        </w:tc>
        <w:tc>
          <w:tcPr>
            <w:tcW w:w="191"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lastRenderedPageBreak/>
              <w:t>4</w:t>
            </w:r>
          </w:p>
        </w:tc>
        <w:tc>
          <w:tcPr>
            <w:tcW w:w="180"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t>4</w:t>
            </w:r>
          </w:p>
        </w:tc>
        <w:tc>
          <w:tcPr>
            <w:tcW w:w="180"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t>4</w:t>
            </w:r>
          </w:p>
        </w:tc>
        <w:tc>
          <w:tcPr>
            <w:tcW w:w="202"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t>5</w:t>
            </w:r>
          </w:p>
        </w:tc>
        <w:tc>
          <w:tcPr>
            <w:tcW w:w="354"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t>17</w:t>
            </w:r>
          </w:p>
        </w:tc>
        <w:tc>
          <w:tcPr>
            <w:tcW w:w="354"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b/>
                <w:bCs/>
              </w:rPr>
            </w:pPr>
            <w:r w:rsidRPr="00862EF2">
              <w:rPr>
                <w:rFonts w:eastAsia="Times New Roman"/>
                <w:b/>
                <w:bCs/>
              </w:rPr>
              <w:t>X</w:t>
            </w:r>
          </w:p>
        </w:tc>
      </w:tr>
      <w:tr w:rsidR="00862EF2" w:rsidRPr="00862EF2" w:rsidTr="00862EF2">
        <w:trPr>
          <w:trHeight w:val="850"/>
        </w:trPr>
        <w:tc>
          <w:tcPr>
            <w:tcW w:w="855" w:type="pct"/>
            <w:tcBorders>
              <w:top w:val="nil"/>
              <w:left w:val="single" w:sz="4" w:space="0" w:color="auto"/>
              <w:bottom w:val="single" w:sz="4" w:space="0" w:color="auto"/>
              <w:right w:val="single" w:sz="4" w:space="0" w:color="auto"/>
            </w:tcBorders>
            <w:shd w:val="clear" w:color="auto" w:fill="auto"/>
            <w:vAlign w:val="center"/>
            <w:hideMark/>
          </w:tcPr>
          <w:p w:rsidR="00862EF2" w:rsidRPr="0068207E" w:rsidRDefault="00862EF2" w:rsidP="00862EF2">
            <w:pPr>
              <w:spacing w:after="0" w:line="240" w:lineRule="auto"/>
              <w:rPr>
                <w:rFonts w:eastAsia="Times New Roman"/>
                <w:highlight w:val="yellow"/>
              </w:rPr>
            </w:pPr>
            <w:r w:rsidRPr="0068207E">
              <w:rPr>
                <w:rFonts w:eastAsia="Times New Roman"/>
                <w:highlight w:val="yellow"/>
              </w:rPr>
              <w:lastRenderedPageBreak/>
              <w:t>Identificar las zonas de alto riesgo en frontera vinculadas con el transporte de dinero en efectivo de origen ilícito</w:t>
            </w:r>
          </w:p>
        </w:tc>
        <w:tc>
          <w:tcPr>
            <w:tcW w:w="2683" w:type="pct"/>
            <w:tcBorders>
              <w:top w:val="nil"/>
              <w:left w:val="nil"/>
              <w:bottom w:val="single" w:sz="4" w:space="0" w:color="auto"/>
              <w:right w:val="single" w:sz="4" w:space="0" w:color="auto"/>
            </w:tcBorders>
            <w:shd w:val="clear" w:color="auto" w:fill="auto"/>
            <w:vAlign w:val="center"/>
            <w:hideMark/>
          </w:tcPr>
          <w:p w:rsidR="00862EF2" w:rsidRPr="0068207E" w:rsidRDefault="0049670E" w:rsidP="00862EF2">
            <w:pPr>
              <w:spacing w:after="0" w:line="240" w:lineRule="auto"/>
              <w:rPr>
                <w:rFonts w:eastAsia="Times New Roman"/>
                <w:b/>
                <w:highlight w:val="yellow"/>
              </w:rPr>
            </w:pPr>
            <w:r w:rsidRPr="0068207E">
              <w:rPr>
                <w:rFonts w:eastAsia="Times New Roman"/>
                <w:b/>
                <w:highlight w:val="yellow"/>
              </w:rPr>
              <w:t>Descripción</w:t>
            </w:r>
          </w:p>
          <w:p w:rsidR="0049670E" w:rsidRPr="0068207E" w:rsidRDefault="000B2E87" w:rsidP="008A1010">
            <w:pPr>
              <w:spacing w:after="0" w:line="240" w:lineRule="auto"/>
              <w:jc w:val="both"/>
              <w:rPr>
                <w:rFonts w:eastAsia="Times New Roman"/>
                <w:highlight w:val="yellow"/>
              </w:rPr>
            </w:pPr>
            <w:r w:rsidRPr="0068207E">
              <w:rPr>
                <w:rFonts w:eastAsia="Times New Roman"/>
                <w:highlight w:val="yellow"/>
              </w:rPr>
              <w:t>Esta alternativa comprende realizar acciones para identificar las zonas de alto riesgo en frontera, las cuales podrían ser utilizadas para transportar dinero en efectivo de origen ilícito. Estas acciones se realizarían con participación de todas las autoridades</w:t>
            </w:r>
            <w:r w:rsidR="00F913C4">
              <w:rPr>
                <w:rFonts w:eastAsia="Times New Roman"/>
                <w:highlight w:val="yellow"/>
              </w:rPr>
              <w:t xml:space="preserve"> responsables</w:t>
            </w:r>
            <w:r w:rsidRPr="0068207E">
              <w:rPr>
                <w:rFonts w:eastAsia="Times New Roman"/>
                <w:highlight w:val="yellow"/>
              </w:rPr>
              <w:t xml:space="preserve"> involucradas. </w:t>
            </w:r>
          </w:p>
          <w:p w:rsidR="0049670E" w:rsidRPr="0068207E" w:rsidRDefault="0049670E" w:rsidP="00862EF2">
            <w:pPr>
              <w:spacing w:after="0" w:line="240" w:lineRule="auto"/>
              <w:rPr>
                <w:rFonts w:eastAsia="Times New Roman"/>
                <w:highlight w:val="yellow"/>
              </w:rPr>
            </w:pPr>
          </w:p>
          <w:p w:rsidR="0049670E" w:rsidRPr="0068207E" w:rsidRDefault="0049670E" w:rsidP="00862EF2">
            <w:pPr>
              <w:spacing w:after="0" w:line="240" w:lineRule="auto"/>
              <w:rPr>
                <w:rFonts w:eastAsia="Times New Roman"/>
                <w:b/>
                <w:highlight w:val="yellow"/>
              </w:rPr>
            </w:pPr>
            <w:r w:rsidRPr="0068207E">
              <w:rPr>
                <w:rFonts w:eastAsia="Times New Roman"/>
                <w:b/>
                <w:highlight w:val="yellow"/>
              </w:rPr>
              <w:t>Sustento</w:t>
            </w:r>
          </w:p>
          <w:p w:rsidR="0049670E" w:rsidRPr="0068207E" w:rsidRDefault="0049670E" w:rsidP="008A1010">
            <w:pPr>
              <w:spacing w:after="0" w:line="240" w:lineRule="auto"/>
              <w:jc w:val="both"/>
              <w:rPr>
                <w:rFonts w:eastAsia="Times New Roman"/>
                <w:highlight w:val="yellow"/>
              </w:rPr>
            </w:pPr>
            <w:r w:rsidRPr="0068207E">
              <w:rPr>
                <w:rFonts w:eastAsia="Times New Roman"/>
                <w:highlight w:val="yellow"/>
              </w:rPr>
              <w:t xml:space="preserve">Como evidencia de la presente alternativa a nivel regional se puede considerar la acción planteada por </w:t>
            </w:r>
            <w:r w:rsidR="00F913C4">
              <w:rPr>
                <w:rFonts w:eastAsia="Times New Roman"/>
                <w:highlight w:val="yellow"/>
              </w:rPr>
              <w:t>la U</w:t>
            </w:r>
            <w:r w:rsidR="008A1010">
              <w:rPr>
                <w:rFonts w:eastAsia="Times New Roman"/>
                <w:highlight w:val="yellow"/>
              </w:rPr>
              <w:t xml:space="preserve">IF </w:t>
            </w:r>
            <w:r w:rsidR="00F913C4">
              <w:rPr>
                <w:rFonts w:eastAsia="Times New Roman"/>
                <w:highlight w:val="yellow"/>
              </w:rPr>
              <w:t xml:space="preserve">de </w:t>
            </w:r>
            <w:r w:rsidRPr="0068207E">
              <w:rPr>
                <w:rFonts w:eastAsia="Times New Roman"/>
                <w:highlight w:val="yellow"/>
              </w:rPr>
              <w:t xml:space="preserve">Bolivia dentro de su estrategia nacional contra </w:t>
            </w:r>
            <w:r w:rsidR="008A1010">
              <w:rPr>
                <w:rFonts w:eastAsia="Times New Roman"/>
                <w:highlight w:val="yellow"/>
              </w:rPr>
              <w:t>el LA</w:t>
            </w:r>
            <w:r w:rsidRPr="0068207E">
              <w:rPr>
                <w:rFonts w:eastAsia="Times New Roman"/>
                <w:highlight w:val="yellow"/>
              </w:rPr>
              <w:t>, la cual propone desarrollar un diagnóstico de los puntos fronterizos formales o informales que posean mayor índice de ser utilizados para la comisión de ilícitos. Asimismo, los resultados del mencionado diagnóstico, serviría para fortalecer el control en las zonas de frontera más vulnerables o de mayor riesgo.</w:t>
            </w:r>
          </w:p>
          <w:p w:rsidR="000B2E87" w:rsidRPr="0068207E" w:rsidRDefault="000B2E87" w:rsidP="00862EF2">
            <w:pPr>
              <w:spacing w:after="0" w:line="240" w:lineRule="auto"/>
              <w:rPr>
                <w:rFonts w:eastAsia="Times New Roman"/>
                <w:highlight w:val="yellow"/>
              </w:rPr>
            </w:pPr>
          </w:p>
        </w:tc>
        <w:tc>
          <w:tcPr>
            <w:tcW w:w="191" w:type="pct"/>
            <w:tcBorders>
              <w:top w:val="nil"/>
              <w:left w:val="nil"/>
              <w:bottom w:val="single" w:sz="4" w:space="0" w:color="auto"/>
              <w:right w:val="single" w:sz="4" w:space="0" w:color="auto"/>
            </w:tcBorders>
            <w:shd w:val="clear" w:color="auto" w:fill="auto"/>
            <w:vAlign w:val="center"/>
            <w:hideMark/>
          </w:tcPr>
          <w:p w:rsidR="00862EF2" w:rsidRPr="0068207E" w:rsidRDefault="00862EF2" w:rsidP="00862EF2">
            <w:pPr>
              <w:spacing w:after="0" w:line="240" w:lineRule="auto"/>
              <w:jc w:val="center"/>
              <w:rPr>
                <w:rFonts w:eastAsia="Times New Roman"/>
                <w:highlight w:val="yellow"/>
              </w:rPr>
            </w:pPr>
            <w:r w:rsidRPr="0068207E">
              <w:rPr>
                <w:rFonts w:eastAsia="Times New Roman"/>
                <w:highlight w:val="yellow"/>
              </w:rPr>
              <w:t>3</w:t>
            </w:r>
          </w:p>
        </w:tc>
        <w:tc>
          <w:tcPr>
            <w:tcW w:w="180" w:type="pct"/>
            <w:tcBorders>
              <w:top w:val="nil"/>
              <w:left w:val="nil"/>
              <w:bottom w:val="single" w:sz="4" w:space="0" w:color="auto"/>
              <w:right w:val="single" w:sz="4" w:space="0" w:color="auto"/>
            </w:tcBorders>
            <w:shd w:val="clear" w:color="auto" w:fill="auto"/>
            <w:vAlign w:val="center"/>
            <w:hideMark/>
          </w:tcPr>
          <w:p w:rsidR="00862EF2" w:rsidRPr="0068207E" w:rsidRDefault="00862EF2" w:rsidP="00862EF2">
            <w:pPr>
              <w:spacing w:after="0" w:line="240" w:lineRule="auto"/>
              <w:jc w:val="center"/>
              <w:rPr>
                <w:rFonts w:eastAsia="Times New Roman"/>
                <w:highlight w:val="yellow"/>
              </w:rPr>
            </w:pPr>
            <w:r w:rsidRPr="0068207E">
              <w:rPr>
                <w:rFonts w:eastAsia="Times New Roman"/>
                <w:highlight w:val="yellow"/>
              </w:rPr>
              <w:t>3</w:t>
            </w:r>
          </w:p>
        </w:tc>
        <w:tc>
          <w:tcPr>
            <w:tcW w:w="180" w:type="pct"/>
            <w:tcBorders>
              <w:top w:val="nil"/>
              <w:left w:val="nil"/>
              <w:bottom w:val="single" w:sz="4" w:space="0" w:color="auto"/>
              <w:right w:val="single" w:sz="4" w:space="0" w:color="auto"/>
            </w:tcBorders>
            <w:shd w:val="clear" w:color="auto" w:fill="auto"/>
            <w:vAlign w:val="center"/>
            <w:hideMark/>
          </w:tcPr>
          <w:p w:rsidR="00862EF2" w:rsidRPr="0068207E" w:rsidRDefault="00862EF2" w:rsidP="00862EF2">
            <w:pPr>
              <w:spacing w:after="0" w:line="240" w:lineRule="auto"/>
              <w:jc w:val="center"/>
              <w:rPr>
                <w:rFonts w:eastAsia="Times New Roman"/>
                <w:highlight w:val="yellow"/>
              </w:rPr>
            </w:pPr>
            <w:r w:rsidRPr="0068207E">
              <w:rPr>
                <w:rFonts w:eastAsia="Times New Roman"/>
                <w:highlight w:val="yellow"/>
              </w:rPr>
              <w:t>2</w:t>
            </w:r>
          </w:p>
        </w:tc>
        <w:tc>
          <w:tcPr>
            <w:tcW w:w="202" w:type="pct"/>
            <w:tcBorders>
              <w:top w:val="nil"/>
              <w:left w:val="nil"/>
              <w:bottom w:val="single" w:sz="4" w:space="0" w:color="auto"/>
              <w:right w:val="single" w:sz="4" w:space="0" w:color="auto"/>
            </w:tcBorders>
            <w:shd w:val="clear" w:color="auto" w:fill="auto"/>
            <w:vAlign w:val="center"/>
            <w:hideMark/>
          </w:tcPr>
          <w:p w:rsidR="00862EF2" w:rsidRPr="0068207E" w:rsidRDefault="00862EF2" w:rsidP="00862EF2">
            <w:pPr>
              <w:spacing w:after="0" w:line="240" w:lineRule="auto"/>
              <w:jc w:val="center"/>
              <w:rPr>
                <w:rFonts w:eastAsia="Times New Roman"/>
                <w:highlight w:val="yellow"/>
              </w:rPr>
            </w:pPr>
            <w:r w:rsidRPr="0068207E">
              <w:rPr>
                <w:rFonts w:eastAsia="Times New Roman"/>
                <w:highlight w:val="yellow"/>
              </w:rPr>
              <w:t>3</w:t>
            </w:r>
          </w:p>
        </w:tc>
        <w:tc>
          <w:tcPr>
            <w:tcW w:w="354" w:type="pct"/>
            <w:tcBorders>
              <w:top w:val="nil"/>
              <w:left w:val="nil"/>
              <w:bottom w:val="single" w:sz="4" w:space="0" w:color="auto"/>
              <w:right w:val="single" w:sz="4" w:space="0" w:color="auto"/>
            </w:tcBorders>
            <w:shd w:val="clear" w:color="auto" w:fill="auto"/>
            <w:vAlign w:val="center"/>
            <w:hideMark/>
          </w:tcPr>
          <w:p w:rsidR="00862EF2" w:rsidRPr="0068207E" w:rsidRDefault="00862EF2" w:rsidP="00862EF2">
            <w:pPr>
              <w:spacing w:after="0" w:line="240" w:lineRule="auto"/>
              <w:jc w:val="center"/>
              <w:rPr>
                <w:rFonts w:eastAsia="Times New Roman"/>
                <w:highlight w:val="yellow"/>
              </w:rPr>
            </w:pPr>
            <w:r w:rsidRPr="0068207E">
              <w:rPr>
                <w:rFonts w:eastAsia="Times New Roman"/>
                <w:highlight w:val="yellow"/>
              </w:rPr>
              <w:t>11</w:t>
            </w:r>
          </w:p>
        </w:tc>
        <w:tc>
          <w:tcPr>
            <w:tcW w:w="354" w:type="pct"/>
            <w:tcBorders>
              <w:top w:val="nil"/>
              <w:left w:val="nil"/>
              <w:bottom w:val="single" w:sz="4" w:space="0" w:color="auto"/>
              <w:right w:val="single" w:sz="4" w:space="0" w:color="auto"/>
            </w:tcBorders>
            <w:shd w:val="clear" w:color="auto" w:fill="auto"/>
            <w:vAlign w:val="center"/>
            <w:hideMark/>
          </w:tcPr>
          <w:p w:rsidR="00862EF2" w:rsidRPr="0068207E" w:rsidRDefault="00862EF2" w:rsidP="00862EF2">
            <w:pPr>
              <w:spacing w:after="0" w:line="240" w:lineRule="auto"/>
              <w:jc w:val="center"/>
              <w:rPr>
                <w:rFonts w:eastAsia="Times New Roman"/>
                <w:b/>
                <w:bCs/>
                <w:highlight w:val="yellow"/>
              </w:rPr>
            </w:pPr>
            <w:r w:rsidRPr="0068207E">
              <w:rPr>
                <w:rFonts w:eastAsia="Times New Roman"/>
                <w:b/>
                <w:bCs/>
                <w:highlight w:val="yellow"/>
              </w:rPr>
              <w:t> </w:t>
            </w:r>
          </w:p>
        </w:tc>
      </w:tr>
      <w:tr w:rsidR="006B0C74" w:rsidRPr="00862EF2" w:rsidTr="00BB6329">
        <w:trPr>
          <w:trHeight w:val="562"/>
        </w:trPr>
        <w:tc>
          <w:tcPr>
            <w:tcW w:w="855"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rPr>
                <w:rFonts w:eastAsia="Times New Roman"/>
              </w:rPr>
            </w:pPr>
            <w:r w:rsidRPr="00862EF2">
              <w:rPr>
                <w:rFonts w:eastAsia="Times New Roman"/>
              </w:rPr>
              <w:t>Creación de herramientas para garantizar la atención oportuna de requerimientos de información (a entidades públicas y del sistema financiero) durante investigaciones de LA</w:t>
            </w:r>
          </w:p>
        </w:tc>
        <w:tc>
          <w:tcPr>
            <w:tcW w:w="2683" w:type="pct"/>
            <w:tcBorders>
              <w:top w:val="nil"/>
              <w:left w:val="nil"/>
              <w:bottom w:val="single" w:sz="4" w:space="0" w:color="auto"/>
              <w:right w:val="single" w:sz="4" w:space="0" w:color="auto"/>
            </w:tcBorders>
            <w:shd w:val="clear" w:color="auto" w:fill="EAF1DD" w:themeFill="accent3" w:themeFillTint="33"/>
            <w:vAlign w:val="center"/>
            <w:hideMark/>
          </w:tcPr>
          <w:p w:rsidR="008A1010" w:rsidRDefault="00BB6329" w:rsidP="00BB6329">
            <w:pPr>
              <w:pBdr>
                <w:top w:val="nil"/>
                <w:left w:val="nil"/>
                <w:bottom w:val="nil"/>
                <w:right w:val="nil"/>
                <w:between w:val="nil"/>
              </w:pBdr>
              <w:jc w:val="both"/>
              <w:rPr>
                <w:rFonts w:eastAsia="Times New Roman"/>
                <w:b/>
                <w:i/>
              </w:rPr>
            </w:pPr>
            <w:r w:rsidRPr="00BB6329">
              <w:rPr>
                <w:rFonts w:eastAsia="Times New Roman"/>
                <w:b/>
                <w:i/>
              </w:rPr>
              <w:t>Descripción</w:t>
            </w:r>
          </w:p>
          <w:p w:rsidR="00BB6329" w:rsidRPr="008A1010" w:rsidRDefault="00BB6329" w:rsidP="00BB6329">
            <w:pPr>
              <w:pBdr>
                <w:top w:val="nil"/>
                <w:left w:val="nil"/>
                <w:bottom w:val="nil"/>
                <w:right w:val="nil"/>
                <w:between w:val="nil"/>
              </w:pBdr>
              <w:jc w:val="both"/>
              <w:rPr>
                <w:rFonts w:eastAsia="Times New Roman"/>
                <w:b/>
                <w:i/>
              </w:rPr>
            </w:pPr>
            <w:r w:rsidRPr="006B3CBE">
              <w:rPr>
                <w:rFonts w:asciiTheme="majorHAnsi" w:eastAsia="Roboto" w:hAnsiTheme="majorHAnsi" w:cstheme="majorHAnsi"/>
              </w:rPr>
              <w:t>Esta alternativa pretende establecer herramientas para acortar el tiempo en que los operadores públicos acceden a la información necesaria para las investigaciones que se realizan en materia de lavado de activos</w:t>
            </w:r>
            <w:r>
              <w:rPr>
                <w:rFonts w:asciiTheme="majorHAnsi" w:eastAsia="Roboto" w:hAnsiTheme="majorHAnsi" w:cstheme="majorHAnsi"/>
              </w:rPr>
              <w:t>,</w:t>
            </w:r>
            <w:r w:rsidRPr="006B3CBE">
              <w:rPr>
                <w:rFonts w:asciiTheme="majorHAnsi" w:eastAsia="Roboto" w:hAnsiTheme="majorHAnsi" w:cstheme="majorHAnsi"/>
              </w:rPr>
              <w:t xml:space="preserve"> sobre todo aquella relativa a la información protegida por el secreto bancario. </w:t>
            </w:r>
          </w:p>
          <w:p w:rsidR="00BB6329" w:rsidRPr="00BB6329" w:rsidRDefault="00BB6329" w:rsidP="00BB6329">
            <w:pPr>
              <w:pBdr>
                <w:top w:val="nil"/>
                <w:left w:val="nil"/>
                <w:bottom w:val="nil"/>
                <w:right w:val="nil"/>
                <w:between w:val="nil"/>
              </w:pBdr>
              <w:jc w:val="both"/>
              <w:rPr>
                <w:rFonts w:asciiTheme="majorHAnsi" w:eastAsia="Roboto" w:hAnsiTheme="majorHAnsi" w:cstheme="majorHAnsi"/>
                <w:b/>
                <w:i/>
              </w:rPr>
            </w:pPr>
            <w:r w:rsidRPr="00BB6329">
              <w:rPr>
                <w:rFonts w:asciiTheme="majorHAnsi" w:eastAsia="Roboto" w:hAnsiTheme="majorHAnsi" w:cstheme="majorHAnsi"/>
                <w:b/>
                <w:i/>
              </w:rPr>
              <w:t>Sustento</w:t>
            </w:r>
          </w:p>
          <w:p w:rsidR="00BB6329" w:rsidRPr="006B3CBE" w:rsidRDefault="00BB6329" w:rsidP="00BB6329">
            <w:pPr>
              <w:pBdr>
                <w:top w:val="nil"/>
                <w:left w:val="nil"/>
                <w:bottom w:val="nil"/>
                <w:right w:val="nil"/>
                <w:between w:val="nil"/>
              </w:pBdr>
              <w:jc w:val="both"/>
              <w:rPr>
                <w:rFonts w:asciiTheme="majorHAnsi" w:eastAsia="Roboto" w:hAnsiTheme="majorHAnsi" w:cstheme="majorHAnsi"/>
              </w:rPr>
            </w:pPr>
            <w:r w:rsidRPr="006B3CBE">
              <w:rPr>
                <w:rFonts w:asciiTheme="majorHAnsi" w:eastAsia="Roboto" w:hAnsiTheme="majorHAnsi" w:cstheme="majorHAnsi"/>
              </w:rPr>
              <w:t xml:space="preserve">Un ejemplo de herramienta que podría facilitar el acceso a la información necesaria para los procesos de investigación en materia de lavado de activos lo constituye la figura del “Fichero de Titularidades Bancarias”, que viene siendo implementado en varios países de Europa y algunos países de Latinoamérica. Esta herramienta es </w:t>
            </w:r>
            <w:r w:rsidRPr="006B3CBE">
              <w:rPr>
                <w:rFonts w:asciiTheme="majorHAnsi" w:eastAsia="Roboto" w:hAnsiTheme="majorHAnsi" w:cstheme="majorHAnsi"/>
              </w:rPr>
              <w:lastRenderedPageBreak/>
              <w:t>alimentada por la información brindada por las instituciones financieras a través de declaraciones que incluirían la siguiente información de las cuentas bancarias:</w:t>
            </w:r>
          </w:p>
          <w:p w:rsidR="00BB6329" w:rsidRPr="006B3CBE" w:rsidRDefault="00BB6329" w:rsidP="00BB6329">
            <w:pPr>
              <w:numPr>
                <w:ilvl w:val="0"/>
                <w:numId w:val="10"/>
              </w:numPr>
              <w:spacing w:after="0" w:line="276" w:lineRule="auto"/>
              <w:jc w:val="both"/>
              <w:rPr>
                <w:rFonts w:asciiTheme="majorHAnsi" w:eastAsia="Roboto" w:hAnsiTheme="majorHAnsi" w:cstheme="majorHAnsi"/>
              </w:rPr>
            </w:pPr>
            <w:r w:rsidRPr="006B3CBE">
              <w:rPr>
                <w:rFonts w:asciiTheme="majorHAnsi" w:eastAsia="Roboto" w:hAnsiTheme="majorHAnsi" w:cstheme="majorHAnsi"/>
              </w:rPr>
              <w:t>Datos identificativos de los titulares, titulares reales, en su caso, representantes o autorizados, así como de cualquiera otra persona con poderes de disposición. Serán considerados datos identificativos: nombre, apellidos o denominación social y el número de documento de identidad.</w:t>
            </w:r>
          </w:p>
          <w:p w:rsidR="00BB6329" w:rsidRPr="006B3CBE" w:rsidRDefault="00BB6329" w:rsidP="00BB6329">
            <w:pPr>
              <w:numPr>
                <w:ilvl w:val="0"/>
                <w:numId w:val="10"/>
              </w:numPr>
              <w:spacing w:after="0" w:line="276" w:lineRule="auto"/>
              <w:jc w:val="both"/>
              <w:rPr>
                <w:rFonts w:asciiTheme="majorHAnsi" w:eastAsia="Roboto" w:hAnsiTheme="majorHAnsi" w:cstheme="majorHAnsi"/>
              </w:rPr>
            </w:pPr>
            <w:r w:rsidRPr="006B3CBE">
              <w:rPr>
                <w:rFonts w:asciiTheme="majorHAnsi" w:eastAsia="Roboto" w:hAnsiTheme="majorHAnsi" w:cstheme="majorHAnsi"/>
              </w:rPr>
              <w:t>La fecha de apertura o cancelación.</w:t>
            </w:r>
          </w:p>
          <w:p w:rsidR="00BB6329" w:rsidRPr="006B3CBE" w:rsidRDefault="00BB6329" w:rsidP="00BB6329">
            <w:pPr>
              <w:numPr>
                <w:ilvl w:val="0"/>
                <w:numId w:val="10"/>
              </w:numPr>
              <w:spacing w:after="0" w:line="276" w:lineRule="auto"/>
              <w:jc w:val="both"/>
              <w:rPr>
                <w:rFonts w:asciiTheme="majorHAnsi" w:eastAsia="Roboto" w:hAnsiTheme="majorHAnsi" w:cstheme="majorHAnsi"/>
              </w:rPr>
            </w:pPr>
            <w:r w:rsidRPr="006B3CBE">
              <w:rPr>
                <w:rFonts w:asciiTheme="majorHAnsi" w:eastAsia="Roboto" w:hAnsiTheme="majorHAnsi" w:cstheme="majorHAnsi"/>
              </w:rPr>
              <w:t>El tipo de cuenta o depósito.</w:t>
            </w:r>
          </w:p>
          <w:p w:rsidR="00BB6329" w:rsidRPr="006B3CBE" w:rsidRDefault="00BB6329" w:rsidP="00BB6329">
            <w:pPr>
              <w:numPr>
                <w:ilvl w:val="0"/>
                <w:numId w:val="10"/>
              </w:numPr>
              <w:spacing w:after="0" w:line="276" w:lineRule="auto"/>
              <w:jc w:val="both"/>
              <w:rPr>
                <w:rFonts w:asciiTheme="majorHAnsi" w:eastAsia="Roboto" w:hAnsiTheme="majorHAnsi" w:cstheme="majorHAnsi"/>
              </w:rPr>
            </w:pPr>
            <w:r w:rsidRPr="006B3CBE">
              <w:rPr>
                <w:rFonts w:asciiTheme="majorHAnsi" w:eastAsia="Roboto" w:hAnsiTheme="majorHAnsi" w:cstheme="majorHAnsi"/>
              </w:rPr>
              <w:t>Detalle de movimientos.</w:t>
            </w:r>
          </w:p>
          <w:p w:rsidR="00BB6329" w:rsidRPr="006B3CBE" w:rsidRDefault="00BB6329" w:rsidP="00BB6329">
            <w:pPr>
              <w:numPr>
                <w:ilvl w:val="0"/>
                <w:numId w:val="10"/>
              </w:numPr>
              <w:spacing w:after="0" w:line="276" w:lineRule="auto"/>
              <w:jc w:val="both"/>
              <w:rPr>
                <w:rFonts w:asciiTheme="majorHAnsi" w:eastAsia="Roboto" w:hAnsiTheme="majorHAnsi" w:cstheme="majorHAnsi"/>
              </w:rPr>
            </w:pPr>
            <w:r w:rsidRPr="006B3CBE">
              <w:rPr>
                <w:rFonts w:asciiTheme="majorHAnsi" w:eastAsia="Roboto" w:hAnsiTheme="majorHAnsi" w:cstheme="majorHAnsi"/>
              </w:rPr>
              <w:t>Saldos mensuales y/o montos acumulados</w:t>
            </w:r>
          </w:p>
          <w:p w:rsidR="00862EF2" w:rsidRPr="00862EF2" w:rsidRDefault="00BB6329" w:rsidP="00BB6329">
            <w:pPr>
              <w:spacing w:before="240"/>
              <w:jc w:val="both"/>
              <w:rPr>
                <w:rFonts w:eastAsia="Times New Roman"/>
              </w:rPr>
            </w:pPr>
            <w:r w:rsidRPr="006B3CBE">
              <w:rPr>
                <w:rFonts w:asciiTheme="majorHAnsi" w:eastAsia="Roboto" w:hAnsiTheme="majorHAnsi" w:cstheme="majorHAnsi"/>
              </w:rPr>
              <w:t xml:space="preserve">La institución responsable de la administración del fichero establecerá los procedimientos técnicos de consulta, que se realizarán por medios telemáticos, a través de puntos únicos de acceso que las instituciones usuarias establezcan, y se llevará un registro de consultas realizadas por los puntos únicos de acceso. De esta forma los operadores públicos encargados de las investigaciones en materia de LA, como el Ministerio Público y la UIF, podrán acceder a la información contenida en el fichero de manera más rápida, sin tener que pasar por el proceso de 30 días hábiles, establecido en la normativa, para que los bancos entreguen la información protegida por el secreto bancario.  </w:t>
            </w:r>
          </w:p>
        </w:tc>
        <w:tc>
          <w:tcPr>
            <w:tcW w:w="191"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lastRenderedPageBreak/>
              <w:t>5</w:t>
            </w:r>
          </w:p>
        </w:tc>
        <w:tc>
          <w:tcPr>
            <w:tcW w:w="180"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t>3</w:t>
            </w:r>
          </w:p>
        </w:tc>
        <w:tc>
          <w:tcPr>
            <w:tcW w:w="180"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t>2</w:t>
            </w:r>
          </w:p>
        </w:tc>
        <w:tc>
          <w:tcPr>
            <w:tcW w:w="202"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t>5</w:t>
            </w:r>
          </w:p>
        </w:tc>
        <w:tc>
          <w:tcPr>
            <w:tcW w:w="354"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t>15</w:t>
            </w:r>
          </w:p>
        </w:tc>
        <w:tc>
          <w:tcPr>
            <w:tcW w:w="354"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b/>
                <w:bCs/>
              </w:rPr>
            </w:pPr>
            <w:r w:rsidRPr="00862EF2">
              <w:rPr>
                <w:rFonts w:eastAsia="Times New Roman"/>
                <w:b/>
                <w:bCs/>
              </w:rPr>
              <w:t>X</w:t>
            </w:r>
          </w:p>
        </w:tc>
      </w:tr>
      <w:tr w:rsidR="006B0C74" w:rsidRPr="00862EF2" w:rsidTr="006B0C74">
        <w:trPr>
          <w:trHeight w:val="1450"/>
        </w:trPr>
        <w:tc>
          <w:tcPr>
            <w:tcW w:w="855"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rPr>
                <w:rFonts w:eastAsia="Times New Roman"/>
              </w:rPr>
            </w:pPr>
            <w:r w:rsidRPr="00862EF2">
              <w:rPr>
                <w:rFonts w:eastAsia="Times New Roman"/>
              </w:rPr>
              <w:lastRenderedPageBreak/>
              <w:t xml:space="preserve">Fortalecer con mayores recursos humanos, debidamente capacitados, recursos físicos (equipamiento) y tecnológicos la atención de casos de LA a nivel </w:t>
            </w:r>
            <w:r w:rsidRPr="00862EF2">
              <w:rPr>
                <w:rFonts w:eastAsia="Times New Roman"/>
              </w:rPr>
              <w:lastRenderedPageBreak/>
              <w:t>fiscal, policial y de procuraduría pública competente</w:t>
            </w:r>
          </w:p>
        </w:tc>
        <w:tc>
          <w:tcPr>
            <w:tcW w:w="2683" w:type="pct"/>
            <w:tcBorders>
              <w:top w:val="nil"/>
              <w:left w:val="nil"/>
              <w:bottom w:val="single" w:sz="4" w:space="0" w:color="auto"/>
              <w:right w:val="single" w:sz="4" w:space="0" w:color="auto"/>
            </w:tcBorders>
            <w:shd w:val="clear" w:color="auto" w:fill="EAF1DD" w:themeFill="accent3" w:themeFillTint="33"/>
            <w:vAlign w:val="center"/>
            <w:hideMark/>
          </w:tcPr>
          <w:p w:rsidR="00FC50F2" w:rsidRPr="00FC50F2" w:rsidRDefault="00FC50F2" w:rsidP="00FC50F2">
            <w:pPr>
              <w:spacing w:before="240"/>
              <w:rPr>
                <w:rFonts w:eastAsia="Times New Roman"/>
                <w:b/>
                <w:i/>
              </w:rPr>
            </w:pPr>
            <w:r w:rsidRPr="00FC50F2">
              <w:rPr>
                <w:rFonts w:eastAsia="Times New Roman"/>
                <w:b/>
                <w:i/>
              </w:rPr>
              <w:lastRenderedPageBreak/>
              <w:t>Descripción</w:t>
            </w:r>
          </w:p>
          <w:p w:rsidR="00FC50F2" w:rsidRPr="002A6886" w:rsidRDefault="00FC50F2" w:rsidP="00FC50F2">
            <w:pPr>
              <w:spacing w:before="240"/>
              <w:jc w:val="both"/>
              <w:rPr>
                <w:rFonts w:asciiTheme="majorHAnsi" w:hAnsiTheme="majorHAnsi" w:cstheme="majorHAnsi"/>
              </w:rPr>
            </w:pPr>
            <w:r w:rsidRPr="002A6886">
              <w:rPr>
                <w:rFonts w:asciiTheme="majorHAnsi" w:hAnsiTheme="majorHAnsi" w:cstheme="majorHAnsi"/>
              </w:rPr>
              <w:t xml:space="preserve">Esta alternativa busca: i) superar el insuficiente número de peritos y expertos que tienen como apoyo en las investigaciones las fiscalías especializadas de LA, así como el aún insuficiente número de fiscalías especializadas de LA que existen al interior del país para atender estos casos, ii) dotar de mayores efectivos policiales </w:t>
            </w:r>
            <w:r w:rsidRPr="002A6886">
              <w:rPr>
                <w:rFonts w:asciiTheme="majorHAnsi" w:hAnsiTheme="majorHAnsi" w:cstheme="majorHAnsi"/>
              </w:rPr>
              <w:lastRenderedPageBreak/>
              <w:t xml:space="preserve">capacitados a la DIRILA PNP para atender los requerimientos que formulen las fiscalías especializadas de LA en el marco de sus investigaciones, iii) reforzar con mayor personal capacitado a la Procuraduría Pública Especializada en Delitos de LA para colaborar con las fiscalías especializadas de LA en el esclarecimiento de los hechos sometidos a proceso y iv) asignar a las Fiscalías Especializadas de LA, a la DIRILA PNP y a la Procuraduría Pública Especializada en Delitos de LA de los equipos físicos y tecnológicos necesarios para el cumplimiento adecuado de sus funciones.   </w:t>
            </w:r>
          </w:p>
          <w:p w:rsidR="00FC50F2" w:rsidRPr="00FC50F2" w:rsidRDefault="00FC50F2" w:rsidP="00FC50F2">
            <w:pPr>
              <w:spacing w:before="240"/>
              <w:jc w:val="both"/>
              <w:rPr>
                <w:rFonts w:asciiTheme="majorHAnsi" w:hAnsiTheme="majorHAnsi" w:cstheme="majorHAnsi"/>
                <w:b/>
                <w:i/>
              </w:rPr>
            </w:pPr>
            <w:r w:rsidRPr="00FC50F2">
              <w:rPr>
                <w:rFonts w:asciiTheme="majorHAnsi" w:hAnsiTheme="majorHAnsi" w:cstheme="majorHAnsi"/>
                <w:b/>
                <w:i/>
              </w:rPr>
              <w:t>Sustento</w:t>
            </w:r>
          </w:p>
          <w:p w:rsidR="00FC50F2" w:rsidRDefault="00FC50F2" w:rsidP="00FC50F2">
            <w:pPr>
              <w:spacing w:before="240"/>
              <w:jc w:val="both"/>
              <w:rPr>
                <w:rFonts w:asciiTheme="majorHAnsi" w:hAnsiTheme="majorHAnsi" w:cstheme="majorHAnsi"/>
              </w:rPr>
            </w:pPr>
            <w:r w:rsidRPr="002A6886">
              <w:rPr>
                <w:rFonts w:asciiTheme="majorHAnsi" w:hAnsiTheme="majorHAnsi" w:cstheme="majorHAnsi"/>
              </w:rPr>
              <w:t>En países de la región como Chile, Paraguay y Uruguay se identifican alternativas de solución similares en sus estrategias para combatir el LA/FT</w:t>
            </w:r>
            <w:r>
              <w:rPr>
                <w:rFonts w:asciiTheme="majorHAnsi" w:hAnsiTheme="majorHAnsi" w:cstheme="majorHAnsi"/>
              </w:rPr>
              <w:t>.</w:t>
            </w:r>
          </w:p>
          <w:p w:rsidR="00862EF2" w:rsidRPr="00862EF2" w:rsidRDefault="00FC50F2" w:rsidP="00FC50F2">
            <w:pPr>
              <w:spacing w:before="240"/>
              <w:jc w:val="both"/>
              <w:rPr>
                <w:rFonts w:eastAsia="Times New Roman"/>
              </w:rPr>
            </w:pPr>
            <w:r>
              <w:rPr>
                <w:rFonts w:asciiTheme="majorHAnsi" w:hAnsiTheme="majorHAnsi" w:cstheme="majorHAnsi"/>
              </w:rPr>
              <w:t>A nivel nacional, l</w:t>
            </w:r>
            <w:r w:rsidRPr="002A6886">
              <w:rPr>
                <w:rFonts w:asciiTheme="majorHAnsi" w:hAnsiTheme="majorHAnsi" w:cstheme="majorHAnsi"/>
              </w:rPr>
              <w:t>os antecedentes de esta alternativa de solución se encuentran en las siguientes acciones del Plan Nacional contra el LA/FT 2018-2021 (acciones 3.1.1, 3.1.2, 3.1.5 y 3.2.2)</w:t>
            </w:r>
          </w:p>
        </w:tc>
        <w:tc>
          <w:tcPr>
            <w:tcW w:w="191"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lastRenderedPageBreak/>
              <w:t>5</w:t>
            </w:r>
          </w:p>
        </w:tc>
        <w:tc>
          <w:tcPr>
            <w:tcW w:w="180"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t>5</w:t>
            </w:r>
          </w:p>
        </w:tc>
        <w:tc>
          <w:tcPr>
            <w:tcW w:w="180"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t>2</w:t>
            </w:r>
          </w:p>
        </w:tc>
        <w:tc>
          <w:tcPr>
            <w:tcW w:w="202"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t>5</w:t>
            </w:r>
          </w:p>
        </w:tc>
        <w:tc>
          <w:tcPr>
            <w:tcW w:w="354"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t>17</w:t>
            </w:r>
          </w:p>
        </w:tc>
        <w:tc>
          <w:tcPr>
            <w:tcW w:w="354"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b/>
                <w:bCs/>
              </w:rPr>
            </w:pPr>
            <w:r w:rsidRPr="00862EF2">
              <w:rPr>
                <w:rFonts w:eastAsia="Times New Roman"/>
                <w:b/>
                <w:bCs/>
              </w:rPr>
              <w:t>X</w:t>
            </w:r>
          </w:p>
        </w:tc>
      </w:tr>
      <w:tr w:rsidR="006B0C74" w:rsidRPr="00862EF2" w:rsidTr="006B0C74">
        <w:trPr>
          <w:trHeight w:val="870"/>
        </w:trPr>
        <w:tc>
          <w:tcPr>
            <w:tcW w:w="855"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rPr>
                <w:rFonts w:eastAsia="Times New Roman"/>
              </w:rPr>
            </w:pPr>
            <w:r w:rsidRPr="00862EF2">
              <w:rPr>
                <w:rFonts w:eastAsia="Times New Roman"/>
              </w:rPr>
              <w:lastRenderedPageBreak/>
              <w:t>Capacitar a fiscales y jueces en casos de LA en materia de prueba indiciaria y manejo de audiencias</w:t>
            </w:r>
          </w:p>
        </w:tc>
        <w:tc>
          <w:tcPr>
            <w:tcW w:w="2683" w:type="pct"/>
            <w:tcBorders>
              <w:top w:val="nil"/>
              <w:left w:val="nil"/>
              <w:bottom w:val="single" w:sz="4" w:space="0" w:color="auto"/>
              <w:right w:val="single" w:sz="4" w:space="0" w:color="auto"/>
            </w:tcBorders>
            <w:shd w:val="clear" w:color="auto" w:fill="EAF1DD" w:themeFill="accent3" w:themeFillTint="33"/>
            <w:vAlign w:val="center"/>
            <w:hideMark/>
          </w:tcPr>
          <w:p w:rsidR="00FC50F2" w:rsidRPr="00FC50F2" w:rsidRDefault="00FC50F2" w:rsidP="00FC50F2">
            <w:pPr>
              <w:spacing w:before="240"/>
              <w:jc w:val="both"/>
              <w:rPr>
                <w:rFonts w:eastAsia="Times New Roman"/>
                <w:b/>
                <w:i/>
              </w:rPr>
            </w:pPr>
            <w:r w:rsidRPr="00FC50F2">
              <w:rPr>
                <w:rFonts w:eastAsia="Times New Roman"/>
                <w:b/>
                <w:i/>
              </w:rPr>
              <w:t>Descripción</w:t>
            </w:r>
          </w:p>
          <w:p w:rsidR="00FC50F2" w:rsidRDefault="00FC50F2" w:rsidP="00FC50F2">
            <w:pPr>
              <w:spacing w:before="240"/>
              <w:jc w:val="both"/>
              <w:rPr>
                <w:rFonts w:asciiTheme="majorHAnsi" w:hAnsiTheme="majorHAnsi" w:cstheme="majorHAnsi"/>
              </w:rPr>
            </w:pPr>
            <w:r w:rsidRPr="002A6886">
              <w:rPr>
                <w:rFonts w:asciiTheme="majorHAnsi" w:hAnsiTheme="majorHAnsi" w:cstheme="majorHAnsi"/>
              </w:rPr>
              <w:t xml:space="preserve">Esta alternativa busca brindar capacitación especializada sobre prueba indiciaria o prueba indirecta en casos de LA: i) a los fiscales para que la utilicen adecuadamente para construir sus requerimientos acusatorios y ii) a los jueces para que la valoren o aprecien adecuadamente en la etapa de juicio oral. Asimismo, tiene por finalidad potenciar las capacidades de los jueces en la dirección de las audiencias que se realizan durante la etapa intermedia para reducir la excesiva duración de esta etapa y no retrasar el inicio del juicio oral.  </w:t>
            </w:r>
          </w:p>
          <w:p w:rsidR="00FC50F2" w:rsidRPr="00FC50F2" w:rsidRDefault="00FC50F2" w:rsidP="00FC50F2">
            <w:pPr>
              <w:spacing w:before="240"/>
              <w:jc w:val="both"/>
              <w:rPr>
                <w:rFonts w:asciiTheme="majorHAnsi" w:hAnsiTheme="majorHAnsi" w:cstheme="majorHAnsi"/>
                <w:b/>
                <w:i/>
              </w:rPr>
            </w:pPr>
            <w:r w:rsidRPr="00FC50F2">
              <w:rPr>
                <w:rFonts w:asciiTheme="majorHAnsi" w:hAnsiTheme="majorHAnsi" w:cstheme="majorHAnsi"/>
                <w:b/>
                <w:i/>
              </w:rPr>
              <w:t>Sustento</w:t>
            </w:r>
          </w:p>
          <w:p w:rsidR="00FC50F2" w:rsidRPr="002A6886" w:rsidRDefault="00FC50F2" w:rsidP="00FC50F2">
            <w:pPr>
              <w:spacing w:after="240" w:line="240" w:lineRule="auto"/>
              <w:jc w:val="both"/>
              <w:rPr>
                <w:rFonts w:asciiTheme="majorHAnsi" w:hAnsiTheme="majorHAnsi" w:cstheme="majorHAnsi"/>
              </w:rPr>
            </w:pPr>
            <w:r w:rsidRPr="002A6886">
              <w:rPr>
                <w:rFonts w:asciiTheme="majorHAnsi" w:hAnsiTheme="majorHAnsi" w:cstheme="majorHAnsi"/>
              </w:rPr>
              <w:lastRenderedPageBreak/>
              <w:t>Sobre el particular, la Corte Suprema de la República en el Acuerdo Plenario 3-2010/CJ-116</w:t>
            </w:r>
            <w:r w:rsidRPr="00D31263">
              <w:rPr>
                <w:rFonts w:asciiTheme="majorHAnsi" w:hAnsiTheme="majorHAnsi" w:cstheme="majorHAnsi"/>
                <w:vertAlign w:val="superscript"/>
              </w:rPr>
              <w:footnoteReference w:id="15"/>
            </w:r>
            <w:r w:rsidRPr="002A6886">
              <w:rPr>
                <w:rFonts w:asciiTheme="majorHAnsi" w:hAnsiTheme="majorHAnsi" w:cstheme="majorHAnsi"/>
              </w:rPr>
              <w:t xml:space="preserve"> ha establecido los presupuestos formales y materiales de la prueba indiciaria en los delitos de LA</w:t>
            </w:r>
            <w:r>
              <w:rPr>
                <w:rFonts w:asciiTheme="majorHAnsi" w:hAnsiTheme="majorHAnsi" w:cstheme="majorHAnsi"/>
              </w:rPr>
              <w:t xml:space="preserve"> </w:t>
            </w:r>
            <w:r w:rsidRPr="002A6886">
              <w:rPr>
                <w:rFonts w:asciiTheme="majorHAnsi" w:hAnsiTheme="majorHAnsi" w:cstheme="majorHAnsi"/>
              </w:rPr>
              <w:t>(Fundamentos 30 al 35) y en la Sentencia Plenaria</w:t>
            </w:r>
            <w:r>
              <w:rPr>
                <w:rFonts w:ascii="Arial" w:eastAsia="Times New Roman" w:hAnsi="Arial" w:cs="Arial"/>
                <w:sz w:val="23"/>
                <w:szCs w:val="23"/>
              </w:rPr>
              <w:t xml:space="preserve"> </w:t>
            </w:r>
            <w:r w:rsidRPr="002A6886">
              <w:rPr>
                <w:rFonts w:asciiTheme="majorHAnsi" w:hAnsiTheme="majorHAnsi" w:cstheme="majorHAnsi"/>
              </w:rPr>
              <w:t>Casatoria</w:t>
            </w:r>
            <w:r>
              <w:rPr>
                <w:rFonts w:asciiTheme="majorHAnsi" w:hAnsiTheme="majorHAnsi" w:cstheme="majorHAnsi"/>
              </w:rPr>
              <w:t xml:space="preserve"> N° </w:t>
            </w:r>
            <w:r w:rsidRPr="002A6886">
              <w:rPr>
                <w:rFonts w:asciiTheme="majorHAnsi" w:hAnsiTheme="majorHAnsi" w:cstheme="majorHAnsi"/>
              </w:rPr>
              <w:t>1/2017/CIJ-433</w:t>
            </w:r>
            <w:r w:rsidRPr="00D31263">
              <w:rPr>
                <w:rFonts w:asciiTheme="majorHAnsi" w:hAnsiTheme="majorHAnsi" w:cstheme="majorHAnsi"/>
                <w:vertAlign w:val="superscript"/>
              </w:rPr>
              <w:footnoteReference w:id="16"/>
            </w:r>
            <w:r w:rsidRPr="002A6886">
              <w:rPr>
                <w:rFonts w:asciiTheme="majorHAnsi" w:hAnsiTheme="majorHAnsi" w:cstheme="majorHAnsi"/>
              </w:rPr>
              <w:t xml:space="preserve"> fija los alcances de la prueba indiciaria en los delitos de LA y detalla a modo de ejemplo una serie de indicios en delitos de LA (Fundamentos 17 a 22). </w:t>
            </w:r>
          </w:p>
          <w:p w:rsidR="00FC50F2" w:rsidRPr="002A6886" w:rsidRDefault="00FC50F2" w:rsidP="00FC50F2">
            <w:pPr>
              <w:spacing w:after="240" w:line="240" w:lineRule="auto"/>
              <w:jc w:val="both"/>
              <w:rPr>
                <w:rFonts w:asciiTheme="majorHAnsi" w:hAnsiTheme="majorHAnsi" w:cstheme="majorHAnsi"/>
              </w:rPr>
            </w:pPr>
            <w:r w:rsidRPr="002A6886">
              <w:rPr>
                <w:rFonts w:asciiTheme="majorHAnsi" w:hAnsiTheme="majorHAnsi" w:cstheme="majorHAnsi"/>
              </w:rPr>
              <w:t xml:space="preserve">Las mencionadas decisiones deben ser consideradas tanto por los fiscales y jueces ya en que en los casos de LA generalmente se cuentan con indicios, tal como se aprecia del II Informe de Sentencias Condenatoria de Lavado de Activos en el Perú (2012-2019).  </w:t>
            </w:r>
          </w:p>
          <w:p w:rsidR="00FC50F2" w:rsidRPr="008140CE" w:rsidRDefault="00FC50F2" w:rsidP="00FC50F2">
            <w:pPr>
              <w:spacing w:after="240" w:line="240" w:lineRule="auto"/>
              <w:jc w:val="both"/>
              <w:rPr>
                <w:rFonts w:ascii="Arial" w:eastAsia="Times New Roman" w:hAnsi="Arial" w:cs="Arial"/>
                <w:sz w:val="23"/>
                <w:szCs w:val="23"/>
              </w:rPr>
            </w:pPr>
            <w:r w:rsidRPr="002A6886">
              <w:rPr>
                <w:rFonts w:asciiTheme="majorHAnsi" w:hAnsiTheme="majorHAnsi" w:cstheme="majorHAnsi"/>
              </w:rPr>
              <w:t>En el Perú, a partir de la problemática identificada, se han desarrollado diversas actividades de capacitación que van en la línea de la alternativa propuestas. Entre ellas, cabe citar el Curso: “Cuestiones problemáticas de lavado de activos”, desarrollado por el Instituto de Democracia y Derechos Humanos de la PUCP, del 6 de junio al 27 de julio de este año. Entre los temas abordados estaba: prueba indiciaria y la</w:t>
            </w:r>
            <w:r>
              <w:rPr>
                <w:rFonts w:asciiTheme="majorHAnsi" w:hAnsiTheme="majorHAnsi" w:cstheme="majorHAnsi"/>
              </w:rPr>
              <w:t>va</w:t>
            </w:r>
            <w:r w:rsidRPr="002A6886">
              <w:rPr>
                <w:rFonts w:asciiTheme="majorHAnsi" w:hAnsiTheme="majorHAnsi" w:cstheme="majorHAnsi"/>
              </w:rPr>
              <w:t>do de activos.</w:t>
            </w:r>
            <w:r>
              <w:rPr>
                <w:rStyle w:val="Refdenotaalpie"/>
                <w:rFonts w:ascii="Arial" w:eastAsia="Times New Roman" w:hAnsi="Arial" w:cs="Arial"/>
                <w:sz w:val="23"/>
                <w:szCs w:val="23"/>
              </w:rPr>
              <w:footnoteReference w:id="17"/>
            </w:r>
            <w:r>
              <w:rPr>
                <w:rFonts w:ascii="Arial" w:eastAsia="Times New Roman" w:hAnsi="Arial" w:cs="Arial"/>
                <w:sz w:val="23"/>
                <w:szCs w:val="23"/>
              </w:rPr>
              <w:t xml:space="preserve">    </w:t>
            </w:r>
          </w:p>
          <w:p w:rsidR="00862EF2" w:rsidRPr="00862EF2" w:rsidRDefault="00862EF2" w:rsidP="00862EF2">
            <w:pPr>
              <w:spacing w:after="0" w:line="240" w:lineRule="auto"/>
              <w:rPr>
                <w:rFonts w:eastAsia="Times New Roman"/>
              </w:rPr>
            </w:pPr>
          </w:p>
        </w:tc>
        <w:tc>
          <w:tcPr>
            <w:tcW w:w="191"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lastRenderedPageBreak/>
              <w:t>5</w:t>
            </w:r>
          </w:p>
        </w:tc>
        <w:tc>
          <w:tcPr>
            <w:tcW w:w="180"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t>5</w:t>
            </w:r>
          </w:p>
        </w:tc>
        <w:tc>
          <w:tcPr>
            <w:tcW w:w="180"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t>3</w:t>
            </w:r>
          </w:p>
        </w:tc>
        <w:tc>
          <w:tcPr>
            <w:tcW w:w="202"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t>5</w:t>
            </w:r>
          </w:p>
        </w:tc>
        <w:tc>
          <w:tcPr>
            <w:tcW w:w="354"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t>18</w:t>
            </w:r>
          </w:p>
        </w:tc>
        <w:tc>
          <w:tcPr>
            <w:tcW w:w="354"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b/>
                <w:bCs/>
              </w:rPr>
            </w:pPr>
            <w:r w:rsidRPr="00862EF2">
              <w:rPr>
                <w:rFonts w:eastAsia="Times New Roman"/>
                <w:b/>
                <w:bCs/>
              </w:rPr>
              <w:t>X</w:t>
            </w:r>
          </w:p>
        </w:tc>
      </w:tr>
      <w:tr w:rsidR="006B0C74" w:rsidRPr="00862EF2" w:rsidTr="006B0C74">
        <w:trPr>
          <w:trHeight w:val="1160"/>
        </w:trPr>
        <w:tc>
          <w:tcPr>
            <w:tcW w:w="855"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rPr>
                <w:rFonts w:eastAsia="Times New Roman"/>
              </w:rPr>
            </w:pPr>
            <w:r w:rsidRPr="00862EF2">
              <w:rPr>
                <w:rFonts w:eastAsia="Times New Roman"/>
              </w:rPr>
              <w:lastRenderedPageBreak/>
              <w:t>Fortalecer con mayores recursos humanos, debidamente capacitados, recursos físicos (equipamiento) y tecnológicos la atención a nivel judicial de casos de LA</w:t>
            </w:r>
          </w:p>
        </w:tc>
        <w:tc>
          <w:tcPr>
            <w:tcW w:w="2683" w:type="pct"/>
            <w:tcBorders>
              <w:top w:val="nil"/>
              <w:left w:val="nil"/>
              <w:bottom w:val="single" w:sz="4" w:space="0" w:color="auto"/>
              <w:right w:val="single" w:sz="4" w:space="0" w:color="auto"/>
            </w:tcBorders>
            <w:shd w:val="clear" w:color="auto" w:fill="EAF1DD" w:themeFill="accent3" w:themeFillTint="33"/>
            <w:vAlign w:val="center"/>
            <w:hideMark/>
          </w:tcPr>
          <w:p w:rsidR="00FC50F2" w:rsidRPr="00FC50F2" w:rsidRDefault="00FC50F2" w:rsidP="00FC50F2">
            <w:pPr>
              <w:spacing w:after="0" w:line="240" w:lineRule="auto"/>
              <w:jc w:val="both"/>
              <w:rPr>
                <w:rFonts w:eastAsia="Times New Roman"/>
                <w:b/>
                <w:i/>
              </w:rPr>
            </w:pPr>
            <w:r w:rsidRPr="00FC50F2">
              <w:rPr>
                <w:rFonts w:eastAsia="Times New Roman"/>
                <w:b/>
                <w:i/>
              </w:rPr>
              <w:t>Descripción</w:t>
            </w:r>
          </w:p>
          <w:p w:rsidR="00FC50F2" w:rsidRPr="00FB09F0" w:rsidRDefault="00FC50F2" w:rsidP="00FC50F2">
            <w:pPr>
              <w:spacing w:after="0" w:line="240" w:lineRule="auto"/>
              <w:jc w:val="both"/>
              <w:rPr>
                <w:rFonts w:asciiTheme="majorHAnsi" w:eastAsia="Times New Roman" w:hAnsiTheme="majorHAnsi" w:cstheme="majorHAnsi"/>
                <w:bCs/>
                <w:color w:val="000000"/>
                <w:szCs w:val="23"/>
              </w:rPr>
            </w:pPr>
            <w:r w:rsidRPr="00FB09F0">
              <w:rPr>
                <w:rFonts w:asciiTheme="majorHAnsi" w:eastAsia="Times New Roman" w:hAnsiTheme="majorHAnsi" w:cstheme="majorHAnsi"/>
                <w:bCs/>
                <w:color w:val="000000"/>
                <w:szCs w:val="23"/>
              </w:rPr>
              <w:t xml:space="preserve">Esta alternativa busca: i) superar el insuficiente número de órganos jurisdiccionales que existen para conocer casaos de LA en la Corte Nacional de Justicia Penal Especializada y la falta de juzgados especializados en LA en cada distrito judicial y ii) asignar a los órganos jurisdiccionales que existen y los que se creen para conocer casos de LA de los equipos físicos y tecnológicos necesarios para el cumplimiento adecuado de sus funciones.   </w:t>
            </w:r>
          </w:p>
          <w:p w:rsidR="00FC50F2" w:rsidRDefault="00FC50F2" w:rsidP="00FC50F2">
            <w:pPr>
              <w:spacing w:after="0" w:line="240" w:lineRule="auto"/>
              <w:jc w:val="both"/>
              <w:rPr>
                <w:rFonts w:asciiTheme="majorHAnsi" w:eastAsia="Times New Roman" w:hAnsiTheme="majorHAnsi" w:cstheme="majorHAnsi"/>
                <w:bCs/>
                <w:color w:val="000000"/>
                <w:szCs w:val="23"/>
              </w:rPr>
            </w:pPr>
          </w:p>
          <w:p w:rsidR="00FC50F2" w:rsidRPr="00FC50F2" w:rsidRDefault="00FC50F2" w:rsidP="00FC50F2">
            <w:pPr>
              <w:spacing w:after="0" w:line="240" w:lineRule="auto"/>
              <w:rPr>
                <w:rFonts w:asciiTheme="majorHAnsi" w:eastAsia="Times New Roman" w:hAnsiTheme="majorHAnsi" w:cstheme="majorHAnsi"/>
                <w:b/>
                <w:bCs/>
                <w:i/>
                <w:color w:val="000000"/>
                <w:szCs w:val="23"/>
              </w:rPr>
            </w:pPr>
            <w:r w:rsidRPr="00FC50F2">
              <w:rPr>
                <w:rFonts w:asciiTheme="majorHAnsi" w:eastAsia="Times New Roman" w:hAnsiTheme="majorHAnsi" w:cstheme="majorHAnsi"/>
                <w:b/>
                <w:bCs/>
                <w:i/>
                <w:color w:val="000000"/>
                <w:szCs w:val="23"/>
              </w:rPr>
              <w:lastRenderedPageBreak/>
              <w:t>Sustento</w:t>
            </w:r>
          </w:p>
          <w:p w:rsidR="00862EF2" w:rsidRDefault="00FC50F2" w:rsidP="00FC50F2">
            <w:pPr>
              <w:spacing w:after="0" w:line="240" w:lineRule="auto"/>
              <w:rPr>
                <w:rFonts w:asciiTheme="majorHAnsi" w:eastAsia="Times New Roman" w:hAnsiTheme="majorHAnsi" w:cstheme="majorHAnsi"/>
                <w:bCs/>
                <w:color w:val="000000"/>
                <w:szCs w:val="23"/>
              </w:rPr>
            </w:pPr>
            <w:r w:rsidRPr="00FB09F0">
              <w:rPr>
                <w:rFonts w:asciiTheme="majorHAnsi" w:eastAsia="Times New Roman" w:hAnsiTheme="majorHAnsi" w:cstheme="majorHAnsi"/>
                <w:bCs/>
                <w:color w:val="000000"/>
                <w:szCs w:val="23"/>
              </w:rPr>
              <w:t>En países de la región como Paraguay y Bolivia se identifican alternativas de solución similares en sus estrategias para combatir el LA/FT</w:t>
            </w:r>
            <w:r>
              <w:rPr>
                <w:rFonts w:asciiTheme="majorHAnsi" w:eastAsia="Times New Roman" w:hAnsiTheme="majorHAnsi" w:cstheme="majorHAnsi"/>
                <w:bCs/>
                <w:color w:val="000000"/>
                <w:szCs w:val="23"/>
              </w:rPr>
              <w:t>.</w:t>
            </w:r>
            <w:r w:rsidR="006911C2">
              <w:rPr>
                <w:rFonts w:asciiTheme="majorHAnsi" w:eastAsia="Times New Roman" w:hAnsiTheme="majorHAnsi" w:cstheme="majorHAnsi"/>
                <w:bCs/>
                <w:color w:val="000000"/>
                <w:szCs w:val="23"/>
              </w:rPr>
              <w:t xml:space="preserve"> (</w:t>
            </w:r>
            <w:r w:rsidR="006911C2" w:rsidRPr="006911C2">
              <w:rPr>
                <w:rFonts w:asciiTheme="majorHAnsi" w:eastAsia="Times New Roman" w:hAnsiTheme="majorHAnsi" w:cstheme="majorHAnsi"/>
                <w:bCs/>
                <w:i/>
                <w:color w:val="000000"/>
                <w:szCs w:val="23"/>
              </w:rPr>
              <w:t>Ver cuadro comparativo en la sección 2.3</w:t>
            </w:r>
            <w:r w:rsidR="006911C2">
              <w:rPr>
                <w:rFonts w:asciiTheme="majorHAnsi" w:eastAsia="Times New Roman" w:hAnsiTheme="majorHAnsi" w:cstheme="majorHAnsi"/>
                <w:bCs/>
                <w:color w:val="000000"/>
                <w:szCs w:val="23"/>
              </w:rPr>
              <w:t>)</w:t>
            </w:r>
          </w:p>
          <w:p w:rsidR="00FC50F2" w:rsidRDefault="00FC50F2" w:rsidP="00FC50F2">
            <w:pPr>
              <w:spacing w:after="0" w:line="240" w:lineRule="auto"/>
              <w:rPr>
                <w:rFonts w:asciiTheme="majorHAnsi" w:eastAsia="Times New Roman" w:hAnsiTheme="majorHAnsi" w:cstheme="majorHAnsi"/>
                <w:bCs/>
                <w:color w:val="000000"/>
                <w:szCs w:val="23"/>
              </w:rPr>
            </w:pPr>
          </w:p>
          <w:p w:rsidR="00FC50F2" w:rsidRPr="00FB09F0" w:rsidRDefault="00FC50F2" w:rsidP="00FC50F2">
            <w:pPr>
              <w:spacing w:after="0" w:line="240" w:lineRule="auto"/>
              <w:jc w:val="both"/>
              <w:rPr>
                <w:rFonts w:asciiTheme="majorHAnsi" w:eastAsia="Times New Roman" w:hAnsiTheme="majorHAnsi" w:cstheme="majorHAnsi"/>
                <w:bCs/>
                <w:color w:val="000000"/>
                <w:szCs w:val="23"/>
              </w:rPr>
            </w:pPr>
            <w:r>
              <w:rPr>
                <w:rFonts w:asciiTheme="majorHAnsi" w:eastAsia="Times New Roman" w:hAnsiTheme="majorHAnsi" w:cstheme="majorHAnsi"/>
                <w:bCs/>
                <w:color w:val="000000"/>
                <w:szCs w:val="23"/>
              </w:rPr>
              <w:t>En el caso peruano, e</w:t>
            </w:r>
            <w:r w:rsidRPr="00FB09F0">
              <w:rPr>
                <w:rFonts w:asciiTheme="majorHAnsi" w:eastAsia="Times New Roman" w:hAnsiTheme="majorHAnsi" w:cstheme="majorHAnsi"/>
                <w:bCs/>
                <w:color w:val="000000"/>
                <w:szCs w:val="23"/>
              </w:rPr>
              <w:t>l antecedente de esta alternativa de solución se encuentra en la acción 3.1.5 del Plan Nacional contra el LA/FT 2018-2021</w:t>
            </w:r>
            <w:r>
              <w:rPr>
                <w:rFonts w:asciiTheme="majorHAnsi" w:eastAsia="Times New Roman" w:hAnsiTheme="majorHAnsi" w:cstheme="majorHAnsi"/>
                <w:bCs/>
                <w:color w:val="000000"/>
                <w:szCs w:val="23"/>
              </w:rPr>
              <w:t>.</w:t>
            </w:r>
            <w:r w:rsidRPr="00FB09F0">
              <w:rPr>
                <w:rFonts w:asciiTheme="majorHAnsi" w:eastAsia="Times New Roman" w:hAnsiTheme="majorHAnsi" w:cstheme="majorHAnsi"/>
                <w:bCs/>
                <w:color w:val="000000"/>
                <w:szCs w:val="23"/>
              </w:rPr>
              <w:t xml:space="preserve"> </w:t>
            </w:r>
          </w:p>
          <w:p w:rsidR="00FC50F2" w:rsidRPr="00862EF2" w:rsidRDefault="00FC50F2" w:rsidP="00FC50F2">
            <w:pPr>
              <w:spacing w:after="0" w:line="240" w:lineRule="auto"/>
              <w:rPr>
                <w:rFonts w:eastAsia="Times New Roman"/>
              </w:rPr>
            </w:pPr>
          </w:p>
        </w:tc>
        <w:tc>
          <w:tcPr>
            <w:tcW w:w="191"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lastRenderedPageBreak/>
              <w:t>5</w:t>
            </w:r>
          </w:p>
        </w:tc>
        <w:tc>
          <w:tcPr>
            <w:tcW w:w="180"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t>5</w:t>
            </w:r>
          </w:p>
        </w:tc>
        <w:tc>
          <w:tcPr>
            <w:tcW w:w="180"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t>2</w:t>
            </w:r>
          </w:p>
        </w:tc>
        <w:tc>
          <w:tcPr>
            <w:tcW w:w="202"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t>5</w:t>
            </w:r>
          </w:p>
        </w:tc>
        <w:tc>
          <w:tcPr>
            <w:tcW w:w="354"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t>17</w:t>
            </w:r>
          </w:p>
        </w:tc>
        <w:tc>
          <w:tcPr>
            <w:tcW w:w="354"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b/>
                <w:bCs/>
              </w:rPr>
            </w:pPr>
            <w:r w:rsidRPr="00862EF2">
              <w:rPr>
                <w:rFonts w:eastAsia="Times New Roman"/>
                <w:b/>
                <w:bCs/>
              </w:rPr>
              <w:t>X</w:t>
            </w:r>
          </w:p>
        </w:tc>
      </w:tr>
    </w:tbl>
    <w:p w:rsidR="006911C2" w:rsidRDefault="006911C2" w:rsidP="00086EAE">
      <w:pPr>
        <w:jc w:val="both"/>
        <w:rPr>
          <w:b/>
          <w:sz w:val="28"/>
        </w:rPr>
      </w:pPr>
    </w:p>
    <w:p w:rsidR="006911C2" w:rsidRDefault="006911C2">
      <w:pPr>
        <w:rPr>
          <w:b/>
          <w:sz w:val="28"/>
        </w:rPr>
      </w:pPr>
      <w:r>
        <w:rPr>
          <w:b/>
          <w:sz w:val="28"/>
        </w:rPr>
        <w:br w:type="page"/>
      </w:r>
    </w:p>
    <w:p w:rsidR="00086EAE" w:rsidRPr="00324C9C" w:rsidRDefault="00086EAE" w:rsidP="00086EAE">
      <w:pPr>
        <w:jc w:val="both"/>
        <w:rPr>
          <w:b/>
          <w:sz w:val="28"/>
        </w:rPr>
      </w:pPr>
      <w:r>
        <w:rPr>
          <w:b/>
          <w:sz w:val="28"/>
        </w:rPr>
        <w:lastRenderedPageBreak/>
        <w:t xml:space="preserve">CAUSA PRIMARIA 4: </w:t>
      </w:r>
      <w:r w:rsidRPr="00086EAE">
        <w:rPr>
          <w:b/>
          <w:sz w:val="28"/>
        </w:rPr>
        <w:t>Insuficiente articulación y participación activa entre el Estado, el sector privado y la sociedad civil en la lucha contra LA</w:t>
      </w:r>
    </w:p>
    <w:p w:rsidR="00086EAE" w:rsidRDefault="00086EAE" w:rsidP="00086EAE">
      <w:pPr>
        <w:jc w:val="both"/>
        <w:rPr>
          <w:b/>
          <w:sz w:val="28"/>
        </w:rPr>
      </w:pPr>
    </w:p>
    <w:tbl>
      <w:tblPr>
        <w:tblW w:w="5000" w:type="pct"/>
        <w:tblCellMar>
          <w:left w:w="70" w:type="dxa"/>
          <w:right w:w="70" w:type="dxa"/>
        </w:tblCellMar>
        <w:tblLook w:val="04A0" w:firstRow="1" w:lastRow="0" w:firstColumn="1" w:lastColumn="0" w:noHBand="0" w:noVBand="1"/>
      </w:tblPr>
      <w:tblGrid>
        <w:gridCol w:w="2359"/>
        <w:gridCol w:w="7476"/>
        <w:gridCol w:w="502"/>
        <w:gridCol w:w="471"/>
        <w:gridCol w:w="471"/>
        <w:gridCol w:w="535"/>
        <w:gridCol w:w="958"/>
        <w:gridCol w:w="1222"/>
      </w:tblGrid>
      <w:tr w:rsidR="00862EF2" w:rsidRPr="00862EF2" w:rsidTr="00862EF2">
        <w:trPr>
          <w:trHeight w:val="290"/>
        </w:trPr>
        <w:tc>
          <w:tcPr>
            <w:tcW w:w="855" w:type="pct"/>
            <w:vMerge w:val="restart"/>
            <w:tcBorders>
              <w:top w:val="single" w:sz="4" w:space="0" w:color="auto"/>
              <w:left w:val="single" w:sz="4" w:space="0" w:color="auto"/>
              <w:bottom w:val="single" w:sz="4" w:space="0" w:color="auto"/>
              <w:right w:val="single" w:sz="4" w:space="0" w:color="auto"/>
            </w:tcBorders>
            <w:shd w:val="clear" w:color="8DB3E2" w:fill="8DB3E2"/>
            <w:vAlign w:val="center"/>
            <w:hideMark/>
          </w:tcPr>
          <w:p w:rsidR="00862EF2" w:rsidRPr="00862EF2" w:rsidRDefault="00862EF2" w:rsidP="00862EF2">
            <w:pPr>
              <w:spacing w:after="0" w:line="240" w:lineRule="auto"/>
              <w:jc w:val="center"/>
              <w:rPr>
                <w:rFonts w:eastAsia="Times New Roman"/>
                <w:b/>
                <w:bCs/>
                <w:sz w:val="20"/>
                <w:szCs w:val="20"/>
              </w:rPr>
            </w:pPr>
            <w:r w:rsidRPr="00862EF2">
              <w:rPr>
                <w:rFonts w:eastAsia="Times New Roman"/>
                <w:b/>
                <w:bCs/>
                <w:sz w:val="20"/>
                <w:szCs w:val="20"/>
              </w:rPr>
              <w:t>Alternativa de solución</w:t>
            </w:r>
          </w:p>
        </w:tc>
        <w:tc>
          <w:tcPr>
            <w:tcW w:w="2683" w:type="pct"/>
            <w:vMerge w:val="restart"/>
            <w:tcBorders>
              <w:top w:val="single" w:sz="4" w:space="0" w:color="auto"/>
              <w:left w:val="single" w:sz="4" w:space="0" w:color="auto"/>
              <w:bottom w:val="single" w:sz="4" w:space="0" w:color="000000"/>
              <w:right w:val="single" w:sz="4" w:space="0" w:color="auto"/>
            </w:tcBorders>
            <w:shd w:val="clear" w:color="8DB3E2" w:fill="8DB3E2"/>
            <w:vAlign w:val="center"/>
            <w:hideMark/>
          </w:tcPr>
          <w:p w:rsidR="00862EF2" w:rsidRPr="00862EF2" w:rsidRDefault="00862EF2" w:rsidP="00862EF2">
            <w:pPr>
              <w:spacing w:after="0" w:line="240" w:lineRule="auto"/>
              <w:jc w:val="center"/>
              <w:rPr>
                <w:rFonts w:eastAsia="Times New Roman"/>
                <w:b/>
                <w:bCs/>
                <w:sz w:val="20"/>
                <w:szCs w:val="20"/>
              </w:rPr>
            </w:pPr>
            <w:r w:rsidRPr="00862EF2">
              <w:rPr>
                <w:rFonts w:eastAsia="Times New Roman"/>
                <w:b/>
                <w:bCs/>
                <w:sz w:val="20"/>
                <w:szCs w:val="20"/>
              </w:rPr>
              <w:t>Detalle</w:t>
            </w:r>
          </w:p>
        </w:tc>
        <w:tc>
          <w:tcPr>
            <w:tcW w:w="754" w:type="pct"/>
            <w:gridSpan w:val="4"/>
            <w:tcBorders>
              <w:top w:val="single" w:sz="4" w:space="0" w:color="auto"/>
              <w:left w:val="nil"/>
              <w:bottom w:val="single" w:sz="4" w:space="0" w:color="auto"/>
              <w:right w:val="single" w:sz="4" w:space="0" w:color="auto"/>
            </w:tcBorders>
            <w:shd w:val="clear" w:color="8DB3E2" w:fill="8DB3E2"/>
            <w:noWrap/>
            <w:vAlign w:val="center"/>
            <w:hideMark/>
          </w:tcPr>
          <w:p w:rsidR="00862EF2" w:rsidRPr="00862EF2" w:rsidRDefault="00862EF2" w:rsidP="00862EF2">
            <w:pPr>
              <w:spacing w:after="0" w:line="240" w:lineRule="auto"/>
              <w:jc w:val="center"/>
              <w:rPr>
                <w:rFonts w:eastAsia="Times New Roman"/>
                <w:b/>
                <w:bCs/>
                <w:sz w:val="20"/>
                <w:szCs w:val="20"/>
                <w:u w:val="single"/>
              </w:rPr>
            </w:pPr>
            <w:r w:rsidRPr="00862EF2">
              <w:rPr>
                <w:rFonts w:eastAsia="Times New Roman"/>
                <w:b/>
                <w:bCs/>
                <w:sz w:val="20"/>
                <w:szCs w:val="20"/>
                <w:u w:val="single"/>
              </w:rPr>
              <w:t>Criterios</w:t>
            </w:r>
          </w:p>
        </w:tc>
        <w:tc>
          <w:tcPr>
            <w:tcW w:w="354" w:type="pct"/>
            <w:vMerge w:val="restart"/>
            <w:tcBorders>
              <w:top w:val="single" w:sz="4" w:space="0" w:color="auto"/>
              <w:left w:val="single" w:sz="4" w:space="0" w:color="auto"/>
              <w:bottom w:val="single" w:sz="4" w:space="0" w:color="auto"/>
              <w:right w:val="single" w:sz="4" w:space="0" w:color="auto"/>
            </w:tcBorders>
            <w:shd w:val="clear" w:color="8DB3E2" w:fill="8DB3E2"/>
            <w:vAlign w:val="center"/>
            <w:hideMark/>
          </w:tcPr>
          <w:p w:rsidR="00862EF2" w:rsidRPr="00862EF2" w:rsidRDefault="00862EF2" w:rsidP="00862EF2">
            <w:pPr>
              <w:spacing w:after="0" w:line="240" w:lineRule="auto"/>
              <w:jc w:val="center"/>
              <w:rPr>
                <w:rFonts w:eastAsia="Times New Roman"/>
                <w:b/>
                <w:bCs/>
                <w:sz w:val="20"/>
                <w:szCs w:val="20"/>
                <w:u w:val="single"/>
              </w:rPr>
            </w:pPr>
            <w:r w:rsidRPr="00862EF2">
              <w:rPr>
                <w:rFonts w:eastAsia="Times New Roman"/>
                <w:b/>
                <w:bCs/>
                <w:sz w:val="20"/>
                <w:szCs w:val="20"/>
                <w:u w:val="single"/>
              </w:rPr>
              <w:t>Puntaje final</w:t>
            </w:r>
          </w:p>
        </w:tc>
        <w:tc>
          <w:tcPr>
            <w:tcW w:w="354" w:type="pct"/>
            <w:vMerge w:val="restart"/>
            <w:tcBorders>
              <w:top w:val="single" w:sz="4" w:space="0" w:color="auto"/>
              <w:left w:val="single" w:sz="4" w:space="0" w:color="auto"/>
              <w:bottom w:val="single" w:sz="4" w:space="0" w:color="auto"/>
              <w:right w:val="single" w:sz="4" w:space="0" w:color="auto"/>
            </w:tcBorders>
            <w:shd w:val="clear" w:color="8DB3E2" w:fill="8DB3E2"/>
            <w:vAlign w:val="center"/>
            <w:hideMark/>
          </w:tcPr>
          <w:p w:rsidR="00862EF2" w:rsidRPr="00862EF2" w:rsidRDefault="00862EF2" w:rsidP="00862EF2">
            <w:pPr>
              <w:spacing w:after="0" w:line="240" w:lineRule="auto"/>
              <w:jc w:val="center"/>
              <w:rPr>
                <w:rFonts w:eastAsia="Times New Roman"/>
                <w:b/>
                <w:bCs/>
                <w:sz w:val="20"/>
                <w:szCs w:val="20"/>
                <w:u w:val="single"/>
              </w:rPr>
            </w:pPr>
            <w:r w:rsidRPr="00862EF2">
              <w:rPr>
                <w:rFonts w:eastAsia="Times New Roman"/>
                <w:b/>
                <w:bCs/>
                <w:sz w:val="20"/>
                <w:szCs w:val="20"/>
                <w:u w:val="single"/>
              </w:rPr>
              <w:t>Seleccionada</w:t>
            </w:r>
          </w:p>
        </w:tc>
      </w:tr>
      <w:tr w:rsidR="00862EF2" w:rsidRPr="00862EF2" w:rsidTr="00862EF2">
        <w:trPr>
          <w:trHeight w:val="2300"/>
        </w:trPr>
        <w:tc>
          <w:tcPr>
            <w:tcW w:w="855" w:type="pct"/>
            <w:vMerge/>
            <w:tcBorders>
              <w:top w:val="single" w:sz="4" w:space="0" w:color="auto"/>
              <w:left w:val="single" w:sz="4" w:space="0" w:color="auto"/>
              <w:bottom w:val="single" w:sz="4" w:space="0" w:color="auto"/>
              <w:right w:val="single" w:sz="4" w:space="0" w:color="auto"/>
            </w:tcBorders>
            <w:vAlign w:val="center"/>
            <w:hideMark/>
          </w:tcPr>
          <w:p w:rsidR="00862EF2" w:rsidRPr="00862EF2" w:rsidRDefault="00862EF2" w:rsidP="00862EF2">
            <w:pPr>
              <w:spacing w:after="0" w:line="240" w:lineRule="auto"/>
              <w:rPr>
                <w:rFonts w:eastAsia="Times New Roman"/>
                <w:b/>
                <w:bCs/>
                <w:sz w:val="20"/>
                <w:szCs w:val="20"/>
              </w:rPr>
            </w:pPr>
          </w:p>
        </w:tc>
        <w:tc>
          <w:tcPr>
            <w:tcW w:w="2683" w:type="pct"/>
            <w:vMerge/>
            <w:tcBorders>
              <w:top w:val="single" w:sz="4" w:space="0" w:color="auto"/>
              <w:left w:val="single" w:sz="4" w:space="0" w:color="auto"/>
              <w:bottom w:val="single" w:sz="4" w:space="0" w:color="000000"/>
              <w:right w:val="single" w:sz="4" w:space="0" w:color="auto"/>
            </w:tcBorders>
            <w:vAlign w:val="center"/>
            <w:hideMark/>
          </w:tcPr>
          <w:p w:rsidR="00862EF2" w:rsidRPr="00862EF2" w:rsidRDefault="00862EF2" w:rsidP="00862EF2">
            <w:pPr>
              <w:spacing w:after="0" w:line="240" w:lineRule="auto"/>
              <w:rPr>
                <w:rFonts w:eastAsia="Times New Roman"/>
                <w:b/>
                <w:bCs/>
                <w:sz w:val="20"/>
                <w:szCs w:val="20"/>
              </w:rPr>
            </w:pPr>
          </w:p>
        </w:tc>
        <w:tc>
          <w:tcPr>
            <w:tcW w:w="191" w:type="pct"/>
            <w:tcBorders>
              <w:top w:val="nil"/>
              <w:left w:val="nil"/>
              <w:bottom w:val="nil"/>
              <w:right w:val="single" w:sz="4" w:space="0" w:color="auto"/>
            </w:tcBorders>
            <w:shd w:val="clear" w:color="8DB3E2" w:fill="8DB3E2"/>
            <w:textDirection w:val="btLr"/>
            <w:vAlign w:val="center"/>
            <w:hideMark/>
          </w:tcPr>
          <w:p w:rsidR="00862EF2" w:rsidRPr="00862EF2" w:rsidRDefault="00862EF2" w:rsidP="00862EF2">
            <w:pPr>
              <w:spacing w:after="0" w:line="240" w:lineRule="auto"/>
              <w:jc w:val="center"/>
              <w:rPr>
                <w:rFonts w:eastAsia="Times New Roman"/>
                <w:b/>
                <w:bCs/>
                <w:sz w:val="18"/>
                <w:szCs w:val="18"/>
              </w:rPr>
            </w:pPr>
            <w:r w:rsidRPr="00862EF2">
              <w:rPr>
                <w:rFonts w:eastAsia="Times New Roman"/>
                <w:b/>
                <w:bCs/>
                <w:sz w:val="18"/>
                <w:szCs w:val="18"/>
              </w:rPr>
              <w:t>Viabilidad política</w:t>
            </w:r>
          </w:p>
        </w:tc>
        <w:tc>
          <w:tcPr>
            <w:tcW w:w="180" w:type="pct"/>
            <w:tcBorders>
              <w:top w:val="nil"/>
              <w:left w:val="nil"/>
              <w:bottom w:val="nil"/>
              <w:right w:val="single" w:sz="4" w:space="0" w:color="auto"/>
            </w:tcBorders>
            <w:shd w:val="clear" w:color="8DB3E2" w:fill="8DB3E2"/>
            <w:textDirection w:val="btLr"/>
            <w:vAlign w:val="center"/>
            <w:hideMark/>
          </w:tcPr>
          <w:p w:rsidR="00862EF2" w:rsidRPr="00862EF2" w:rsidRDefault="00862EF2" w:rsidP="00862EF2">
            <w:pPr>
              <w:spacing w:after="0" w:line="240" w:lineRule="auto"/>
              <w:jc w:val="center"/>
              <w:rPr>
                <w:rFonts w:eastAsia="Times New Roman"/>
                <w:b/>
                <w:bCs/>
                <w:sz w:val="18"/>
                <w:szCs w:val="18"/>
              </w:rPr>
            </w:pPr>
            <w:r w:rsidRPr="00862EF2">
              <w:rPr>
                <w:rFonts w:eastAsia="Times New Roman"/>
                <w:b/>
                <w:bCs/>
                <w:sz w:val="18"/>
                <w:szCs w:val="18"/>
              </w:rPr>
              <w:t>Viabilidad social</w:t>
            </w:r>
          </w:p>
        </w:tc>
        <w:tc>
          <w:tcPr>
            <w:tcW w:w="180" w:type="pct"/>
            <w:tcBorders>
              <w:top w:val="nil"/>
              <w:left w:val="nil"/>
              <w:bottom w:val="nil"/>
              <w:right w:val="single" w:sz="4" w:space="0" w:color="auto"/>
            </w:tcBorders>
            <w:shd w:val="clear" w:color="8DB3E2" w:fill="8DB3E2"/>
            <w:textDirection w:val="btLr"/>
            <w:vAlign w:val="center"/>
            <w:hideMark/>
          </w:tcPr>
          <w:p w:rsidR="00862EF2" w:rsidRPr="00862EF2" w:rsidRDefault="00862EF2" w:rsidP="00862EF2">
            <w:pPr>
              <w:spacing w:after="0" w:line="240" w:lineRule="auto"/>
              <w:jc w:val="center"/>
              <w:rPr>
                <w:rFonts w:eastAsia="Times New Roman"/>
                <w:b/>
                <w:bCs/>
                <w:sz w:val="18"/>
                <w:szCs w:val="18"/>
              </w:rPr>
            </w:pPr>
            <w:r w:rsidRPr="00862EF2">
              <w:rPr>
                <w:rFonts w:eastAsia="Times New Roman"/>
                <w:b/>
                <w:bCs/>
                <w:sz w:val="18"/>
                <w:szCs w:val="18"/>
              </w:rPr>
              <w:t>Viabilidad administrativa</w:t>
            </w:r>
          </w:p>
        </w:tc>
        <w:tc>
          <w:tcPr>
            <w:tcW w:w="202" w:type="pct"/>
            <w:tcBorders>
              <w:top w:val="nil"/>
              <w:left w:val="nil"/>
              <w:bottom w:val="nil"/>
              <w:right w:val="single" w:sz="4" w:space="0" w:color="auto"/>
            </w:tcBorders>
            <w:shd w:val="clear" w:color="8DB3E2" w:fill="8DB3E2"/>
            <w:textDirection w:val="btLr"/>
            <w:vAlign w:val="center"/>
            <w:hideMark/>
          </w:tcPr>
          <w:p w:rsidR="00862EF2" w:rsidRPr="00862EF2" w:rsidRDefault="00862EF2" w:rsidP="00862EF2">
            <w:pPr>
              <w:spacing w:after="0" w:line="240" w:lineRule="auto"/>
              <w:jc w:val="center"/>
              <w:rPr>
                <w:rFonts w:eastAsia="Times New Roman"/>
                <w:b/>
                <w:bCs/>
                <w:sz w:val="18"/>
                <w:szCs w:val="18"/>
              </w:rPr>
            </w:pPr>
            <w:r w:rsidRPr="00862EF2">
              <w:rPr>
                <w:rFonts w:eastAsia="Times New Roman"/>
                <w:b/>
                <w:bCs/>
                <w:sz w:val="18"/>
                <w:szCs w:val="18"/>
              </w:rPr>
              <w:t>Efectividad</w:t>
            </w:r>
          </w:p>
        </w:tc>
        <w:tc>
          <w:tcPr>
            <w:tcW w:w="354" w:type="pct"/>
            <w:vMerge/>
            <w:tcBorders>
              <w:top w:val="single" w:sz="4" w:space="0" w:color="auto"/>
              <w:left w:val="single" w:sz="4" w:space="0" w:color="auto"/>
              <w:bottom w:val="single" w:sz="4" w:space="0" w:color="auto"/>
              <w:right w:val="single" w:sz="4" w:space="0" w:color="auto"/>
            </w:tcBorders>
            <w:vAlign w:val="center"/>
            <w:hideMark/>
          </w:tcPr>
          <w:p w:rsidR="00862EF2" w:rsidRPr="00862EF2" w:rsidRDefault="00862EF2" w:rsidP="00862EF2">
            <w:pPr>
              <w:spacing w:after="0" w:line="240" w:lineRule="auto"/>
              <w:rPr>
                <w:rFonts w:eastAsia="Times New Roman"/>
                <w:b/>
                <w:bCs/>
                <w:sz w:val="20"/>
                <w:szCs w:val="20"/>
                <w:u w:val="single"/>
              </w:rPr>
            </w:pPr>
          </w:p>
        </w:tc>
        <w:tc>
          <w:tcPr>
            <w:tcW w:w="354" w:type="pct"/>
            <w:vMerge/>
            <w:tcBorders>
              <w:top w:val="single" w:sz="4" w:space="0" w:color="auto"/>
              <w:left w:val="single" w:sz="4" w:space="0" w:color="auto"/>
              <w:bottom w:val="single" w:sz="4" w:space="0" w:color="auto"/>
              <w:right w:val="single" w:sz="4" w:space="0" w:color="auto"/>
            </w:tcBorders>
            <w:vAlign w:val="center"/>
            <w:hideMark/>
          </w:tcPr>
          <w:p w:rsidR="00862EF2" w:rsidRPr="00862EF2" w:rsidRDefault="00862EF2" w:rsidP="00862EF2">
            <w:pPr>
              <w:spacing w:after="0" w:line="240" w:lineRule="auto"/>
              <w:rPr>
                <w:rFonts w:eastAsia="Times New Roman"/>
                <w:b/>
                <w:bCs/>
                <w:sz w:val="20"/>
                <w:szCs w:val="20"/>
                <w:u w:val="single"/>
              </w:rPr>
            </w:pPr>
          </w:p>
        </w:tc>
      </w:tr>
      <w:tr w:rsidR="006B0C74" w:rsidRPr="00862EF2" w:rsidTr="006B0C74">
        <w:trPr>
          <w:trHeight w:val="1450"/>
        </w:trPr>
        <w:tc>
          <w:tcPr>
            <w:tcW w:w="855"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rPr>
                <w:rFonts w:eastAsia="Times New Roman"/>
              </w:rPr>
            </w:pPr>
            <w:r w:rsidRPr="00862EF2">
              <w:rPr>
                <w:rFonts w:eastAsia="Times New Roman"/>
              </w:rPr>
              <w:t xml:space="preserve">Optimizar los mecanismos de comunicación de los bienes ilícitos detectados hacia el Sistema de Extinción de Dominio </w:t>
            </w:r>
          </w:p>
        </w:tc>
        <w:tc>
          <w:tcPr>
            <w:tcW w:w="2683" w:type="pct"/>
            <w:tcBorders>
              <w:top w:val="nil"/>
              <w:left w:val="nil"/>
              <w:bottom w:val="single" w:sz="4" w:space="0" w:color="auto"/>
              <w:right w:val="single" w:sz="4" w:space="0" w:color="auto"/>
            </w:tcBorders>
            <w:shd w:val="clear" w:color="auto" w:fill="EAF1DD" w:themeFill="accent3" w:themeFillTint="33"/>
            <w:vAlign w:val="center"/>
            <w:hideMark/>
          </w:tcPr>
          <w:p w:rsidR="006911C2" w:rsidRPr="006911C2" w:rsidRDefault="006911C2" w:rsidP="006911C2">
            <w:pPr>
              <w:jc w:val="both"/>
              <w:rPr>
                <w:rFonts w:eastAsia="Times New Roman"/>
                <w:b/>
                <w:i/>
              </w:rPr>
            </w:pPr>
            <w:r w:rsidRPr="006911C2">
              <w:rPr>
                <w:rFonts w:eastAsia="Times New Roman"/>
                <w:b/>
                <w:i/>
              </w:rPr>
              <w:t>Descripción</w:t>
            </w:r>
          </w:p>
          <w:p w:rsidR="006911C2" w:rsidRDefault="006911C2" w:rsidP="006911C2">
            <w:pPr>
              <w:jc w:val="both"/>
              <w:rPr>
                <w:rFonts w:asciiTheme="majorHAnsi" w:eastAsia="Roboto" w:hAnsiTheme="majorHAnsi" w:cstheme="majorHAnsi"/>
              </w:rPr>
            </w:pPr>
            <w:r w:rsidRPr="006B3CBE">
              <w:rPr>
                <w:rFonts w:asciiTheme="majorHAnsi" w:eastAsia="Roboto" w:hAnsiTheme="majorHAnsi" w:cstheme="majorHAnsi"/>
              </w:rPr>
              <w:t xml:space="preserve">Esta alternativa </w:t>
            </w:r>
            <w:r>
              <w:rPr>
                <w:rFonts w:asciiTheme="majorHAnsi" w:eastAsia="Roboto" w:hAnsiTheme="majorHAnsi" w:cstheme="majorHAnsi"/>
              </w:rPr>
              <w:t xml:space="preserve">comprende la preparación de herramientas que faciliten la comunicación de los bienes ilícitos detectados al Subsistema Fiscal de Extinción de Dominio. Dentro de las herramientas contempladas figuran las guías, manuales, protocolos, así como capacitaciones en dicha materia a los operadores jurídicos. </w:t>
            </w:r>
          </w:p>
          <w:p w:rsidR="006911C2" w:rsidRPr="006911C2" w:rsidRDefault="006911C2" w:rsidP="006911C2">
            <w:pPr>
              <w:jc w:val="both"/>
              <w:rPr>
                <w:rFonts w:asciiTheme="majorHAnsi" w:eastAsia="Roboto" w:hAnsiTheme="majorHAnsi" w:cstheme="majorHAnsi"/>
                <w:b/>
                <w:i/>
              </w:rPr>
            </w:pPr>
            <w:r w:rsidRPr="006911C2">
              <w:rPr>
                <w:rFonts w:asciiTheme="majorHAnsi" w:eastAsia="Roboto" w:hAnsiTheme="majorHAnsi" w:cstheme="majorHAnsi"/>
                <w:b/>
                <w:i/>
              </w:rPr>
              <w:t>Sustento</w:t>
            </w:r>
          </w:p>
          <w:p w:rsidR="006911C2" w:rsidRPr="006B3CBE" w:rsidRDefault="006911C2" w:rsidP="006911C2">
            <w:pPr>
              <w:jc w:val="both"/>
              <w:rPr>
                <w:rFonts w:asciiTheme="majorHAnsi" w:eastAsia="Roboto" w:hAnsiTheme="majorHAnsi" w:cstheme="majorHAnsi"/>
              </w:rPr>
            </w:pPr>
            <w:r>
              <w:rPr>
                <w:rFonts w:asciiTheme="majorHAnsi" w:eastAsia="Roboto" w:hAnsiTheme="majorHAnsi" w:cstheme="majorHAnsi"/>
              </w:rPr>
              <w:t>Como antecedente nacional se pude mencionar que</w:t>
            </w:r>
            <w:r w:rsidRPr="006B3CBE">
              <w:rPr>
                <w:rFonts w:asciiTheme="majorHAnsi" w:eastAsia="Roboto" w:hAnsiTheme="majorHAnsi" w:cstheme="majorHAnsi"/>
              </w:rPr>
              <w:t xml:space="preserve">, en el marco </w:t>
            </w:r>
            <w:r>
              <w:rPr>
                <w:rFonts w:asciiTheme="majorHAnsi" w:eastAsia="Roboto" w:hAnsiTheme="majorHAnsi" w:cstheme="majorHAnsi"/>
              </w:rPr>
              <w:t>d</w:t>
            </w:r>
            <w:r w:rsidRPr="006B3CBE">
              <w:rPr>
                <w:rFonts w:asciiTheme="majorHAnsi" w:eastAsia="Roboto" w:hAnsiTheme="majorHAnsi" w:cstheme="majorHAnsi"/>
              </w:rPr>
              <w:t>el equipo de Trabajo N° 6 Equipo de Trabajo de Extinción de Dominio</w:t>
            </w:r>
            <w:r>
              <w:rPr>
                <w:rFonts w:asciiTheme="majorHAnsi" w:eastAsia="Roboto" w:hAnsiTheme="majorHAnsi" w:cstheme="majorHAnsi"/>
              </w:rPr>
              <w:t xml:space="preserve"> de la CONTRALAFT</w:t>
            </w:r>
            <w:r w:rsidRPr="006B3CBE">
              <w:rPr>
                <w:rFonts w:asciiTheme="majorHAnsi" w:eastAsia="Roboto" w:hAnsiTheme="majorHAnsi" w:cstheme="majorHAnsi"/>
              </w:rPr>
              <w:t xml:space="preserve">, se ha establecido un Plan de Implementación para la elaboración de protocolos que permitan operativizar las funciones de cada una de las instituciones del Estado que son parte del Sistema de Extinción de Dominio. A la fecha se vienen evaluando </w:t>
            </w:r>
            <w:bookmarkStart w:id="26" w:name="_GoBack"/>
            <w:bookmarkEnd w:id="26"/>
            <w:r w:rsidR="00C0089D" w:rsidRPr="00C0089D">
              <w:rPr>
                <w:rFonts w:asciiTheme="majorHAnsi" w:eastAsia="Roboto" w:hAnsiTheme="majorHAnsi" w:cstheme="majorHAnsi"/>
                <w:highlight w:val="yellow"/>
              </w:rPr>
              <w:t xml:space="preserve">alrededor de 10 </w:t>
            </w:r>
            <w:r w:rsidRPr="00C0089D">
              <w:rPr>
                <w:rFonts w:asciiTheme="majorHAnsi" w:eastAsia="Roboto" w:hAnsiTheme="majorHAnsi" w:cstheme="majorHAnsi"/>
                <w:highlight w:val="yellow"/>
              </w:rPr>
              <w:t>protocolos</w:t>
            </w:r>
            <w:r w:rsidRPr="006B3CBE">
              <w:rPr>
                <w:rFonts w:asciiTheme="majorHAnsi" w:eastAsia="Roboto" w:hAnsiTheme="majorHAnsi" w:cstheme="majorHAnsi"/>
              </w:rPr>
              <w:t xml:space="preserve"> los cuales una vez estén consensuados al interior del </w:t>
            </w:r>
            <w:r w:rsidRPr="006B3CBE">
              <w:rPr>
                <w:rFonts w:asciiTheme="majorHAnsi" w:eastAsia="Roboto" w:hAnsiTheme="majorHAnsi" w:cstheme="majorHAnsi"/>
              </w:rPr>
              <w:lastRenderedPageBreak/>
              <w:t>Equipo de Trabajo serán puestos a consideración y aprobación del pleno de la CONTRALAFT.</w:t>
            </w:r>
          </w:p>
          <w:p w:rsidR="006911C2" w:rsidRPr="006911C2" w:rsidRDefault="006911C2" w:rsidP="006911C2">
            <w:pPr>
              <w:jc w:val="both"/>
              <w:rPr>
                <w:rFonts w:asciiTheme="majorHAnsi" w:eastAsia="Roboto" w:hAnsiTheme="majorHAnsi" w:cstheme="majorHAnsi"/>
              </w:rPr>
            </w:pPr>
            <w:r w:rsidRPr="006911C2">
              <w:rPr>
                <w:rFonts w:asciiTheme="majorHAnsi" w:eastAsia="Roboto" w:hAnsiTheme="majorHAnsi" w:cstheme="majorHAnsi"/>
              </w:rPr>
              <w:t>Asimismo, en el Plan de Implementación del Subsistema de Extinción de Dominio del Ministerio Público se establece como una de sus principales estrategias la capacitación y especialización. A la fecha se han llevado a cabo alrededor de 8 capacitaciones a los operadores jurídicos y se vienen recibiendo asistencias técnicas en la materia por parte de la Embajada Británica y del Departamento contra la Delincuencia Organizada Transnacional de la Organización de los Estados Americanos (OEA-DDOT).</w:t>
            </w:r>
          </w:p>
          <w:p w:rsidR="00862EF2" w:rsidRPr="00862EF2" w:rsidRDefault="00862EF2" w:rsidP="00862EF2">
            <w:pPr>
              <w:spacing w:after="0" w:line="240" w:lineRule="auto"/>
              <w:rPr>
                <w:rFonts w:eastAsia="Times New Roman"/>
              </w:rPr>
            </w:pPr>
          </w:p>
        </w:tc>
        <w:tc>
          <w:tcPr>
            <w:tcW w:w="191"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lastRenderedPageBreak/>
              <w:t>4</w:t>
            </w:r>
          </w:p>
        </w:tc>
        <w:tc>
          <w:tcPr>
            <w:tcW w:w="180"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t>3</w:t>
            </w:r>
          </w:p>
        </w:tc>
        <w:tc>
          <w:tcPr>
            <w:tcW w:w="180"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t>3</w:t>
            </w:r>
          </w:p>
        </w:tc>
        <w:tc>
          <w:tcPr>
            <w:tcW w:w="202"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t>4</w:t>
            </w:r>
          </w:p>
        </w:tc>
        <w:tc>
          <w:tcPr>
            <w:tcW w:w="354"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t>14</w:t>
            </w:r>
          </w:p>
        </w:tc>
        <w:tc>
          <w:tcPr>
            <w:tcW w:w="354"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b/>
                <w:bCs/>
              </w:rPr>
            </w:pPr>
            <w:r w:rsidRPr="00862EF2">
              <w:rPr>
                <w:rFonts w:eastAsia="Times New Roman"/>
                <w:b/>
                <w:bCs/>
              </w:rPr>
              <w:t>X</w:t>
            </w:r>
          </w:p>
        </w:tc>
      </w:tr>
      <w:tr w:rsidR="00862EF2" w:rsidRPr="00862EF2" w:rsidTr="00862EF2">
        <w:trPr>
          <w:trHeight w:val="630"/>
        </w:trPr>
        <w:tc>
          <w:tcPr>
            <w:tcW w:w="855" w:type="pct"/>
            <w:tcBorders>
              <w:top w:val="nil"/>
              <w:left w:val="single" w:sz="4" w:space="0" w:color="auto"/>
              <w:bottom w:val="single" w:sz="4" w:space="0" w:color="auto"/>
              <w:right w:val="single" w:sz="4" w:space="0" w:color="auto"/>
            </w:tcBorders>
            <w:shd w:val="clear" w:color="auto" w:fill="auto"/>
            <w:vAlign w:val="center"/>
            <w:hideMark/>
          </w:tcPr>
          <w:p w:rsidR="00F913C4" w:rsidRPr="0068207E" w:rsidRDefault="00F913C4" w:rsidP="00862EF2">
            <w:pPr>
              <w:spacing w:after="0" w:line="240" w:lineRule="auto"/>
              <w:rPr>
                <w:rFonts w:eastAsia="Times New Roman"/>
                <w:highlight w:val="yellow"/>
              </w:rPr>
            </w:pPr>
            <w:r>
              <w:rPr>
                <w:rFonts w:eastAsia="Times New Roman"/>
                <w:highlight w:val="yellow"/>
              </w:rPr>
              <w:lastRenderedPageBreak/>
              <w:t>Fortalecer el marco normativo del Sistema de extinción de dominio</w:t>
            </w:r>
          </w:p>
        </w:tc>
        <w:tc>
          <w:tcPr>
            <w:tcW w:w="2683" w:type="pct"/>
            <w:tcBorders>
              <w:top w:val="nil"/>
              <w:left w:val="nil"/>
              <w:bottom w:val="single" w:sz="4" w:space="0" w:color="auto"/>
              <w:right w:val="single" w:sz="4" w:space="0" w:color="auto"/>
            </w:tcBorders>
            <w:shd w:val="clear" w:color="auto" w:fill="auto"/>
            <w:vAlign w:val="center"/>
            <w:hideMark/>
          </w:tcPr>
          <w:p w:rsidR="00862EF2" w:rsidRPr="0068207E" w:rsidRDefault="00F348B6" w:rsidP="00862EF2">
            <w:pPr>
              <w:spacing w:after="0" w:line="240" w:lineRule="auto"/>
              <w:rPr>
                <w:rFonts w:eastAsia="Times New Roman"/>
                <w:b/>
                <w:i/>
                <w:highlight w:val="yellow"/>
              </w:rPr>
            </w:pPr>
            <w:r w:rsidRPr="0068207E">
              <w:rPr>
                <w:rFonts w:eastAsia="Times New Roman"/>
                <w:b/>
                <w:i/>
                <w:highlight w:val="yellow"/>
              </w:rPr>
              <w:t>Descripción</w:t>
            </w:r>
          </w:p>
          <w:p w:rsidR="00F348B6" w:rsidRPr="0068207E" w:rsidRDefault="00ED653B" w:rsidP="00862EF2">
            <w:pPr>
              <w:spacing w:after="0" w:line="240" w:lineRule="auto"/>
              <w:rPr>
                <w:rFonts w:eastAsia="Times New Roman"/>
                <w:highlight w:val="yellow"/>
              </w:rPr>
            </w:pPr>
            <w:r w:rsidRPr="0068207E">
              <w:rPr>
                <w:rFonts w:eastAsia="Times New Roman"/>
                <w:highlight w:val="yellow"/>
              </w:rPr>
              <w:t xml:space="preserve">Esta alternativa comprende la </w:t>
            </w:r>
            <w:r w:rsidR="00A12179">
              <w:rPr>
                <w:rFonts w:eastAsia="Times New Roman"/>
                <w:highlight w:val="yellow"/>
              </w:rPr>
              <w:t>aprobación de normativa complementaria para el Sistema de Extinción de Dominio, a fin de fortalecerlo.</w:t>
            </w:r>
          </w:p>
          <w:p w:rsidR="00F348B6" w:rsidRPr="0068207E" w:rsidRDefault="00F348B6" w:rsidP="00862EF2">
            <w:pPr>
              <w:spacing w:after="0" w:line="240" w:lineRule="auto"/>
              <w:rPr>
                <w:rFonts w:eastAsia="Times New Roman"/>
                <w:highlight w:val="yellow"/>
              </w:rPr>
            </w:pPr>
          </w:p>
          <w:p w:rsidR="00F348B6" w:rsidRPr="0068207E" w:rsidRDefault="00F348B6" w:rsidP="00862EF2">
            <w:pPr>
              <w:spacing w:after="0" w:line="240" w:lineRule="auto"/>
              <w:rPr>
                <w:rFonts w:eastAsia="Times New Roman"/>
                <w:b/>
                <w:i/>
                <w:highlight w:val="yellow"/>
              </w:rPr>
            </w:pPr>
            <w:r w:rsidRPr="0068207E">
              <w:rPr>
                <w:rFonts w:eastAsia="Times New Roman"/>
                <w:b/>
                <w:i/>
                <w:highlight w:val="yellow"/>
              </w:rPr>
              <w:t>Sustento</w:t>
            </w:r>
          </w:p>
          <w:p w:rsidR="00ED653B" w:rsidRPr="0068207E" w:rsidRDefault="00ED653B" w:rsidP="00ED653B">
            <w:pPr>
              <w:spacing w:after="0" w:line="240" w:lineRule="auto"/>
              <w:jc w:val="both"/>
              <w:rPr>
                <w:rFonts w:asciiTheme="majorHAnsi" w:hAnsiTheme="majorHAnsi" w:cstheme="majorHAnsi"/>
                <w:highlight w:val="yellow"/>
              </w:rPr>
            </w:pPr>
            <w:r w:rsidRPr="0068207E">
              <w:rPr>
                <w:rFonts w:asciiTheme="majorHAnsi" w:hAnsiTheme="majorHAnsi" w:cstheme="majorHAnsi"/>
                <w:highlight w:val="yellow"/>
              </w:rPr>
              <w:t>Como antecedente a nivel nacional se puede mencionar la acción 3.3.1 del Plan Nacional contra el LA/FT 2018-2021, la cual consistía en proponer e impulsar ante</w:t>
            </w:r>
            <w:r w:rsidR="00A12179">
              <w:rPr>
                <w:rFonts w:asciiTheme="majorHAnsi" w:hAnsiTheme="majorHAnsi" w:cstheme="majorHAnsi"/>
                <w:highlight w:val="yellow"/>
              </w:rPr>
              <w:t xml:space="preserve"> el Congreso modificación del Decreto Legislativo</w:t>
            </w:r>
            <w:r w:rsidRPr="0068207E">
              <w:rPr>
                <w:rFonts w:asciiTheme="majorHAnsi" w:hAnsiTheme="majorHAnsi" w:cstheme="majorHAnsi"/>
                <w:highlight w:val="yellow"/>
              </w:rPr>
              <w:t xml:space="preserve"> N° 1104 y su desarrollo reglamentario, para optimizar la aplicación de la pérdida de dominio, así como para mejorar la administración y distribución de los activos incautados, decomisados y los declarados en pérdida de dominio.</w:t>
            </w:r>
            <w:r w:rsidR="00BF7827" w:rsidRPr="0068207E">
              <w:rPr>
                <w:rFonts w:asciiTheme="majorHAnsi" w:hAnsiTheme="majorHAnsi" w:cstheme="majorHAnsi"/>
                <w:highlight w:val="yellow"/>
              </w:rPr>
              <w:t xml:space="preserve"> D</w:t>
            </w:r>
            <w:r w:rsidRPr="0068207E">
              <w:rPr>
                <w:rFonts w:asciiTheme="majorHAnsi" w:hAnsiTheme="majorHAnsi" w:cstheme="majorHAnsi"/>
                <w:highlight w:val="yellow"/>
              </w:rPr>
              <w:t>icha acción se dio por cumplida con la emisión del Decreto Legislativo N° 1373, publicado el 4 de agosto de</w:t>
            </w:r>
            <w:r w:rsidR="00BF7827" w:rsidRPr="0068207E">
              <w:rPr>
                <w:rFonts w:asciiTheme="majorHAnsi" w:hAnsiTheme="majorHAnsi" w:cstheme="majorHAnsi"/>
                <w:highlight w:val="yellow"/>
              </w:rPr>
              <w:t xml:space="preserve"> </w:t>
            </w:r>
            <w:r w:rsidRPr="0068207E">
              <w:rPr>
                <w:rFonts w:asciiTheme="majorHAnsi" w:hAnsiTheme="majorHAnsi" w:cstheme="majorHAnsi"/>
                <w:highlight w:val="yellow"/>
              </w:rPr>
              <w:t>2018, sobre Extinción de Dominio, en el que se establecido la autonomía plena del proceso de la</w:t>
            </w:r>
            <w:r w:rsidR="00BF7827" w:rsidRPr="0068207E">
              <w:rPr>
                <w:rFonts w:asciiTheme="majorHAnsi" w:hAnsiTheme="majorHAnsi" w:cstheme="majorHAnsi"/>
                <w:highlight w:val="yellow"/>
              </w:rPr>
              <w:t xml:space="preserve"> </w:t>
            </w:r>
            <w:r w:rsidRPr="0068207E">
              <w:rPr>
                <w:rFonts w:asciiTheme="majorHAnsi" w:hAnsiTheme="majorHAnsi" w:cstheme="majorHAnsi"/>
                <w:highlight w:val="yellow"/>
              </w:rPr>
              <w:t>extinción de dominio (proceso de naturaleza real) y se dispone la creación de fiscalías y juzgados</w:t>
            </w:r>
            <w:r w:rsidR="00BF7827" w:rsidRPr="0068207E">
              <w:rPr>
                <w:rFonts w:asciiTheme="majorHAnsi" w:hAnsiTheme="majorHAnsi" w:cstheme="majorHAnsi"/>
                <w:highlight w:val="yellow"/>
              </w:rPr>
              <w:t xml:space="preserve"> </w:t>
            </w:r>
            <w:r w:rsidRPr="0068207E">
              <w:rPr>
                <w:rFonts w:asciiTheme="majorHAnsi" w:hAnsiTheme="majorHAnsi" w:cstheme="majorHAnsi"/>
                <w:highlight w:val="yellow"/>
              </w:rPr>
              <w:t>especializados.</w:t>
            </w:r>
          </w:p>
          <w:p w:rsidR="00F348B6" w:rsidRPr="0068207E" w:rsidRDefault="00F348B6" w:rsidP="00BF7827">
            <w:pPr>
              <w:spacing w:after="0" w:line="240" w:lineRule="auto"/>
              <w:jc w:val="both"/>
              <w:rPr>
                <w:rFonts w:eastAsia="Times New Roman"/>
                <w:highlight w:val="yellow"/>
              </w:rPr>
            </w:pPr>
          </w:p>
        </w:tc>
        <w:tc>
          <w:tcPr>
            <w:tcW w:w="191" w:type="pct"/>
            <w:tcBorders>
              <w:top w:val="nil"/>
              <w:left w:val="nil"/>
              <w:bottom w:val="single" w:sz="4" w:space="0" w:color="auto"/>
              <w:right w:val="single" w:sz="4" w:space="0" w:color="auto"/>
            </w:tcBorders>
            <w:shd w:val="clear" w:color="auto" w:fill="auto"/>
            <w:vAlign w:val="center"/>
            <w:hideMark/>
          </w:tcPr>
          <w:p w:rsidR="00862EF2" w:rsidRPr="0068207E" w:rsidRDefault="00862EF2" w:rsidP="00862EF2">
            <w:pPr>
              <w:spacing w:after="0" w:line="240" w:lineRule="auto"/>
              <w:jc w:val="center"/>
              <w:rPr>
                <w:rFonts w:eastAsia="Times New Roman"/>
                <w:highlight w:val="yellow"/>
              </w:rPr>
            </w:pPr>
            <w:r w:rsidRPr="0068207E">
              <w:rPr>
                <w:rFonts w:eastAsia="Times New Roman"/>
                <w:highlight w:val="yellow"/>
              </w:rPr>
              <w:t>2</w:t>
            </w:r>
          </w:p>
        </w:tc>
        <w:tc>
          <w:tcPr>
            <w:tcW w:w="180" w:type="pct"/>
            <w:tcBorders>
              <w:top w:val="nil"/>
              <w:left w:val="nil"/>
              <w:bottom w:val="single" w:sz="4" w:space="0" w:color="auto"/>
              <w:right w:val="single" w:sz="4" w:space="0" w:color="auto"/>
            </w:tcBorders>
            <w:shd w:val="clear" w:color="auto" w:fill="auto"/>
            <w:vAlign w:val="center"/>
            <w:hideMark/>
          </w:tcPr>
          <w:p w:rsidR="00862EF2" w:rsidRPr="0068207E" w:rsidRDefault="00862EF2" w:rsidP="00862EF2">
            <w:pPr>
              <w:spacing w:after="0" w:line="240" w:lineRule="auto"/>
              <w:jc w:val="center"/>
              <w:rPr>
                <w:rFonts w:eastAsia="Times New Roman"/>
                <w:highlight w:val="yellow"/>
              </w:rPr>
            </w:pPr>
            <w:r w:rsidRPr="0068207E">
              <w:rPr>
                <w:rFonts w:eastAsia="Times New Roman"/>
                <w:highlight w:val="yellow"/>
              </w:rPr>
              <w:t>2</w:t>
            </w:r>
          </w:p>
        </w:tc>
        <w:tc>
          <w:tcPr>
            <w:tcW w:w="180" w:type="pct"/>
            <w:tcBorders>
              <w:top w:val="nil"/>
              <w:left w:val="nil"/>
              <w:bottom w:val="single" w:sz="4" w:space="0" w:color="auto"/>
              <w:right w:val="single" w:sz="4" w:space="0" w:color="auto"/>
            </w:tcBorders>
            <w:shd w:val="clear" w:color="auto" w:fill="auto"/>
            <w:vAlign w:val="center"/>
            <w:hideMark/>
          </w:tcPr>
          <w:p w:rsidR="00862EF2" w:rsidRPr="0068207E" w:rsidRDefault="00862EF2" w:rsidP="00862EF2">
            <w:pPr>
              <w:spacing w:after="0" w:line="240" w:lineRule="auto"/>
              <w:jc w:val="center"/>
              <w:rPr>
                <w:rFonts w:eastAsia="Times New Roman"/>
                <w:highlight w:val="yellow"/>
              </w:rPr>
            </w:pPr>
            <w:r w:rsidRPr="0068207E">
              <w:rPr>
                <w:rFonts w:eastAsia="Times New Roman"/>
                <w:highlight w:val="yellow"/>
              </w:rPr>
              <w:t>3</w:t>
            </w:r>
          </w:p>
        </w:tc>
        <w:tc>
          <w:tcPr>
            <w:tcW w:w="202" w:type="pct"/>
            <w:tcBorders>
              <w:top w:val="nil"/>
              <w:left w:val="nil"/>
              <w:bottom w:val="single" w:sz="4" w:space="0" w:color="auto"/>
              <w:right w:val="single" w:sz="4" w:space="0" w:color="auto"/>
            </w:tcBorders>
            <w:shd w:val="clear" w:color="auto" w:fill="auto"/>
            <w:vAlign w:val="center"/>
            <w:hideMark/>
          </w:tcPr>
          <w:p w:rsidR="00862EF2" w:rsidRPr="0068207E" w:rsidRDefault="00862EF2" w:rsidP="00862EF2">
            <w:pPr>
              <w:spacing w:after="0" w:line="240" w:lineRule="auto"/>
              <w:jc w:val="center"/>
              <w:rPr>
                <w:rFonts w:eastAsia="Times New Roman"/>
                <w:highlight w:val="yellow"/>
              </w:rPr>
            </w:pPr>
            <w:r w:rsidRPr="0068207E">
              <w:rPr>
                <w:rFonts w:eastAsia="Times New Roman"/>
                <w:highlight w:val="yellow"/>
              </w:rPr>
              <w:t>2</w:t>
            </w:r>
          </w:p>
        </w:tc>
        <w:tc>
          <w:tcPr>
            <w:tcW w:w="354" w:type="pct"/>
            <w:tcBorders>
              <w:top w:val="nil"/>
              <w:left w:val="nil"/>
              <w:bottom w:val="single" w:sz="4" w:space="0" w:color="auto"/>
              <w:right w:val="single" w:sz="4" w:space="0" w:color="auto"/>
            </w:tcBorders>
            <w:shd w:val="clear" w:color="auto" w:fill="auto"/>
            <w:vAlign w:val="center"/>
            <w:hideMark/>
          </w:tcPr>
          <w:p w:rsidR="00862EF2" w:rsidRPr="0068207E" w:rsidRDefault="00862EF2" w:rsidP="00862EF2">
            <w:pPr>
              <w:spacing w:after="0" w:line="240" w:lineRule="auto"/>
              <w:jc w:val="center"/>
              <w:rPr>
                <w:rFonts w:eastAsia="Times New Roman"/>
                <w:highlight w:val="yellow"/>
              </w:rPr>
            </w:pPr>
            <w:r w:rsidRPr="0068207E">
              <w:rPr>
                <w:rFonts w:eastAsia="Times New Roman"/>
                <w:highlight w:val="yellow"/>
              </w:rPr>
              <w:t>9</w:t>
            </w:r>
          </w:p>
        </w:tc>
        <w:tc>
          <w:tcPr>
            <w:tcW w:w="354" w:type="pct"/>
            <w:tcBorders>
              <w:top w:val="nil"/>
              <w:left w:val="nil"/>
              <w:bottom w:val="single" w:sz="4" w:space="0" w:color="auto"/>
              <w:right w:val="single" w:sz="4" w:space="0" w:color="auto"/>
            </w:tcBorders>
            <w:shd w:val="clear" w:color="auto" w:fill="auto"/>
            <w:vAlign w:val="center"/>
            <w:hideMark/>
          </w:tcPr>
          <w:p w:rsidR="00862EF2" w:rsidRPr="0068207E" w:rsidRDefault="00862EF2" w:rsidP="00862EF2">
            <w:pPr>
              <w:spacing w:after="0" w:line="240" w:lineRule="auto"/>
              <w:jc w:val="center"/>
              <w:rPr>
                <w:rFonts w:eastAsia="Times New Roman"/>
                <w:b/>
                <w:bCs/>
                <w:highlight w:val="yellow"/>
              </w:rPr>
            </w:pPr>
            <w:r w:rsidRPr="0068207E">
              <w:rPr>
                <w:rFonts w:eastAsia="Times New Roman"/>
                <w:b/>
                <w:bCs/>
                <w:highlight w:val="yellow"/>
              </w:rPr>
              <w:t> </w:t>
            </w:r>
          </w:p>
        </w:tc>
      </w:tr>
      <w:tr w:rsidR="006B0C74" w:rsidRPr="00862EF2" w:rsidTr="006B0C74">
        <w:trPr>
          <w:trHeight w:val="870"/>
        </w:trPr>
        <w:tc>
          <w:tcPr>
            <w:tcW w:w="855"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rPr>
                <w:rFonts w:eastAsia="Times New Roman"/>
              </w:rPr>
            </w:pPr>
            <w:r w:rsidRPr="00862EF2">
              <w:rPr>
                <w:rFonts w:eastAsia="Times New Roman"/>
              </w:rPr>
              <w:t xml:space="preserve">Fomentar la interoperabilidad de los sistemas de información </w:t>
            </w:r>
            <w:r w:rsidRPr="00862EF2">
              <w:rPr>
                <w:rFonts w:eastAsia="Times New Roman"/>
              </w:rPr>
              <w:lastRenderedPageBreak/>
              <w:t>referida a LA entre las entidades del Sistema.</w:t>
            </w:r>
          </w:p>
        </w:tc>
        <w:tc>
          <w:tcPr>
            <w:tcW w:w="2683" w:type="pct"/>
            <w:tcBorders>
              <w:top w:val="nil"/>
              <w:left w:val="nil"/>
              <w:bottom w:val="single" w:sz="4" w:space="0" w:color="auto"/>
              <w:right w:val="single" w:sz="4" w:space="0" w:color="auto"/>
            </w:tcBorders>
            <w:shd w:val="clear" w:color="auto" w:fill="EAF1DD" w:themeFill="accent3" w:themeFillTint="33"/>
            <w:vAlign w:val="center"/>
            <w:hideMark/>
          </w:tcPr>
          <w:p w:rsidR="006911C2" w:rsidRPr="006911C2" w:rsidRDefault="006911C2" w:rsidP="006911C2">
            <w:pPr>
              <w:spacing w:before="240"/>
              <w:jc w:val="both"/>
              <w:rPr>
                <w:rFonts w:eastAsia="Times New Roman"/>
                <w:b/>
                <w:i/>
              </w:rPr>
            </w:pPr>
            <w:r w:rsidRPr="006911C2">
              <w:rPr>
                <w:rFonts w:eastAsia="Times New Roman"/>
                <w:b/>
                <w:i/>
              </w:rPr>
              <w:lastRenderedPageBreak/>
              <w:t>Descripción</w:t>
            </w:r>
          </w:p>
          <w:p w:rsidR="006911C2" w:rsidRDefault="006911C2" w:rsidP="006911C2">
            <w:pPr>
              <w:spacing w:before="240"/>
              <w:jc w:val="both"/>
              <w:rPr>
                <w:rFonts w:asciiTheme="majorHAnsi" w:hAnsiTheme="majorHAnsi" w:cstheme="majorHAnsi"/>
              </w:rPr>
            </w:pPr>
            <w:r w:rsidRPr="006B3CBE">
              <w:rPr>
                <w:rFonts w:asciiTheme="majorHAnsi" w:hAnsiTheme="majorHAnsi" w:cstheme="majorHAnsi"/>
              </w:rPr>
              <w:lastRenderedPageBreak/>
              <w:t>Esta alternativa consiste en el desarrollo de proyectos que se orienten a promover la interoperabilidad entre las entidades que participan en la lucha contra el lavado de activos. Ello implica que los sistemas de tecnologías de la información y aplicaciones de software de las organizaciones tengan la capacidad de comunicarse, intercambiar datos y usar la información sin problemas en tiempo real, permitiendo que todos los participantes operen a través de todos los sistemas.</w:t>
            </w:r>
            <w:r>
              <w:rPr>
                <w:rFonts w:asciiTheme="majorHAnsi" w:hAnsiTheme="majorHAnsi" w:cstheme="majorHAnsi"/>
              </w:rPr>
              <w:t xml:space="preserve"> </w:t>
            </w:r>
            <w:r w:rsidRPr="006B3CBE">
              <w:rPr>
                <w:rFonts w:asciiTheme="majorHAnsi" w:hAnsiTheme="majorHAnsi" w:cstheme="majorHAnsi"/>
              </w:rPr>
              <w:t xml:space="preserve">Asimismo, incluye proyectos que busquen implementar el uso de nuevas tecnologías para facilitar la colección de información, procesamiento y análisis para identificar y gestionar los riesgos relacionados al lavado de activos de forma más efectiva y en tiempo real. Por ello, esta alternativa requiere la intervención no sólo de las entidades del Estado, sino también de los sujetos obligados y la sociedad civil.  </w:t>
            </w:r>
          </w:p>
          <w:p w:rsidR="006911C2" w:rsidRPr="006911C2" w:rsidRDefault="006911C2" w:rsidP="006911C2">
            <w:pPr>
              <w:spacing w:before="240"/>
              <w:jc w:val="both"/>
              <w:rPr>
                <w:rFonts w:asciiTheme="majorHAnsi" w:hAnsiTheme="majorHAnsi" w:cstheme="majorHAnsi"/>
                <w:b/>
                <w:i/>
              </w:rPr>
            </w:pPr>
            <w:r w:rsidRPr="006911C2">
              <w:rPr>
                <w:rFonts w:asciiTheme="majorHAnsi" w:hAnsiTheme="majorHAnsi" w:cstheme="majorHAnsi"/>
                <w:b/>
                <w:i/>
              </w:rPr>
              <w:t>Sustento</w:t>
            </w:r>
          </w:p>
          <w:p w:rsidR="006911C2" w:rsidRPr="009026FA" w:rsidRDefault="006911C2" w:rsidP="006911C2">
            <w:pPr>
              <w:spacing w:before="240"/>
              <w:jc w:val="both"/>
              <w:rPr>
                <w:rFonts w:asciiTheme="majorHAnsi" w:hAnsiTheme="majorHAnsi" w:cstheme="majorHAnsi"/>
              </w:rPr>
            </w:pPr>
            <w:r>
              <w:rPr>
                <w:rFonts w:asciiTheme="majorHAnsi" w:hAnsiTheme="majorHAnsi" w:cstheme="majorHAnsi"/>
              </w:rPr>
              <w:t xml:space="preserve">La aplicación de este tipo de proyectos es sugerida por el </w:t>
            </w:r>
            <w:r w:rsidRPr="006B3CBE">
              <w:rPr>
                <w:rFonts w:asciiTheme="majorHAnsi" w:hAnsiTheme="majorHAnsi" w:cstheme="majorHAnsi"/>
              </w:rPr>
              <w:t>GAFI</w:t>
            </w:r>
            <w:r>
              <w:rPr>
                <w:rFonts w:asciiTheme="majorHAnsi" w:hAnsiTheme="majorHAnsi" w:cstheme="majorHAnsi"/>
              </w:rPr>
              <w:t xml:space="preserve"> en un reciente documento de trabajo titulado “</w:t>
            </w:r>
            <w:r w:rsidRPr="009026FA">
              <w:rPr>
                <w:rFonts w:asciiTheme="majorHAnsi" w:hAnsiTheme="majorHAnsi" w:cstheme="majorHAnsi"/>
              </w:rPr>
              <w:t>Oportunidades y desafíos de las nuevas tecnologías para combatir el lavado de dinero y otros delitos financieros</w:t>
            </w:r>
            <w:r>
              <w:rPr>
                <w:rFonts w:asciiTheme="majorHAnsi" w:hAnsiTheme="majorHAnsi" w:cstheme="majorHAnsi"/>
              </w:rPr>
              <w:t xml:space="preserve">”. En dicho documento </w:t>
            </w:r>
            <w:r w:rsidRPr="009026FA">
              <w:rPr>
                <w:rFonts w:asciiTheme="majorHAnsi" w:hAnsiTheme="majorHAnsi" w:cstheme="majorHAnsi"/>
              </w:rPr>
              <w:t>identifica soluciones basadas en tecnología</w:t>
            </w:r>
            <w:r>
              <w:rPr>
                <w:rFonts w:asciiTheme="majorHAnsi" w:hAnsiTheme="majorHAnsi" w:cstheme="majorHAnsi"/>
              </w:rPr>
              <w:t>s</w:t>
            </w:r>
            <w:r w:rsidRPr="009026FA">
              <w:rPr>
                <w:rFonts w:asciiTheme="majorHAnsi" w:hAnsiTheme="majorHAnsi" w:cstheme="majorHAnsi"/>
              </w:rPr>
              <w:t xml:space="preserve"> emergentes y disponibles. El informe destaca las condiciones, políticas y prácticas necesarias que deben existir para utilizar con éxito estas tecnologías a fin de mejorar la eficiencia y la eficacia de ALD/CFT. El informe también examina los obstáculos que podrían surgir para la implementación exitosa de nuevas tecnologías.</w:t>
            </w:r>
          </w:p>
          <w:p w:rsidR="006911C2" w:rsidRDefault="006911C2" w:rsidP="006911C2">
            <w:pPr>
              <w:spacing w:before="240"/>
              <w:jc w:val="both"/>
              <w:rPr>
                <w:rFonts w:asciiTheme="majorHAnsi" w:hAnsiTheme="majorHAnsi" w:cstheme="majorHAnsi"/>
              </w:rPr>
            </w:pPr>
            <w:r w:rsidRPr="009026FA">
              <w:rPr>
                <w:rFonts w:asciiTheme="majorHAnsi" w:hAnsiTheme="majorHAnsi" w:cstheme="majorHAnsi"/>
              </w:rPr>
              <w:t>Las nuevas tecnologías ALD/CFT se refieren a:</w:t>
            </w:r>
            <w:r>
              <w:rPr>
                <w:rFonts w:asciiTheme="majorHAnsi" w:hAnsiTheme="majorHAnsi" w:cstheme="majorHAnsi"/>
              </w:rPr>
              <w:t xml:space="preserve"> 1) </w:t>
            </w:r>
            <w:r w:rsidRPr="009026FA">
              <w:rPr>
                <w:rFonts w:asciiTheme="majorHAnsi" w:hAnsiTheme="majorHAnsi" w:cstheme="majorHAnsi"/>
              </w:rPr>
              <w:t>habilidades, métodos y procesos innovadores que se utilizan para lograr las metas relacionadas con la implementación efectiva de los requisitos de ALD/CFT o</w:t>
            </w:r>
            <w:r>
              <w:rPr>
                <w:rFonts w:asciiTheme="majorHAnsi" w:hAnsiTheme="majorHAnsi" w:cstheme="majorHAnsi"/>
              </w:rPr>
              <w:t xml:space="preserve"> 2) </w:t>
            </w:r>
            <w:r w:rsidRPr="009026FA">
              <w:rPr>
                <w:rFonts w:asciiTheme="majorHAnsi" w:hAnsiTheme="majorHAnsi" w:cstheme="majorHAnsi"/>
              </w:rPr>
              <w:t>formas innovadoras de utilizar procesos basados en tecnología establecidos para cumplir con la obligación ALD / CFT</w:t>
            </w:r>
            <w:r>
              <w:rPr>
                <w:rFonts w:asciiTheme="majorHAnsi" w:hAnsiTheme="majorHAnsi" w:cstheme="majorHAnsi"/>
              </w:rPr>
              <w:t xml:space="preserve">. En dicho informe también se presentan casos de estudios con proyectos </w:t>
            </w:r>
            <w:r>
              <w:rPr>
                <w:rFonts w:asciiTheme="majorHAnsi" w:hAnsiTheme="majorHAnsi" w:cstheme="majorHAnsi"/>
              </w:rPr>
              <w:lastRenderedPageBreak/>
              <w:t xml:space="preserve">o iniciativas implementadas en Brasil, </w:t>
            </w:r>
            <w:r w:rsidRPr="00661619">
              <w:rPr>
                <w:rFonts w:asciiTheme="majorHAnsi" w:hAnsiTheme="majorHAnsi" w:cstheme="majorHAnsi"/>
              </w:rPr>
              <w:t>Hong Kong</w:t>
            </w:r>
            <w:r>
              <w:rPr>
                <w:rFonts w:asciiTheme="majorHAnsi" w:hAnsiTheme="majorHAnsi" w:cstheme="majorHAnsi"/>
              </w:rPr>
              <w:t>, Singapur, Malasia, entre otros. (</w:t>
            </w:r>
            <w:r w:rsidRPr="006911C2">
              <w:rPr>
                <w:rFonts w:asciiTheme="majorHAnsi" w:hAnsiTheme="majorHAnsi" w:cstheme="majorHAnsi"/>
                <w:i/>
              </w:rPr>
              <w:t>Ver cuadro comparativo en sección 2.3</w:t>
            </w:r>
            <w:r>
              <w:rPr>
                <w:rFonts w:asciiTheme="majorHAnsi" w:hAnsiTheme="majorHAnsi" w:cstheme="majorHAnsi"/>
              </w:rPr>
              <w:t>)</w:t>
            </w:r>
          </w:p>
          <w:p w:rsidR="00862EF2" w:rsidRPr="00862EF2" w:rsidRDefault="00862EF2" w:rsidP="00862EF2">
            <w:pPr>
              <w:spacing w:after="0" w:line="240" w:lineRule="auto"/>
              <w:rPr>
                <w:rFonts w:eastAsia="Times New Roman"/>
              </w:rPr>
            </w:pPr>
          </w:p>
        </w:tc>
        <w:tc>
          <w:tcPr>
            <w:tcW w:w="191"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lastRenderedPageBreak/>
              <w:t>4</w:t>
            </w:r>
          </w:p>
        </w:tc>
        <w:tc>
          <w:tcPr>
            <w:tcW w:w="180"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t>4</w:t>
            </w:r>
          </w:p>
        </w:tc>
        <w:tc>
          <w:tcPr>
            <w:tcW w:w="180"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t>3</w:t>
            </w:r>
          </w:p>
        </w:tc>
        <w:tc>
          <w:tcPr>
            <w:tcW w:w="202"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t>4</w:t>
            </w:r>
          </w:p>
        </w:tc>
        <w:tc>
          <w:tcPr>
            <w:tcW w:w="354"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t>15</w:t>
            </w:r>
          </w:p>
        </w:tc>
        <w:tc>
          <w:tcPr>
            <w:tcW w:w="354"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b/>
                <w:bCs/>
              </w:rPr>
            </w:pPr>
            <w:r w:rsidRPr="00862EF2">
              <w:rPr>
                <w:rFonts w:eastAsia="Times New Roman"/>
                <w:b/>
                <w:bCs/>
              </w:rPr>
              <w:t>X</w:t>
            </w:r>
          </w:p>
        </w:tc>
      </w:tr>
      <w:tr w:rsidR="006B0C74" w:rsidRPr="00862EF2" w:rsidTr="006B0C74">
        <w:trPr>
          <w:trHeight w:val="1160"/>
        </w:trPr>
        <w:tc>
          <w:tcPr>
            <w:tcW w:w="855"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rPr>
                <w:rFonts w:eastAsia="Times New Roman"/>
              </w:rPr>
            </w:pPr>
            <w:r w:rsidRPr="00862EF2">
              <w:rPr>
                <w:rFonts w:eastAsia="Times New Roman"/>
              </w:rPr>
              <w:lastRenderedPageBreak/>
              <w:t>Diseñar e implementar sistemas de información para mejorar la comprensión del LA</w:t>
            </w:r>
          </w:p>
        </w:tc>
        <w:tc>
          <w:tcPr>
            <w:tcW w:w="2683" w:type="pct"/>
            <w:tcBorders>
              <w:top w:val="nil"/>
              <w:left w:val="nil"/>
              <w:bottom w:val="single" w:sz="4" w:space="0" w:color="auto"/>
              <w:right w:val="single" w:sz="4" w:space="0" w:color="auto"/>
            </w:tcBorders>
            <w:shd w:val="clear" w:color="auto" w:fill="EAF1DD" w:themeFill="accent3" w:themeFillTint="33"/>
            <w:vAlign w:val="center"/>
            <w:hideMark/>
          </w:tcPr>
          <w:p w:rsidR="006911C2" w:rsidRPr="006911C2" w:rsidRDefault="006911C2" w:rsidP="006911C2">
            <w:pPr>
              <w:spacing w:before="120" w:after="120" w:line="240" w:lineRule="auto"/>
              <w:jc w:val="both"/>
              <w:rPr>
                <w:rFonts w:eastAsia="Times New Roman"/>
                <w:b/>
                <w:i/>
              </w:rPr>
            </w:pPr>
            <w:r w:rsidRPr="006911C2">
              <w:rPr>
                <w:rFonts w:eastAsia="Times New Roman"/>
                <w:b/>
                <w:i/>
              </w:rPr>
              <w:t>Descripción</w:t>
            </w:r>
          </w:p>
          <w:p w:rsidR="006911C2" w:rsidRDefault="006911C2" w:rsidP="006911C2">
            <w:pPr>
              <w:spacing w:before="120" w:after="120" w:line="240" w:lineRule="auto"/>
              <w:jc w:val="both"/>
              <w:rPr>
                <w:rFonts w:asciiTheme="majorHAnsi" w:hAnsiTheme="majorHAnsi" w:cstheme="majorHAnsi"/>
              </w:rPr>
            </w:pPr>
            <w:r>
              <w:rPr>
                <w:rFonts w:asciiTheme="majorHAnsi" w:hAnsiTheme="majorHAnsi" w:cstheme="majorHAnsi"/>
              </w:rPr>
              <w:t xml:space="preserve">Esta alternativa consiste en el desarrollo de herramientas que provean información que facilite la comprensión del fenómeno de lavado de activos a la ciudadanía en general. </w:t>
            </w:r>
          </w:p>
          <w:p w:rsidR="006911C2" w:rsidRPr="006911C2" w:rsidRDefault="006911C2" w:rsidP="006911C2">
            <w:pPr>
              <w:spacing w:before="120" w:after="120" w:line="240" w:lineRule="auto"/>
              <w:jc w:val="both"/>
              <w:rPr>
                <w:rFonts w:asciiTheme="majorHAnsi" w:hAnsiTheme="majorHAnsi" w:cstheme="majorHAnsi"/>
                <w:b/>
                <w:i/>
              </w:rPr>
            </w:pPr>
            <w:r w:rsidRPr="006911C2">
              <w:rPr>
                <w:rFonts w:asciiTheme="majorHAnsi" w:hAnsiTheme="majorHAnsi" w:cstheme="majorHAnsi"/>
                <w:b/>
                <w:i/>
              </w:rPr>
              <w:t>Sustento</w:t>
            </w:r>
          </w:p>
          <w:p w:rsidR="006911C2" w:rsidRDefault="006911C2" w:rsidP="006911C2">
            <w:pPr>
              <w:spacing w:before="120" w:after="120" w:line="240" w:lineRule="auto"/>
              <w:jc w:val="both"/>
              <w:rPr>
                <w:rFonts w:asciiTheme="majorHAnsi" w:hAnsiTheme="majorHAnsi" w:cstheme="majorHAnsi"/>
              </w:rPr>
            </w:pPr>
            <w:r>
              <w:rPr>
                <w:rFonts w:asciiTheme="majorHAnsi" w:hAnsiTheme="majorHAnsi" w:cstheme="majorHAnsi"/>
              </w:rPr>
              <w:t xml:space="preserve">Dicha alternativa se enmarca en la recomendación N° 33 del GAFI, en la que se especifica que los países deben mantener estadísticas actualizadas sobre los asuntos relacionados </w:t>
            </w:r>
            <w:r w:rsidRPr="006B3CBE">
              <w:rPr>
                <w:rFonts w:asciiTheme="majorHAnsi" w:hAnsiTheme="majorHAnsi" w:cstheme="majorHAnsi"/>
              </w:rPr>
              <w:t>a la eficiencia y eficacia de sus sistemas antilavado de activos y contra el financiamiento del terrorismo</w:t>
            </w:r>
            <w:r>
              <w:rPr>
                <w:rFonts w:asciiTheme="majorHAnsi" w:hAnsiTheme="majorHAnsi" w:cstheme="majorHAnsi"/>
              </w:rPr>
              <w:t>.</w:t>
            </w:r>
          </w:p>
          <w:p w:rsidR="006911C2" w:rsidRDefault="006911C2" w:rsidP="006911C2">
            <w:pPr>
              <w:spacing w:before="120" w:after="120" w:line="240" w:lineRule="auto"/>
              <w:jc w:val="both"/>
              <w:rPr>
                <w:rFonts w:asciiTheme="majorHAnsi" w:hAnsiTheme="majorHAnsi" w:cstheme="majorHAnsi"/>
              </w:rPr>
            </w:pPr>
            <w:r>
              <w:rPr>
                <w:rFonts w:asciiTheme="majorHAnsi" w:hAnsiTheme="majorHAnsi" w:cstheme="majorHAnsi"/>
              </w:rPr>
              <w:t>Se identificaron experiencias a nivel regional, en el caso de Chile y Bolivia (</w:t>
            </w:r>
            <w:r w:rsidRPr="006911C2">
              <w:rPr>
                <w:rFonts w:asciiTheme="majorHAnsi" w:hAnsiTheme="majorHAnsi" w:cstheme="majorHAnsi"/>
                <w:i/>
              </w:rPr>
              <w:t>Ver cuadro comparativo en sección 2.3</w:t>
            </w:r>
            <w:r>
              <w:rPr>
                <w:rFonts w:asciiTheme="majorHAnsi" w:hAnsiTheme="majorHAnsi" w:cstheme="majorHAnsi"/>
              </w:rPr>
              <w:t>).</w:t>
            </w:r>
          </w:p>
          <w:p w:rsidR="006911C2" w:rsidRPr="006B3CBE" w:rsidRDefault="006911C2" w:rsidP="006911C2">
            <w:pPr>
              <w:spacing w:before="120" w:after="120" w:line="240" w:lineRule="auto"/>
              <w:jc w:val="both"/>
              <w:rPr>
                <w:rFonts w:asciiTheme="majorHAnsi" w:hAnsiTheme="majorHAnsi" w:cstheme="majorHAnsi"/>
              </w:rPr>
            </w:pPr>
            <w:r w:rsidRPr="006B3CBE">
              <w:rPr>
                <w:rFonts w:asciiTheme="majorHAnsi" w:hAnsiTheme="majorHAnsi" w:cstheme="majorHAnsi"/>
              </w:rPr>
              <w:t>Como antecedente</w:t>
            </w:r>
            <w:r>
              <w:rPr>
                <w:rFonts w:asciiTheme="majorHAnsi" w:hAnsiTheme="majorHAnsi" w:cstheme="majorHAnsi"/>
              </w:rPr>
              <w:t xml:space="preserve"> a nivel nacional</w:t>
            </w:r>
            <w:r w:rsidRPr="006B3CBE">
              <w:rPr>
                <w:rFonts w:asciiTheme="majorHAnsi" w:hAnsiTheme="majorHAnsi" w:cstheme="majorHAnsi"/>
              </w:rPr>
              <w:t xml:space="preserve"> se puede mencionar la acción 4.4.3 del Plan Nacional contra el LA/FT 2018-2021, </w:t>
            </w:r>
            <w:r>
              <w:rPr>
                <w:rFonts w:asciiTheme="majorHAnsi" w:hAnsiTheme="majorHAnsi" w:cstheme="majorHAnsi"/>
              </w:rPr>
              <w:t>el</w:t>
            </w:r>
            <w:r w:rsidRPr="006B3CBE">
              <w:rPr>
                <w:rFonts w:asciiTheme="majorHAnsi" w:hAnsiTheme="majorHAnsi" w:cstheme="majorHAnsi"/>
              </w:rPr>
              <w:t xml:space="preserve"> cual consistía en implementar y poner en funcionamiento el Módulo de Información Estadística sobre Lavado de Activos y Financiamiento del Terrorismo en la plataforma del Sistema Integrado de Estadística de la Criminalidad y Seguridad Ciudadana del Instituto Nacional de Estadística e Informática. Esta iniciativa involucró a diversas instituciones como el INEI, la UIF, el Ministerio Público, la PNP y el Poder Judicial. El objetivo fue ayudar a las instituciones proveedoras de la información a establecer sistemas automatizados al interior de sus instituciones que permitan recopilar la información estadística y el envío de dicha información al INEI. </w:t>
            </w:r>
          </w:p>
          <w:p w:rsidR="00862EF2" w:rsidRPr="00862EF2" w:rsidRDefault="00862EF2" w:rsidP="00862EF2">
            <w:pPr>
              <w:spacing w:after="0" w:line="240" w:lineRule="auto"/>
              <w:rPr>
                <w:rFonts w:eastAsia="Times New Roman"/>
              </w:rPr>
            </w:pPr>
          </w:p>
        </w:tc>
        <w:tc>
          <w:tcPr>
            <w:tcW w:w="191"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t>5</w:t>
            </w:r>
          </w:p>
        </w:tc>
        <w:tc>
          <w:tcPr>
            <w:tcW w:w="180"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t>4</w:t>
            </w:r>
          </w:p>
        </w:tc>
        <w:tc>
          <w:tcPr>
            <w:tcW w:w="180"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t>4</w:t>
            </w:r>
          </w:p>
        </w:tc>
        <w:tc>
          <w:tcPr>
            <w:tcW w:w="202"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t>4</w:t>
            </w:r>
          </w:p>
        </w:tc>
        <w:tc>
          <w:tcPr>
            <w:tcW w:w="354"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t>17</w:t>
            </w:r>
          </w:p>
        </w:tc>
        <w:tc>
          <w:tcPr>
            <w:tcW w:w="354"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b/>
                <w:bCs/>
              </w:rPr>
            </w:pPr>
            <w:r w:rsidRPr="00862EF2">
              <w:rPr>
                <w:rFonts w:eastAsia="Times New Roman"/>
                <w:b/>
                <w:bCs/>
              </w:rPr>
              <w:t>X</w:t>
            </w:r>
          </w:p>
        </w:tc>
      </w:tr>
      <w:tr w:rsidR="00862EF2" w:rsidRPr="00862EF2" w:rsidTr="00862EF2">
        <w:trPr>
          <w:trHeight w:val="1160"/>
        </w:trPr>
        <w:tc>
          <w:tcPr>
            <w:tcW w:w="855" w:type="pct"/>
            <w:tcBorders>
              <w:top w:val="nil"/>
              <w:left w:val="single" w:sz="4" w:space="0" w:color="auto"/>
              <w:bottom w:val="single" w:sz="4" w:space="0" w:color="auto"/>
              <w:right w:val="single" w:sz="4" w:space="0" w:color="auto"/>
            </w:tcBorders>
            <w:shd w:val="clear" w:color="auto" w:fill="auto"/>
            <w:vAlign w:val="center"/>
            <w:hideMark/>
          </w:tcPr>
          <w:p w:rsidR="00862EF2" w:rsidRPr="0068207E" w:rsidRDefault="00862EF2" w:rsidP="00862EF2">
            <w:pPr>
              <w:spacing w:after="0" w:line="240" w:lineRule="auto"/>
              <w:rPr>
                <w:rFonts w:eastAsia="Times New Roman"/>
                <w:highlight w:val="yellow"/>
              </w:rPr>
            </w:pPr>
            <w:r w:rsidRPr="0068207E">
              <w:rPr>
                <w:rFonts w:eastAsia="Times New Roman"/>
                <w:highlight w:val="yellow"/>
              </w:rPr>
              <w:lastRenderedPageBreak/>
              <w:t>Fomentar los mecanismos de denuncia de LA en la ciudadanía</w:t>
            </w:r>
          </w:p>
        </w:tc>
        <w:tc>
          <w:tcPr>
            <w:tcW w:w="2683" w:type="pct"/>
            <w:tcBorders>
              <w:top w:val="nil"/>
              <w:left w:val="nil"/>
              <w:bottom w:val="single" w:sz="4" w:space="0" w:color="auto"/>
              <w:right w:val="single" w:sz="4" w:space="0" w:color="auto"/>
            </w:tcBorders>
            <w:shd w:val="clear" w:color="auto" w:fill="auto"/>
            <w:vAlign w:val="center"/>
            <w:hideMark/>
          </w:tcPr>
          <w:p w:rsidR="00862EF2" w:rsidRPr="0068207E" w:rsidRDefault="00BF7827" w:rsidP="00862EF2">
            <w:pPr>
              <w:spacing w:after="0" w:line="240" w:lineRule="auto"/>
              <w:rPr>
                <w:rFonts w:eastAsia="Times New Roman"/>
                <w:b/>
                <w:i/>
                <w:highlight w:val="yellow"/>
              </w:rPr>
            </w:pPr>
            <w:r w:rsidRPr="0068207E">
              <w:rPr>
                <w:rFonts w:eastAsia="Times New Roman"/>
                <w:b/>
                <w:i/>
                <w:highlight w:val="yellow"/>
              </w:rPr>
              <w:t>Descripción</w:t>
            </w:r>
          </w:p>
          <w:p w:rsidR="00BF7827" w:rsidRPr="0068207E" w:rsidRDefault="00D14164" w:rsidP="008A1010">
            <w:pPr>
              <w:spacing w:after="0" w:line="240" w:lineRule="auto"/>
              <w:jc w:val="both"/>
              <w:rPr>
                <w:rFonts w:eastAsia="Times New Roman"/>
                <w:highlight w:val="yellow"/>
              </w:rPr>
            </w:pPr>
            <w:r w:rsidRPr="0068207E">
              <w:rPr>
                <w:rFonts w:eastAsia="Times New Roman"/>
                <w:highlight w:val="yellow"/>
              </w:rPr>
              <w:t xml:space="preserve">Esta alternativa busca fomentar los mecanismos de denuncia de LA por parte de la ciudadanía, mediante </w:t>
            </w:r>
            <w:r w:rsidR="00A12179">
              <w:rPr>
                <w:rFonts w:eastAsia="Times New Roman"/>
                <w:highlight w:val="yellow"/>
              </w:rPr>
              <w:t xml:space="preserve">el impulso </w:t>
            </w:r>
            <w:r w:rsidRPr="0068207E">
              <w:rPr>
                <w:rFonts w:eastAsia="Times New Roman"/>
                <w:highlight w:val="yellow"/>
              </w:rPr>
              <w:t xml:space="preserve">de actividades de difusión y capacitación ciudadana, así como la habilitación de nuevos canales de denuncia. </w:t>
            </w:r>
          </w:p>
          <w:p w:rsidR="00D14164" w:rsidRPr="0068207E" w:rsidRDefault="00D14164" w:rsidP="00862EF2">
            <w:pPr>
              <w:spacing w:after="0" w:line="240" w:lineRule="auto"/>
              <w:rPr>
                <w:rFonts w:eastAsia="Times New Roman"/>
                <w:highlight w:val="yellow"/>
              </w:rPr>
            </w:pPr>
          </w:p>
          <w:p w:rsidR="00BF7827" w:rsidRPr="0068207E" w:rsidRDefault="00BF7827" w:rsidP="00862EF2">
            <w:pPr>
              <w:spacing w:after="0" w:line="240" w:lineRule="auto"/>
              <w:rPr>
                <w:rFonts w:eastAsia="Times New Roman"/>
                <w:b/>
                <w:i/>
                <w:highlight w:val="yellow"/>
              </w:rPr>
            </w:pPr>
            <w:r w:rsidRPr="0068207E">
              <w:rPr>
                <w:rFonts w:eastAsia="Times New Roman"/>
                <w:b/>
                <w:i/>
                <w:highlight w:val="yellow"/>
              </w:rPr>
              <w:t>Sustento</w:t>
            </w:r>
          </w:p>
          <w:p w:rsidR="004C5737" w:rsidRPr="0068207E" w:rsidRDefault="004C5737" w:rsidP="00862EF2">
            <w:pPr>
              <w:spacing w:after="0" w:line="240" w:lineRule="auto"/>
              <w:rPr>
                <w:rFonts w:eastAsia="Times New Roman"/>
                <w:b/>
                <w:i/>
                <w:highlight w:val="yellow"/>
              </w:rPr>
            </w:pPr>
          </w:p>
          <w:p w:rsidR="004C5737" w:rsidRPr="0068207E" w:rsidRDefault="004C5737" w:rsidP="004C5737">
            <w:pPr>
              <w:spacing w:after="0" w:line="240" w:lineRule="auto"/>
              <w:jc w:val="both"/>
              <w:rPr>
                <w:rFonts w:asciiTheme="majorHAnsi" w:hAnsiTheme="majorHAnsi" w:cstheme="majorHAnsi"/>
                <w:highlight w:val="yellow"/>
              </w:rPr>
            </w:pPr>
            <w:r w:rsidRPr="0068207E">
              <w:rPr>
                <w:rFonts w:asciiTheme="majorHAnsi" w:hAnsiTheme="majorHAnsi" w:cstheme="majorHAnsi"/>
                <w:highlight w:val="yellow"/>
              </w:rPr>
              <w:t>Como antecedente a nivel nacional se puede mencionar la acción 4.3.3 del Plan Nacional contra el LA/FT 2018-2021, la cual consistía en difundir entre la población los canales de denuncia ya implementados a los que puede acudir para poner en conocimiento de las autoridades posibles actos vinculados al LA/FT.</w:t>
            </w:r>
          </w:p>
          <w:p w:rsidR="001A20EC" w:rsidRPr="0068207E" w:rsidRDefault="001A20EC" w:rsidP="004C5737">
            <w:pPr>
              <w:spacing w:after="0" w:line="240" w:lineRule="auto"/>
              <w:jc w:val="both"/>
              <w:rPr>
                <w:rFonts w:asciiTheme="majorHAnsi" w:hAnsiTheme="majorHAnsi" w:cstheme="majorHAnsi"/>
                <w:highlight w:val="yellow"/>
              </w:rPr>
            </w:pPr>
          </w:p>
          <w:p w:rsidR="001A20EC" w:rsidRPr="0068207E" w:rsidRDefault="001A20EC" w:rsidP="004C5737">
            <w:pPr>
              <w:spacing w:after="0" w:line="240" w:lineRule="auto"/>
              <w:jc w:val="both"/>
              <w:rPr>
                <w:rFonts w:eastAsia="Times New Roman"/>
                <w:b/>
                <w:i/>
                <w:highlight w:val="yellow"/>
              </w:rPr>
            </w:pPr>
            <w:r w:rsidRPr="0068207E">
              <w:rPr>
                <w:rFonts w:asciiTheme="majorHAnsi" w:hAnsiTheme="majorHAnsi" w:cstheme="majorHAnsi"/>
                <w:highlight w:val="yellow"/>
              </w:rPr>
              <w:t xml:space="preserve">En este marco, desde entidades como el Ministerio Público (elaboración y difusión de la </w:t>
            </w:r>
            <w:r w:rsidRPr="0068207E">
              <w:rPr>
                <w:highlight w:val="yellow"/>
              </w:rPr>
              <w:t>Guía del Denunciante</w:t>
            </w:r>
            <w:r w:rsidRPr="0068207E">
              <w:rPr>
                <w:rFonts w:asciiTheme="majorHAnsi" w:hAnsiTheme="majorHAnsi" w:cstheme="majorHAnsi"/>
                <w:highlight w:val="yellow"/>
              </w:rPr>
              <w:t>) o la Policía Nacional del Perú (</w:t>
            </w:r>
            <w:r w:rsidRPr="0068207E">
              <w:rPr>
                <w:highlight w:val="yellow"/>
              </w:rPr>
              <w:t>sistema de denuncias virtuales</w:t>
            </w:r>
            <w:r w:rsidRPr="0068207E">
              <w:rPr>
                <w:rFonts w:asciiTheme="majorHAnsi" w:hAnsiTheme="majorHAnsi" w:cstheme="majorHAnsi"/>
                <w:highlight w:val="yellow"/>
              </w:rPr>
              <w:t>) se han fomentado campañas para promover la denuncia ciudadana</w:t>
            </w:r>
            <w:r w:rsidR="00A12179">
              <w:rPr>
                <w:rFonts w:asciiTheme="majorHAnsi" w:hAnsiTheme="majorHAnsi" w:cstheme="majorHAnsi"/>
                <w:highlight w:val="yellow"/>
              </w:rPr>
              <w:t xml:space="preserve"> (0800, redes sociales, páginas web, entre otros)</w:t>
            </w:r>
            <w:r w:rsidRPr="0068207E">
              <w:rPr>
                <w:rFonts w:asciiTheme="majorHAnsi" w:hAnsiTheme="majorHAnsi" w:cstheme="majorHAnsi"/>
                <w:highlight w:val="yellow"/>
              </w:rPr>
              <w:t xml:space="preserve">. </w:t>
            </w:r>
          </w:p>
          <w:p w:rsidR="004C5737" w:rsidRPr="0068207E" w:rsidRDefault="004C5737" w:rsidP="00862EF2">
            <w:pPr>
              <w:spacing w:after="0" w:line="240" w:lineRule="auto"/>
              <w:rPr>
                <w:rFonts w:eastAsia="Times New Roman"/>
                <w:b/>
                <w:i/>
                <w:highlight w:val="yellow"/>
              </w:rPr>
            </w:pPr>
          </w:p>
        </w:tc>
        <w:tc>
          <w:tcPr>
            <w:tcW w:w="191" w:type="pct"/>
            <w:tcBorders>
              <w:top w:val="nil"/>
              <w:left w:val="nil"/>
              <w:bottom w:val="single" w:sz="4" w:space="0" w:color="auto"/>
              <w:right w:val="single" w:sz="4" w:space="0" w:color="auto"/>
            </w:tcBorders>
            <w:shd w:val="clear" w:color="auto" w:fill="auto"/>
            <w:vAlign w:val="center"/>
            <w:hideMark/>
          </w:tcPr>
          <w:p w:rsidR="00862EF2" w:rsidRPr="0068207E" w:rsidRDefault="00862EF2" w:rsidP="00862EF2">
            <w:pPr>
              <w:spacing w:after="0" w:line="240" w:lineRule="auto"/>
              <w:jc w:val="center"/>
              <w:rPr>
                <w:rFonts w:eastAsia="Times New Roman"/>
                <w:highlight w:val="yellow"/>
              </w:rPr>
            </w:pPr>
            <w:r w:rsidRPr="0068207E">
              <w:rPr>
                <w:rFonts w:eastAsia="Times New Roman"/>
                <w:highlight w:val="yellow"/>
              </w:rPr>
              <w:t>3</w:t>
            </w:r>
          </w:p>
        </w:tc>
        <w:tc>
          <w:tcPr>
            <w:tcW w:w="180" w:type="pct"/>
            <w:tcBorders>
              <w:top w:val="nil"/>
              <w:left w:val="nil"/>
              <w:bottom w:val="single" w:sz="4" w:space="0" w:color="auto"/>
              <w:right w:val="single" w:sz="4" w:space="0" w:color="auto"/>
            </w:tcBorders>
            <w:shd w:val="clear" w:color="auto" w:fill="auto"/>
            <w:vAlign w:val="center"/>
            <w:hideMark/>
          </w:tcPr>
          <w:p w:rsidR="00862EF2" w:rsidRPr="0068207E" w:rsidRDefault="00862EF2" w:rsidP="00862EF2">
            <w:pPr>
              <w:spacing w:after="0" w:line="240" w:lineRule="auto"/>
              <w:jc w:val="center"/>
              <w:rPr>
                <w:rFonts w:eastAsia="Times New Roman"/>
                <w:highlight w:val="yellow"/>
              </w:rPr>
            </w:pPr>
            <w:r w:rsidRPr="0068207E">
              <w:rPr>
                <w:rFonts w:eastAsia="Times New Roman"/>
                <w:highlight w:val="yellow"/>
              </w:rPr>
              <w:t>2</w:t>
            </w:r>
          </w:p>
        </w:tc>
        <w:tc>
          <w:tcPr>
            <w:tcW w:w="180" w:type="pct"/>
            <w:tcBorders>
              <w:top w:val="nil"/>
              <w:left w:val="nil"/>
              <w:bottom w:val="single" w:sz="4" w:space="0" w:color="auto"/>
              <w:right w:val="single" w:sz="4" w:space="0" w:color="auto"/>
            </w:tcBorders>
            <w:shd w:val="clear" w:color="auto" w:fill="auto"/>
            <w:vAlign w:val="center"/>
            <w:hideMark/>
          </w:tcPr>
          <w:p w:rsidR="00862EF2" w:rsidRPr="0068207E" w:rsidRDefault="00862EF2" w:rsidP="00862EF2">
            <w:pPr>
              <w:spacing w:after="0" w:line="240" w:lineRule="auto"/>
              <w:jc w:val="center"/>
              <w:rPr>
                <w:rFonts w:eastAsia="Times New Roman"/>
                <w:highlight w:val="yellow"/>
              </w:rPr>
            </w:pPr>
            <w:r w:rsidRPr="0068207E">
              <w:rPr>
                <w:rFonts w:eastAsia="Times New Roman"/>
                <w:highlight w:val="yellow"/>
              </w:rPr>
              <w:t>3</w:t>
            </w:r>
          </w:p>
        </w:tc>
        <w:tc>
          <w:tcPr>
            <w:tcW w:w="202" w:type="pct"/>
            <w:tcBorders>
              <w:top w:val="nil"/>
              <w:left w:val="nil"/>
              <w:bottom w:val="single" w:sz="4" w:space="0" w:color="auto"/>
              <w:right w:val="single" w:sz="4" w:space="0" w:color="auto"/>
            </w:tcBorders>
            <w:shd w:val="clear" w:color="auto" w:fill="auto"/>
            <w:vAlign w:val="center"/>
            <w:hideMark/>
          </w:tcPr>
          <w:p w:rsidR="00862EF2" w:rsidRPr="0068207E" w:rsidRDefault="00862EF2" w:rsidP="00862EF2">
            <w:pPr>
              <w:spacing w:after="0" w:line="240" w:lineRule="auto"/>
              <w:jc w:val="center"/>
              <w:rPr>
                <w:rFonts w:eastAsia="Times New Roman"/>
                <w:highlight w:val="yellow"/>
              </w:rPr>
            </w:pPr>
            <w:r w:rsidRPr="0068207E">
              <w:rPr>
                <w:rFonts w:eastAsia="Times New Roman"/>
                <w:highlight w:val="yellow"/>
              </w:rPr>
              <w:t>2</w:t>
            </w:r>
          </w:p>
        </w:tc>
        <w:tc>
          <w:tcPr>
            <w:tcW w:w="354" w:type="pct"/>
            <w:tcBorders>
              <w:top w:val="nil"/>
              <w:left w:val="nil"/>
              <w:bottom w:val="single" w:sz="4" w:space="0" w:color="auto"/>
              <w:right w:val="single" w:sz="4" w:space="0" w:color="auto"/>
            </w:tcBorders>
            <w:shd w:val="clear" w:color="auto" w:fill="auto"/>
            <w:vAlign w:val="center"/>
            <w:hideMark/>
          </w:tcPr>
          <w:p w:rsidR="00862EF2" w:rsidRPr="0068207E" w:rsidRDefault="00862EF2" w:rsidP="00862EF2">
            <w:pPr>
              <w:spacing w:after="0" w:line="240" w:lineRule="auto"/>
              <w:jc w:val="center"/>
              <w:rPr>
                <w:rFonts w:eastAsia="Times New Roman"/>
                <w:highlight w:val="yellow"/>
              </w:rPr>
            </w:pPr>
            <w:r w:rsidRPr="0068207E">
              <w:rPr>
                <w:rFonts w:eastAsia="Times New Roman"/>
                <w:highlight w:val="yellow"/>
              </w:rPr>
              <w:t>10</w:t>
            </w:r>
          </w:p>
        </w:tc>
        <w:tc>
          <w:tcPr>
            <w:tcW w:w="354" w:type="pct"/>
            <w:tcBorders>
              <w:top w:val="nil"/>
              <w:left w:val="nil"/>
              <w:bottom w:val="single" w:sz="4" w:space="0" w:color="auto"/>
              <w:right w:val="single" w:sz="4" w:space="0" w:color="auto"/>
            </w:tcBorders>
            <w:shd w:val="clear" w:color="auto" w:fill="auto"/>
            <w:vAlign w:val="center"/>
            <w:hideMark/>
          </w:tcPr>
          <w:p w:rsidR="00862EF2" w:rsidRPr="0068207E" w:rsidRDefault="00862EF2" w:rsidP="00862EF2">
            <w:pPr>
              <w:spacing w:after="0" w:line="240" w:lineRule="auto"/>
              <w:jc w:val="center"/>
              <w:rPr>
                <w:rFonts w:eastAsia="Times New Roman"/>
                <w:b/>
                <w:bCs/>
                <w:highlight w:val="yellow"/>
              </w:rPr>
            </w:pPr>
            <w:r w:rsidRPr="0068207E">
              <w:rPr>
                <w:rFonts w:eastAsia="Times New Roman"/>
                <w:b/>
                <w:bCs/>
                <w:highlight w:val="yellow"/>
              </w:rPr>
              <w:t> </w:t>
            </w:r>
          </w:p>
        </w:tc>
      </w:tr>
      <w:tr w:rsidR="006B0C74" w:rsidRPr="00862EF2" w:rsidTr="006B0C74">
        <w:trPr>
          <w:trHeight w:val="1090"/>
        </w:trPr>
        <w:tc>
          <w:tcPr>
            <w:tcW w:w="855"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rPr>
                <w:rFonts w:eastAsia="Times New Roman"/>
              </w:rPr>
            </w:pPr>
            <w:r w:rsidRPr="00862EF2">
              <w:rPr>
                <w:rFonts w:eastAsia="Times New Roman"/>
              </w:rPr>
              <w:t>Fomentar la concientización sobre los daños que produce el LA en los sujetos obligados y los clientes</w:t>
            </w:r>
          </w:p>
        </w:tc>
        <w:tc>
          <w:tcPr>
            <w:tcW w:w="2683"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6911C2" w:rsidRDefault="006911C2" w:rsidP="00862EF2">
            <w:pPr>
              <w:spacing w:after="0" w:line="240" w:lineRule="auto"/>
              <w:rPr>
                <w:rFonts w:eastAsia="Times New Roman"/>
                <w:b/>
                <w:i/>
              </w:rPr>
            </w:pPr>
            <w:r w:rsidRPr="006911C2">
              <w:rPr>
                <w:rFonts w:eastAsia="Times New Roman"/>
                <w:b/>
                <w:i/>
              </w:rPr>
              <w:t>Descripción</w:t>
            </w:r>
          </w:p>
          <w:p w:rsidR="006911C2" w:rsidRPr="006911C2" w:rsidRDefault="006911C2" w:rsidP="006911C2">
            <w:pPr>
              <w:pBdr>
                <w:top w:val="nil"/>
                <w:left w:val="nil"/>
                <w:bottom w:val="nil"/>
                <w:right w:val="nil"/>
                <w:between w:val="nil"/>
              </w:pBdr>
              <w:spacing w:before="120" w:after="120" w:line="240" w:lineRule="auto"/>
              <w:jc w:val="both"/>
              <w:rPr>
                <w:rFonts w:asciiTheme="majorHAnsi" w:hAnsiTheme="majorHAnsi" w:cstheme="majorHAnsi"/>
              </w:rPr>
            </w:pPr>
            <w:r w:rsidRPr="006B3CBE">
              <w:rPr>
                <w:rFonts w:asciiTheme="majorHAnsi" w:hAnsiTheme="majorHAnsi" w:cstheme="majorHAnsi"/>
              </w:rPr>
              <w:t xml:space="preserve">Esta alternativa busca brindar y afianzar los </w:t>
            </w:r>
            <w:r w:rsidRPr="006911C2">
              <w:rPr>
                <w:rFonts w:asciiTheme="majorHAnsi" w:hAnsiTheme="majorHAnsi" w:cstheme="majorHAnsi"/>
              </w:rPr>
              <w:t>conocimientos de los ciudadanos en general sobre las consecuencias del LA.</w:t>
            </w:r>
          </w:p>
          <w:p w:rsidR="006911C2" w:rsidRDefault="006911C2" w:rsidP="00862EF2">
            <w:pPr>
              <w:spacing w:after="0" w:line="240" w:lineRule="auto"/>
              <w:rPr>
                <w:rFonts w:eastAsia="Times New Roman"/>
                <w:b/>
                <w:i/>
              </w:rPr>
            </w:pPr>
            <w:r w:rsidRPr="006911C2">
              <w:rPr>
                <w:rFonts w:eastAsia="Times New Roman"/>
                <w:b/>
                <w:i/>
              </w:rPr>
              <w:t>Sustento</w:t>
            </w:r>
          </w:p>
          <w:p w:rsidR="006911C2" w:rsidRDefault="006911C2" w:rsidP="006911C2">
            <w:pPr>
              <w:spacing w:before="120" w:after="120" w:line="240" w:lineRule="auto"/>
              <w:jc w:val="both"/>
              <w:rPr>
                <w:rFonts w:asciiTheme="majorHAnsi" w:hAnsiTheme="majorHAnsi" w:cstheme="majorHAnsi"/>
              </w:rPr>
            </w:pPr>
            <w:r>
              <w:rPr>
                <w:rFonts w:asciiTheme="majorHAnsi" w:hAnsiTheme="majorHAnsi" w:cstheme="majorHAnsi"/>
              </w:rPr>
              <w:t>Se identificaron experiencias a nivel regional, en el caso de Chile y Ecuador (</w:t>
            </w:r>
            <w:r w:rsidRPr="006911C2">
              <w:rPr>
                <w:rFonts w:asciiTheme="majorHAnsi" w:hAnsiTheme="majorHAnsi" w:cstheme="majorHAnsi"/>
                <w:i/>
              </w:rPr>
              <w:t>Ver cuadro comparativo en sección 2.3</w:t>
            </w:r>
            <w:r>
              <w:rPr>
                <w:rFonts w:asciiTheme="majorHAnsi" w:hAnsiTheme="majorHAnsi" w:cstheme="majorHAnsi"/>
              </w:rPr>
              <w:t>).</w:t>
            </w:r>
          </w:p>
          <w:p w:rsidR="006911C2" w:rsidRPr="00862EF2" w:rsidRDefault="006911C2" w:rsidP="006911C2">
            <w:pPr>
              <w:spacing w:before="120" w:after="120" w:line="240" w:lineRule="auto"/>
              <w:jc w:val="both"/>
              <w:rPr>
                <w:rFonts w:eastAsia="Times New Roman"/>
              </w:rPr>
            </w:pPr>
            <w:r>
              <w:rPr>
                <w:rFonts w:asciiTheme="majorHAnsi" w:hAnsiTheme="majorHAnsi" w:cstheme="majorHAnsi"/>
              </w:rPr>
              <w:t>A nivel nacional, como antecedente, e</w:t>
            </w:r>
            <w:r w:rsidRPr="006B3CBE">
              <w:rPr>
                <w:rFonts w:asciiTheme="majorHAnsi" w:hAnsiTheme="majorHAnsi" w:cstheme="majorHAnsi"/>
              </w:rPr>
              <w:t>s importante resaltar, que la SBS a través de la UIF realiza campañas de difusión mediante afiches, trípticos, historietas y volantes que buscan prevenir y dar a conocer la problemática de LA en nuestro país.</w:t>
            </w:r>
            <w:r>
              <w:rPr>
                <w:rFonts w:asciiTheme="majorHAnsi" w:hAnsiTheme="majorHAnsi" w:cstheme="majorHAnsi"/>
              </w:rPr>
              <w:t xml:space="preserve"> </w:t>
            </w:r>
            <w:r w:rsidRPr="006B3CBE">
              <w:rPr>
                <w:rFonts w:asciiTheme="majorHAnsi" w:hAnsiTheme="majorHAnsi" w:cstheme="majorHAnsi"/>
              </w:rPr>
              <w:t>Toda la información la podemos encontrar en el Portal de Prevención de LA en  página web de la SBS.</w:t>
            </w:r>
          </w:p>
        </w:tc>
        <w:tc>
          <w:tcPr>
            <w:tcW w:w="191"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t>5</w:t>
            </w:r>
          </w:p>
        </w:tc>
        <w:tc>
          <w:tcPr>
            <w:tcW w:w="180"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t>4</w:t>
            </w:r>
          </w:p>
        </w:tc>
        <w:tc>
          <w:tcPr>
            <w:tcW w:w="180"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t>4</w:t>
            </w:r>
          </w:p>
        </w:tc>
        <w:tc>
          <w:tcPr>
            <w:tcW w:w="202"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t>5</w:t>
            </w:r>
          </w:p>
        </w:tc>
        <w:tc>
          <w:tcPr>
            <w:tcW w:w="354"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rPr>
            </w:pPr>
            <w:r w:rsidRPr="00862EF2">
              <w:rPr>
                <w:rFonts w:eastAsia="Times New Roman"/>
              </w:rPr>
              <w:t>18</w:t>
            </w:r>
          </w:p>
        </w:tc>
        <w:tc>
          <w:tcPr>
            <w:tcW w:w="354" w:type="pct"/>
            <w:tcBorders>
              <w:top w:val="nil"/>
              <w:left w:val="nil"/>
              <w:bottom w:val="single" w:sz="4" w:space="0" w:color="auto"/>
              <w:right w:val="single" w:sz="4" w:space="0" w:color="auto"/>
            </w:tcBorders>
            <w:shd w:val="clear" w:color="auto" w:fill="EAF1DD" w:themeFill="accent3" w:themeFillTint="33"/>
            <w:vAlign w:val="center"/>
            <w:hideMark/>
          </w:tcPr>
          <w:p w:rsidR="00862EF2" w:rsidRPr="00862EF2" w:rsidRDefault="00862EF2" w:rsidP="00862EF2">
            <w:pPr>
              <w:spacing w:after="0" w:line="240" w:lineRule="auto"/>
              <w:jc w:val="center"/>
              <w:rPr>
                <w:rFonts w:eastAsia="Times New Roman"/>
                <w:b/>
                <w:bCs/>
              </w:rPr>
            </w:pPr>
            <w:r w:rsidRPr="00862EF2">
              <w:rPr>
                <w:rFonts w:eastAsia="Times New Roman"/>
                <w:b/>
                <w:bCs/>
              </w:rPr>
              <w:t>X</w:t>
            </w:r>
          </w:p>
        </w:tc>
      </w:tr>
    </w:tbl>
    <w:p w:rsidR="00086EAE" w:rsidRPr="00324C9C" w:rsidRDefault="00086EAE" w:rsidP="00086EAE">
      <w:pPr>
        <w:jc w:val="both"/>
        <w:rPr>
          <w:b/>
          <w:sz w:val="28"/>
        </w:rPr>
      </w:pPr>
    </w:p>
    <w:p w:rsidR="00DF17AF" w:rsidRDefault="00DF17AF">
      <w:pPr>
        <w:rPr>
          <w:b/>
          <w:color w:val="000000"/>
        </w:rPr>
      </w:pPr>
    </w:p>
    <w:p w:rsidR="00DF17AF" w:rsidRDefault="00DF17AF">
      <w:pPr>
        <w:rPr>
          <w:b/>
          <w:color w:val="000000"/>
        </w:rPr>
      </w:pPr>
    </w:p>
    <w:p w:rsidR="00DF17AF" w:rsidRDefault="00DF17AF">
      <w:pPr>
        <w:rPr>
          <w:b/>
          <w:color w:val="000000"/>
        </w:rPr>
        <w:sectPr w:rsidR="00DF17AF" w:rsidSect="00DF17AF">
          <w:pgSz w:w="16838" w:h="11906" w:orient="landscape"/>
          <w:pgMar w:top="1701" w:right="1417" w:bottom="1701" w:left="1417" w:header="708" w:footer="708" w:gutter="0"/>
          <w:cols w:space="720"/>
          <w:docGrid w:linePitch="299"/>
        </w:sectPr>
      </w:pPr>
    </w:p>
    <w:p w:rsidR="00000AA1" w:rsidRDefault="001347DD">
      <w:pPr>
        <w:pStyle w:val="Ttulo1"/>
        <w:spacing w:before="0" w:line="240" w:lineRule="auto"/>
        <w:rPr>
          <w:b/>
          <w:color w:val="000000"/>
          <w:sz w:val="22"/>
          <w:szCs w:val="22"/>
        </w:rPr>
      </w:pPr>
      <w:bookmarkStart w:id="27" w:name="_Toc113360620"/>
      <w:r>
        <w:rPr>
          <w:b/>
          <w:color w:val="000000"/>
          <w:sz w:val="22"/>
          <w:szCs w:val="22"/>
        </w:rPr>
        <w:lastRenderedPageBreak/>
        <w:t>Bibliografía</w:t>
      </w:r>
      <w:bookmarkEnd w:id="27"/>
    </w:p>
    <w:p w:rsidR="00000AA1" w:rsidRDefault="00000AA1">
      <w:pPr>
        <w:spacing w:after="0" w:line="240" w:lineRule="auto"/>
      </w:pPr>
    </w:p>
    <w:p w:rsidR="00000AA1" w:rsidRDefault="001347DD">
      <w:pPr>
        <w:pBdr>
          <w:top w:val="nil"/>
          <w:left w:val="nil"/>
          <w:bottom w:val="nil"/>
          <w:right w:val="nil"/>
          <w:between w:val="nil"/>
        </w:pBdr>
        <w:spacing w:after="0" w:line="240" w:lineRule="auto"/>
        <w:ind w:left="720" w:hanging="720"/>
        <w:jc w:val="both"/>
      </w:pPr>
      <w:r>
        <w:t xml:space="preserve">CEPLAN. (2018). </w:t>
      </w:r>
      <w:r>
        <w:rPr>
          <w:i/>
        </w:rPr>
        <w:t>Guía de Políticas Nacionales</w:t>
      </w:r>
      <w:r>
        <w:t>. Centro Nacional de Planeamiento Estratégico.</w:t>
      </w:r>
    </w:p>
    <w:p w:rsidR="00000AA1" w:rsidRDefault="001347DD">
      <w:pPr>
        <w:pBdr>
          <w:top w:val="nil"/>
          <w:left w:val="nil"/>
          <w:bottom w:val="nil"/>
          <w:right w:val="nil"/>
          <w:between w:val="nil"/>
        </w:pBdr>
        <w:spacing w:after="0" w:line="240" w:lineRule="auto"/>
        <w:ind w:left="720" w:hanging="720"/>
        <w:jc w:val="both"/>
      </w:pPr>
      <w:r>
        <w:t xml:space="preserve">CEPLAN. (2019). </w:t>
      </w:r>
      <w:r>
        <w:rPr>
          <w:i/>
        </w:rPr>
        <w:t>Visión del Perú al 2050</w:t>
      </w:r>
      <w:r>
        <w:t>. Centro Nacional de Planeamiento Estratégico. https://www.ceplan.gob.pe/download/222928/</w:t>
      </w:r>
    </w:p>
    <w:p w:rsidR="00000AA1" w:rsidRDefault="001347DD">
      <w:pPr>
        <w:pBdr>
          <w:top w:val="nil"/>
          <w:left w:val="nil"/>
          <w:bottom w:val="nil"/>
          <w:right w:val="nil"/>
          <w:between w:val="nil"/>
        </w:pBdr>
        <w:spacing w:after="0" w:line="240" w:lineRule="auto"/>
        <w:ind w:left="720" w:hanging="720"/>
        <w:jc w:val="both"/>
      </w:pPr>
      <w:r>
        <w:t xml:space="preserve">CEPLAN. (2021a). </w:t>
      </w:r>
      <w:r>
        <w:rPr>
          <w:i/>
        </w:rPr>
        <w:t>Observatorio Nacional de Prospectiva</w:t>
      </w:r>
      <w:r>
        <w:t>. https://observatorio.ceplan.gob.pe/inicio</w:t>
      </w:r>
    </w:p>
    <w:p w:rsidR="00000AA1" w:rsidRDefault="001347DD">
      <w:pPr>
        <w:pBdr>
          <w:top w:val="nil"/>
          <w:left w:val="nil"/>
          <w:bottom w:val="nil"/>
          <w:right w:val="nil"/>
          <w:between w:val="nil"/>
        </w:pBdr>
        <w:spacing w:after="0" w:line="240" w:lineRule="auto"/>
        <w:ind w:left="720" w:hanging="720"/>
        <w:jc w:val="both"/>
      </w:pPr>
      <w:r>
        <w:t xml:space="preserve">CEPLAN. (2021b). </w:t>
      </w:r>
      <w:r>
        <w:rPr>
          <w:i/>
        </w:rPr>
        <w:t>Plan Estratégico de Desarrollo Nacional al 2050</w:t>
      </w:r>
      <w:r>
        <w:t>. Centro Nacional de Planeamiento Estratégico.</w:t>
      </w:r>
    </w:p>
    <w:p w:rsidR="00D05F9D" w:rsidRDefault="00D05F9D" w:rsidP="00D05F9D">
      <w:pPr>
        <w:pBdr>
          <w:top w:val="nil"/>
          <w:left w:val="nil"/>
          <w:bottom w:val="nil"/>
          <w:right w:val="nil"/>
          <w:between w:val="nil"/>
        </w:pBdr>
        <w:spacing w:after="0" w:line="240" w:lineRule="auto"/>
        <w:ind w:left="720" w:hanging="720"/>
        <w:jc w:val="both"/>
      </w:pPr>
      <w:r>
        <w:t>GAFI (2021). Opportunities and challenges of new technologies for AML/CFT. F</w:t>
      </w:r>
      <w:r w:rsidR="00103CFC">
        <w:t>A</w:t>
      </w:r>
      <w:r>
        <w:t>T</w:t>
      </w:r>
      <w:r w:rsidR="00103CFC">
        <w:t>F</w:t>
      </w:r>
      <w:r>
        <w:t xml:space="preserve">. París, France. </w:t>
      </w:r>
    </w:p>
    <w:p w:rsidR="00000AA1" w:rsidRDefault="001347DD">
      <w:pPr>
        <w:pBdr>
          <w:top w:val="nil"/>
          <w:left w:val="nil"/>
          <w:bottom w:val="nil"/>
          <w:right w:val="nil"/>
          <w:between w:val="nil"/>
        </w:pBdr>
        <w:spacing w:after="0" w:line="240" w:lineRule="auto"/>
        <w:ind w:left="720" w:hanging="720"/>
        <w:jc w:val="both"/>
      </w:pPr>
      <w:r>
        <w:t xml:space="preserve">PCM. (2021). </w:t>
      </w:r>
      <w:r>
        <w:rPr>
          <w:i/>
        </w:rPr>
        <w:t>Política General de Gobierno para el periodo 2021-2026</w:t>
      </w:r>
      <w:r>
        <w:t>. Presidencia del Consejo de Ministros. https://busquedas.elperuano.pe/normaslegales/decreto-supremo-que-aprueba-la-politica-general-de-gobierno-decreto-supremo-n-164-2021-pcm-2002063-5/</w:t>
      </w:r>
    </w:p>
    <w:p w:rsidR="00000AA1" w:rsidRDefault="001347DD">
      <w:pPr>
        <w:pBdr>
          <w:top w:val="nil"/>
          <w:left w:val="nil"/>
          <w:bottom w:val="nil"/>
          <w:right w:val="nil"/>
          <w:between w:val="nil"/>
        </w:pBdr>
        <w:spacing w:after="0" w:line="240" w:lineRule="auto"/>
        <w:ind w:left="720" w:hanging="720"/>
        <w:jc w:val="both"/>
      </w:pPr>
      <w:r>
        <w:t xml:space="preserve">SBS. (2021). </w:t>
      </w:r>
      <w:r>
        <w:rPr>
          <w:i/>
        </w:rPr>
        <w:t>II Informe de sentencias de Lavado de Activos en el Perú. Análisis de sentencias condenatorias firmes 2012-2019</w:t>
      </w:r>
      <w:r>
        <w:t>. SBS-UIF.</w:t>
      </w:r>
    </w:p>
    <w:p w:rsidR="00000AA1" w:rsidRDefault="001347DD">
      <w:pPr>
        <w:pBdr>
          <w:top w:val="nil"/>
          <w:left w:val="nil"/>
          <w:bottom w:val="nil"/>
          <w:right w:val="nil"/>
          <w:between w:val="nil"/>
        </w:pBdr>
        <w:spacing w:after="0" w:line="240" w:lineRule="auto"/>
        <w:ind w:left="720" w:hanging="720"/>
        <w:jc w:val="both"/>
      </w:pPr>
      <w:r>
        <w:t xml:space="preserve">UIF. (2021). </w:t>
      </w:r>
      <w:r>
        <w:rPr>
          <w:i/>
        </w:rPr>
        <w:t>Información Estadística de la Unidad de Inteligencia Financiera del Perú: Vol. Enero 2012-Mayo 2021</w:t>
      </w:r>
      <w:r>
        <w:t>. SBS-UIF. https://www.sbs.gob.pe/Portals/5/jer/ESTADISTICAS-OPERATIVAS/2021/Bolet%C3%ADn%20estad%C3%ADstico%20mayo%202021.pdf</w:t>
      </w:r>
    </w:p>
    <w:p w:rsidR="00000AA1" w:rsidRDefault="00000AA1">
      <w:pPr>
        <w:spacing w:after="0" w:line="240" w:lineRule="auto"/>
        <w:jc w:val="both"/>
      </w:pPr>
    </w:p>
    <w:p w:rsidR="00000AA1" w:rsidRDefault="00000AA1">
      <w:pPr>
        <w:spacing w:after="0" w:line="240" w:lineRule="auto"/>
      </w:pPr>
    </w:p>
    <w:sectPr w:rsidR="00000AA1" w:rsidSect="00DF17AF">
      <w:pgSz w:w="11906" w:h="16838"/>
      <w:pgMar w:top="1417" w:right="1701" w:bottom="1417" w:left="1701"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3D82" w:rsidRDefault="00E03D82">
      <w:pPr>
        <w:spacing w:after="0" w:line="240" w:lineRule="auto"/>
      </w:pPr>
      <w:r>
        <w:separator/>
      </w:r>
    </w:p>
  </w:endnote>
  <w:endnote w:type="continuationSeparator" w:id="0">
    <w:p w:rsidR="00E03D82" w:rsidRDefault="00E03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Roboto">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yriad Pro">
    <w:altName w:val="Myriad Pro"/>
    <w:panose1 w:val="00000000000000000000"/>
    <w:charset w:val="00"/>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yriad Pro Light">
    <w:altName w:val="Myriad Pro Ligh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9327137"/>
      <w:docPartObj>
        <w:docPartGallery w:val="Page Numbers (Bottom of Page)"/>
        <w:docPartUnique/>
      </w:docPartObj>
    </w:sdtPr>
    <w:sdtEndPr/>
    <w:sdtContent>
      <w:p w:rsidR="006C102C" w:rsidRDefault="006C102C">
        <w:pPr>
          <w:pStyle w:val="Piedepgina"/>
          <w:jc w:val="right"/>
        </w:pPr>
        <w:r>
          <w:fldChar w:fldCharType="begin"/>
        </w:r>
        <w:r>
          <w:instrText>PAGE   \* MERGEFORMAT</w:instrText>
        </w:r>
        <w:r>
          <w:fldChar w:fldCharType="separate"/>
        </w:r>
        <w:r w:rsidR="00C0089D" w:rsidRPr="00C0089D">
          <w:rPr>
            <w:noProof/>
            <w:lang w:val="es-ES"/>
          </w:rPr>
          <w:t>68</w:t>
        </w:r>
        <w:r>
          <w:fldChar w:fldCharType="end"/>
        </w:r>
      </w:p>
    </w:sdtContent>
  </w:sdt>
  <w:p w:rsidR="006C102C" w:rsidRDefault="006C102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3D82" w:rsidRDefault="00E03D82">
      <w:pPr>
        <w:spacing w:after="0" w:line="240" w:lineRule="auto"/>
      </w:pPr>
      <w:r>
        <w:separator/>
      </w:r>
    </w:p>
  </w:footnote>
  <w:footnote w:type="continuationSeparator" w:id="0">
    <w:p w:rsidR="00E03D82" w:rsidRDefault="00E03D82">
      <w:pPr>
        <w:spacing w:after="0" w:line="240" w:lineRule="auto"/>
      </w:pPr>
      <w:r>
        <w:continuationSeparator/>
      </w:r>
    </w:p>
  </w:footnote>
  <w:footnote w:id="1">
    <w:p w:rsidR="006C102C" w:rsidRDefault="006C102C">
      <w:pPr>
        <w:pBdr>
          <w:top w:val="nil"/>
          <w:left w:val="nil"/>
          <w:bottom w:val="nil"/>
          <w:right w:val="nil"/>
          <w:between w:val="nil"/>
        </w:pBdr>
        <w:spacing w:after="0" w:line="240" w:lineRule="auto"/>
        <w:jc w:val="both"/>
        <w:rPr>
          <w:color w:val="000000"/>
          <w:sz w:val="20"/>
          <w:szCs w:val="20"/>
        </w:rPr>
      </w:pPr>
      <w:r>
        <w:rPr>
          <w:vertAlign w:val="superscript"/>
        </w:rPr>
        <w:footnoteRef/>
      </w:r>
      <w:r>
        <w:rPr>
          <w:color w:val="000000"/>
          <w:sz w:val="20"/>
          <w:szCs w:val="20"/>
        </w:rPr>
        <w:t xml:space="preserve"> En 2014 la OCDE estableció los Programas País como un nuevo instrumento para apoyar a economías emergentes y dinámicas como la de Perú en el diseño de sus reformas y en el fortalecimiento de sus políticas públicas.</w:t>
      </w:r>
    </w:p>
  </w:footnote>
  <w:footnote w:id="2">
    <w:p w:rsidR="006C102C" w:rsidRPr="00F85F3B" w:rsidRDefault="006C102C">
      <w:pPr>
        <w:spacing w:after="0" w:line="240" w:lineRule="auto"/>
        <w:jc w:val="both"/>
        <w:rPr>
          <w:sz w:val="20"/>
          <w:szCs w:val="20"/>
        </w:rPr>
      </w:pPr>
      <w:r w:rsidRPr="00F85F3B">
        <w:rPr>
          <w:vertAlign w:val="superscript"/>
        </w:rPr>
        <w:footnoteRef/>
      </w:r>
      <w:r w:rsidRPr="00F85F3B">
        <w:rPr>
          <w:sz w:val="20"/>
          <w:szCs w:val="20"/>
        </w:rPr>
        <w:t xml:space="preserve"> Es el delito fuente generador de las ganancias o activos ilícitos, que posteriormente son blanqueados mediante el lavado de activos. En la legislación nacional están previstos en el segundo párrafo del artículo 10° del Decreto Legislativo N° 1106.</w:t>
      </w:r>
    </w:p>
    <w:p w:rsidR="006C102C" w:rsidRDefault="006C102C">
      <w:pPr>
        <w:spacing w:after="0" w:line="240" w:lineRule="auto"/>
        <w:rPr>
          <w:sz w:val="20"/>
          <w:szCs w:val="20"/>
        </w:rPr>
      </w:pPr>
    </w:p>
  </w:footnote>
  <w:footnote w:id="3">
    <w:p w:rsidR="006C102C" w:rsidRPr="002C0520" w:rsidRDefault="006C102C">
      <w:pPr>
        <w:pStyle w:val="Textonotapie"/>
        <w:rPr>
          <w:lang w:val="es-ES"/>
        </w:rPr>
      </w:pPr>
      <w:r>
        <w:rPr>
          <w:rStyle w:val="Refdenotaalpie"/>
        </w:rPr>
        <w:footnoteRef/>
      </w:r>
      <w:r>
        <w:t xml:space="preserve"> </w:t>
      </w:r>
      <w:r>
        <w:rPr>
          <w:lang w:val="es-ES"/>
        </w:rPr>
        <w:t xml:space="preserve">En el Anexo 2 figura el detalle y sustento de las mediciones de la situación futura deseada. </w:t>
      </w:r>
    </w:p>
  </w:footnote>
  <w:footnote w:id="4">
    <w:p w:rsidR="006C102C" w:rsidRPr="0082125C" w:rsidRDefault="006C102C" w:rsidP="00262105">
      <w:pPr>
        <w:pStyle w:val="Textonotapie"/>
        <w:jc w:val="both"/>
        <w:rPr>
          <w:lang w:val="es-ES"/>
        </w:rPr>
      </w:pPr>
      <w:r>
        <w:rPr>
          <w:rStyle w:val="Refdenotaalpie"/>
        </w:rPr>
        <w:footnoteRef/>
      </w:r>
      <w:r>
        <w:t xml:space="preserve"> </w:t>
      </w:r>
      <w:r w:rsidRPr="0082125C">
        <w:t>Como se detalló el diagnóstico, el Informe de Evaluación Mutua del Perú 2018</w:t>
      </w:r>
      <w:r>
        <w:t xml:space="preserve"> </w:t>
      </w:r>
      <w:r w:rsidRPr="0082125C">
        <w:t>otorga al país una calificación de Cumplida o Mayoritariamente Cumplida en 34 de las 40 Recomendaciones del GAFI y en las 6 restantes la calificación de Parcialmente Cumplida (ámbito normativo). Asimismo, una calificación óptima en términos de efectividad (11 Resultados Inmediatos).</w:t>
      </w:r>
    </w:p>
  </w:footnote>
  <w:footnote w:id="5">
    <w:p w:rsidR="006C102C" w:rsidRPr="0082125C" w:rsidRDefault="006C102C" w:rsidP="00262105">
      <w:pPr>
        <w:pStyle w:val="Textonotapie"/>
        <w:jc w:val="both"/>
        <w:rPr>
          <w:lang w:val="es-ES"/>
        </w:rPr>
      </w:pPr>
      <w:r>
        <w:rPr>
          <w:rStyle w:val="Refdenotaalpie"/>
        </w:rPr>
        <w:footnoteRef/>
      </w:r>
      <w:r>
        <w:t xml:space="preserve"> </w:t>
      </w:r>
      <w:r w:rsidRPr="0082125C">
        <w:t xml:space="preserve">Para el año 2021, el Perú se encontraba en el puesto 25 dentro de las 110 jurisdicciones evaluadas , con una puntuación de 4.50, lo que indica un nivel de riesgo bajo y ubica al Perú en el segundo puesto a nivel de la región. Cabe mencionar que, el índice Basel AML tiene una escala de 0 al 10, donde el 0 indica el menor nivel de riesgo de lavado de activos y 10 el mayor nivel de riesgo. El índice es un indicador compuesto construido a partir de otros 17 indicadores que abordan temas como la calidad del marco normativo antilavado de activos y contra el </w:t>
      </w:r>
      <w:r>
        <w:t>FT</w:t>
      </w:r>
      <w:r w:rsidRPr="0082125C">
        <w:t>, el riesgo de corrupción, el nivel de rendición de cuentas y transparencia financiera, la transparencia pública y el riesgo político y legal.</w:t>
      </w:r>
    </w:p>
  </w:footnote>
  <w:footnote w:id="6">
    <w:p w:rsidR="006C102C" w:rsidRPr="00973BB6" w:rsidRDefault="006C102C">
      <w:pPr>
        <w:pStyle w:val="Textonotapie"/>
        <w:rPr>
          <w:lang w:val="es-ES"/>
        </w:rPr>
      </w:pPr>
      <w:r>
        <w:rPr>
          <w:rStyle w:val="Refdenotaalpie"/>
        </w:rPr>
        <w:footnoteRef/>
      </w:r>
      <w:r>
        <w:t xml:space="preserve"> </w:t>
      </w:r>
      <w:r w:rsidRPr="006B3CBE">
        <w:rPr>
          <w:rFonts w:asciiTheme="majorHAnsi" w:hAnsiTheme="majorHAnsi" w:cstheme="majorHAnsi"/>
        </w:rPr>
        <w:t>Cabe recordar que la 'regla de viaje' es una medida clave que exige que los PSAV obtengan, mantengan e intercambien información sobre los originadores y beneficiarios de las transferencias de activos virtuales (según el párrafo 7 de la Nota Interpretativa a 15 del GAFI).</w:t>
      </w:r>
    </w:p>
  </w:footnote>
  <w:footnote w:id="7">
    <w:p w:rsidR="006C102C" w:rsidRDefault="006C102C" w:rsidP="006B3CBE">
      <w:pPr>
        <w:spacing w:line="240" w:lineRule="auto"/>
        <w:ind w:left="141" w:hanging="141"/>
        <w:jc w:val="both"/>
        <w:rPr>
          <w:sz w:val="18"/>
          <w:szCs w:val="18"/>
        </w:rPr>
      </w:pPr>
      <w:r>
        <w:rPr>
          <w:vertAlign w:val="superscript"/>
        </w:rPr>
        <w:footnoteRef/>
      </w:r>
      <w:r>
        <w:rPr>
          <w:sz w:val="20"/>
          <w:szCs w:val="20"/>
        </w:rPr>
        <w:t xml:space="preserve"> </w:t>
      </w:r>
      <w:r>
        <w:rPr>
          <w:sz w:val="18"/>
          <w:szCs w:val="18"/>
        </w:rPr>
        <w:t xml:space="preserve">Informe Implementación Fichero Nacional de Titularidades Financieras. Elaborado con el apoyo de las Fuerzas de la Ley de la UE en la Lucha contra las drogas y el crimen organizado. Fundación Internacional y para Iberoamérica de Administración y Políticas Públicas (FIAPP). Junio, 2022. </w:t>
      </w:r>
    </w:p>
  </w:footnote>
  <w:footnote w:id="8">
    <w:p w:rsidR="006C102C" w:rsidRPr="001F6977" w:rsidRDefault="006C102C" w:rsidP="002A6886">
      <w:pPr>
        <w:pStyle w:val="Textonotapie"/>
        <w:rPr>
          <w:lang w:val="es-ES"/>
        </w:rPr>
      </w:pPr>
      <w:r>
        <w:rPr>
          <w:rStyle w:val="Refdenotaalpie"/>
        </w:rPr>
        <w:footnoteRef/>
      </w:r>
      <w:r>
        <w:t xml:space="preserve"> </w:t>
      </w:r>
      <w:r w:rsidRPr="001F6977">
        <w:t>http://cdn01.pucp.education/idehpucp/wp-content/uploads/2018/09/06021240/1-acuerdo-plenario-n-3-2010-cj-116-el-delito-de-lavado-de-activos-.pdf</w:t>
      </w:r>
    </w:p>
  </w:footnote>
  <w:footnote w:id="9">
    <w:p w:rsidR="006C102C" w:rsidRPr="001F6977" w:rsidRDefault="006C102C" w:rsidP="002A6886">
      <w:pPr>
        <w:pStyle w:val="Textonotapie"/>
        <w:rPr>
          <w:lang w:val="es-ES"/>
        </w:rPr>
      </w:pPr>
      <w:r>
        <w:rPr>
          <w:rStyle w:val="Refdenotaalpie"/>
        </w:rPr>
        <w:footnoteRef/>
      </w:r>
      <w:r>
        <w:t xml:space="preserve"> </w:t>
      </w:r>
      <w:r w:rsidRPr="001F6977">
        <w:t>http://cdn01.pucp.education/idehpucp/wp-content/uploads/2018/09/06021240/1-acuerdo-plenario-n-3-2010-cj-116-el-delito-de-lavado-de-activos-.pdf</w:t>
      </w:r>
    </w:p>
  </w:footnote>
  <w:footnote w:id="10">
    <w:p w:rsidR="006C102C" w:rsidRPr="008A0B45" w:rsidRDefault="006C102C" w:rsidP="002A6886">
      <w:pPr>
        <w:pStyle w:val="Textonotapie"/>
        <w:rPr>
          <w:lang w:val="es-ES"/>
        </w:rPr>
      </w:pPr>
      <w:r>
        <w:rPr>
          <w:rStyle w:val="Refdenotaalpie"/>
        </w:rPr>
        <w:footnoteRef/>
      </w:r>
      <w:r>
        <w:t xml:space="preserve"> </w:t>
      </w:r>
      <w:r w:rsidRPr="008A0B45">
        <w:t>https://idehpucp.pucp.edu.pe/evento/curso-cuestiones-problematicas-del-delito-de-lavado-de-activos/</w:t>
      </w:r>
    </w:p>
  </w:footnote>
  <w:footnote w:id="11">
    <w:p w:rsidR="006C102C" w:rsidRPr="004440D2" w:rsidRDefault="006C102C" w:rsidP="00FB09F0">
      <w:pPr>
        <w:pStyle w:val="Textonotapie"/>
        <w:rPr>
          <w:lang w:val="es-ES"/>
        </w:rPr>
      </w:pPr>
      <w:r>
        <w:rPr>
          <w:rStyle w:val="Refdenotaalpie"/>
        </w:rPr>
        <w:footnoteRef/>
      </w:r>
      <w:r>
        <w:t xml:space="preserve"> </w:t>
      </w:r>
      <w:r w:rsidRPr="004440D2">
        <w:t>https://www.decisiola.com/articulos/plan-estrategico-nacional-paraguay.pdf</w:t>
      </w:r>
    </w:p>
  </w:footnote>
  <w:footnote w:id="12">
    <w:p w:rsidR="006C102C" w:rsidRPr="006142FD" w:rsidRDefault="006C102C" w:rsidP="00FB09F0">
      <w:pPr>
        <w:pStyle w:val="Textonotapie"/>
        <w:rPr>
          <w:lang w:val="es-ES"/>
        </w:rPr>
      </w:pPr>
      <w:r>
        <w:rPr>
          <w:rStyle w:val="Refdenotaalpie"/>
        </w:rPr>
        <w:footnoteRef/>
      </w:r>
      <w:r w:rsidRPr="006142FD">
        <w:t>http://webcache.googleusercontent.com/search?q=cache:fVnBtRwym84J:www.gacetaoficialdebolivia.gob.bo/anexos/descargarAnexo/820&amp;cd=16&amp;hl=es-419&amp;ct=clnk&amp;gl=pe</w:t>
      </w:r>
    </w:p>
  </w:footnote>
  <w:footnote w:id="13">
    <w:p w:rsidR="006C102C" w:rsidRPr="006142FD" w:rsidRDefault="006C102C" w:rsidP="00062518">
      <w:pPr>
        <w:pStyle w:val="Textonotapie"/>
        <w:rPr>
          <w:lang w:val="es-ES"/>
        </w:rPr>
      </w:pPr>
      <w:r>
        <w:rPr>
          <w:rStyle w:val="Refdenotaalpie"/>
        </w:rPr>
        <w:footnoteRef/>
      </w:r>
      <w:r w:rsidRPr="006142FD">
        <w:t>http://webcache.googleusercontent.com/search?q=cache:fVnBtRwym84J:www.gacetaoficialdebolivia.gob.bo/anexos/descargarAnexo/820&amp;cd=16&amp;hl=es-419&amp;ct=clnk&amp;gl=pe</w:t>
      </w:r>
    </w:p>
  </w:footnote>
  <w:footnote w:id="14">
    <w:p w:rsidR="006C102C" w:rsidRPr="00973BB6" w:rsidRDefault="006C102C" w:rsidP="00671DEA">
      <w:pPr>
        <w:pStyle w:val="Textonotapie"/>
        <w:rPr>
          <w:lang w:val="es-ES"/>
        </w:rPr>
      </w:pPr>
      <w:r>
        <w:rPr>
          <w:rStyle w:val="Refdenotaalpie"/>
        </w:rPr>
        <w:footnoteRef/>
      </w:r>
      <w:r>
        <w:t xml:space="preserve"> </w:t>
      </w:r>
      <w:r w:rsidRPr="006B3CBE">
        <w:rPr>
          <w:rFonts w:asciiTheme="majorHAnsi" w:hAnsiTheme="majorHAnsi" w:cstheme="majorHAnsi"/>
        </w:rPr>
        <w:t>Cabe recordar que la 'regla de viaje' es una medida clave que exige que los PSAV obtengan, mantengan e intercambien información sobre los originadores y beneficiarios de las transferencias de activos virtuales (según el párrafo 7 de la Nota Interpretativa a 15 del GAFI).</w:t>
      </w:r>
    </w:p>
  </w:footnote>
  <w:footnote w:id="15">
    <w:p w:rsidR="006C102C" w:rsidRPr="001F6977" w:rsidRDefault="006C102C" w:rsidP="00FC50F2">
      <w:pPr>
        <w:pStyle w:val="Textonotapie"/>
        <w:rPr>
          <w:lang w:val="es-ES"/>
        </w:rPr>
      </w:pPr>
      <w:r>
        <w:rPr>
          <w:rStyle w:val="Refdenotaalpie"/>
        </w:rPr>
        <w:footnoteRef/>
      </w:r>
      <w:r>
        <w:t xml:space="preserve"> </w:t>
      </w:r>
      <w:r w:rsidRPr="001F6977">
        <w:t>http://cdn01.pucp.education/idehpucp/wp-content/uploads/2018/09/06021240/1-acuerdo-plenario-n-3-2010-cj-116-el-delito-de-lavado-de-activos-.pdf</w:t>
      </w:r>
    </w:p>
  </w:footnote>
  <w:footnote w:id="16">
    <w:p w:rsidR="006C102C" w:rsidRPr="001F6977" w:rsidRDefault="006C102C" w:rsidP="00FC50F2">
      <w:pPr>
        <w:pStyle w:val="Textonotapie"/>
        <w:rPr>
          <w:lang w:val="es-ES"/>
        </w:rPr>
      </w:pPr>
      <w:r>
        <w:rPr>
          <w:rStyle w:val="Refdenotaalpie"/>
        </w:rPr>
        <w:footnoteRef/>
      </w:r>
      <w:r>
        <w:t xml:space="preserve"> </w:t>
      </w:r>
      <w:r w:rsidRPr="001F6977">
        <w:t>http://cdn01.pucp.education/idehpucp/wp-content/uploads/2018/09/06021240/1-acuerdo-plenario-n-3-2010-cj-116-el-delito-de-lavado-de-activos-.pdf</w:t>
      </w:r>
    </w:p>
  </w:footnote>
  <w:footnote w:id="17">
    <w:p w:rsidR="006C102C" w:rsidRPr="008A0B45" w:rsidRDefault="006C102C" w:rsidP="00FC50F2">
      <w:pPr>
        <w:pStyle w:val="Textonotapie"/>
        <w:rPr>
          <w:lang w:val="es-ES"/>
        </w:rPr>
      </w:pPr>
      <w:r>
        <w:rPr>
          <w:rStyle w:val="Refdenotaalpie"/>
        </w:rPr>
        <w:footnoteRef/>
      </w:r>
      <w:r>
        <w:t xml:space="preserve"> </w:t>
      </w:r>
      <w:r w:rsidRPr="008A0B45">
        <w:t>https://idehpucp.pucp.edu.pe/evento/curso-cuestiones-problematicas-del-delito-de-lavado-de-activos/</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A3087"/>
    <w:multiLevelType w:val="hybridMultilevel"/>
    <w:tmpl w:val="411EA046"/>
    <w:lvl w:ilvl="0" w:tplc="48D0C460">
      <w:numFmt w:val="bullet"/>
      <w:lvlText w:val="·"/>
      <w:lvlJc w:val="left"/>
      <w:pPr>
        <w:ind w:left="680" w:hanging="360"/>
      </w:pPr>
      <w:rPr>
        <w:rFonts w:ascii="Calibri" w:eastAsia="Roboto" w:hAnsi="Calibri" w:cs="Calibri" w:hint="default"/>
      </w:rPr>
    </w:lvl>
    <w:lvl w:ilvl="1" w:tplc="280A0003" w:tentative="1">
      <w:start w:val="1"/>
      <w:numFmt w:val="bullet"/>
      <w:lvlText w:val="o"/>
      <w:lvlJc w:val="left"/>
      <w:pPr>
        <w:ind w:left="1400" w:hanging="360"/>
      </w:pPr>
      <w:rPr>
        <w:rFonts w:ascii="Courier New" w:hAnsi="Courier New" w:cs="Courier New" w:hint="default"/>
      </w:rPr>
    </w:lvl>
    <w:lvl w:ilvl="2" w:tplc="280A0005" w:tentative="1">
      <w:start w:val="1"/>
      <w:numFmt w:val="bullet"/>
      <w:lvlText w:val=""/>
      <w:lvlJc w:val="left"/>
      <w:pPr>
        <w:ind w:left="2120" w:hanging="360"/>
      </w:pPr>
      <w:rPr>
        <w:rFonts w:ascii="Wingdings" w:hAnsi="Wingdings" w:hint="default"/>
      </w:rPr>
    </w:lvl>
    <w:lvl w:ilvl="3" w:tplc="280A0001" w:tentative="1">
      <w:start w:val="1"/>
      <w:numFmt w:val="bullet"/>
      <w:lvlText w:val=""/>
      <w:lvlJc w:val="left"/>
      <w:pPr>
        <w:ind w:left="2840" w:hanging="360"/>
      </w:pPr>
      <w:rPr>
        <w:rFonts w:ascii="Symbol" w:hAnsi="Symbol" w:hint="default"/>
      </w:rPr>
    </w:lvl>
    <w:lvl w:ilvl="4" w:tplc="280A0003" w:tentative="1">
      <w:start w:val="1"/>
      <w:numFmt w:val="bullet"/>
      <w:lvlText w:val="o"/>
      <w:lvlJc w:val="left"/>
      <w:pPr>
        <w:ind w:left="3560" w:hanging="360"/>
      </w:pPr>
      <w:rPr>
        <w:rFonts w:ascii="Courier New" w:hAnsi="Courier New" w:cs="Courier New" w:hint="default"/>
      </w:rPr>
    </w:lvl>
    <w:lvl w:ilvl="5" w:tplc="280A0005" w:tentative="1">
      <w:start w:val="1"/>
      <w:numFmt w:val="bullet"/>
      <w:lvlText w:val=""/>
      <w:lvlJc w:val="left"/>
      <w:pPr>
        <w:ind w:left="4280" w:hanging="360"/>
      </w:pPr>
      <w:rPr>
        <w:rFonts w:ascii="Wingdings" w:hAnsi="Wingdings" w:hint="default"/>
      </w:rPr>
    </w:lvl>
    <w:lvl w:ilvl="6" w:tplc="280A0001" w:tentative="1">
      <w:start w:val="1"/>
      <w:numFmt w:val="bullet"/>
      <w:lvlText w:val=""/>
      <w:lvlJc w:val="left"/>
      <w:pPr>
        <w:ind w:left="5000" w:hanging="360"/>
      </w:pPr>
      <w:rPr>
        <w:rFonts w:ascii="Symbol" w:hAnsi="Symbol" w:hint="default"/>
      </w:rPr>
    </w:lvl>
    <w:lvl w:ilvl="7" w:tplc="280A0003" w:tentative="1">
      <w:start w:val="1"/>
      <w:numFmt w:val="bullet"/>
      <w:lvlText w:val="o"/>
      <w:lvlJc w:val="left"/>
      <w:pPr>
        <w:ind w:left="5720" w:hanging="360"/>
      </w:pPr>
      <w:rPr>
        <w:rFonts w:ascii="Courier New" w:hAnsi="Courier New" w:cs="Courier New" w:hint="default"/>
      </w:rPr>
    </w:lvl>
    <w:lvl w:ilvl="8" w:tplc="280A0005" w:tentative="1">
      <w:start w:val="1"/>
      <w:numFmt w:val="bullet"/>
      <w:lvlText w:val=""/>
      <w:lvlJc w:val="left"/>
      <w:pPr>
        <w:ind w:left="6440" w:hanging="360"/>
      </w:pPr>
      <w:rPr>
        <w:rFonts w:ascii="Wingdings" w:hAnsi="Wingdings" w:hint="default"/>
      </w:rPr>
    </w:lvl>
  </w:abstractNum>
  <w:abstractNum w:abstractNumId="1" w15:restartNumberingAfterBreak="0">
    <w:nsid w:val="04FB49BA"/>
    <w:multiLevelType w:val="multilevel"/>
    <w:tmpl w:val="4B4C2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321A63"/>
    <w:multiLevelType w:val="hybridMultilevel"/>
    <w:tmpl w:val="FF5AD3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850250D"/>
    <w:multiLevelType w:val="multilevel"/>
    <w:tmpl w:val="4E00BF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4A20E1"/>
    <w:multiLevelType w:val="hybridMultilevel"/>
    <w:tmpl w:val="854C4092"/>
    <w:lvl w:ilvl="0" w:tplc="280A0001">
      <w:start w:val="1"/>
      <w:numFmt w:val="bullet"/>
      <w:lvlText w:val=""/>
      <w:lvlJc w:val="left"/>
      <w:pPr>
        <w:ind w:left="1040" w:hanging="360"/>
      </w:pPr>
      <w:rPr>
        <w:rFonts w:ascii="Symbol" w:hAnsi="Symbol" w:hint="default"/>
      </w:rPr>
    </w:lvl>
    <w:lvl w:ilvl="1" w:tplc="280A0003" w:tentative="1">
      <w:start w:val="1"/>
      <w:numFmt w:val="bullet"/>
      <w:lvlText w:val="o"/>
      <w:lvlJc w:val="left"/>
      <w:pPr>
        <w:ind w:left="1760" w:hanging="360"/>
      </w:pPr>
      <w:rPr>
        <w:rFonts w:ascii="Courier New" w:hAnsi="Courier New" w:cs="Courier New" w:hint="default"/>
      </w:rPr>
    </w:lvl>
    <w:lvl w:ilvl="2" w:tplc="280A0005" w:tentative="1">
      <w:start w:val="1"/>
      <w:numFmt w:val="bullet"/>
      <w:lvlText w:val=""/>
      <w:lvlJc w:val="left"/>
      <w:pPr>
        <w:ind w:left="2480" w:hanging="360"/>
      </w:pPr>
      <w:rPr>
        <w:rFonts w:ascii="Wingdings" w:hAnsi="Wingdings" w:hint="default"/>
      </w:rPr>
    </w:lvl>
    <w:lvl w:ilvl="3" w:tplc="280A0001" w:tentative="1">
      <w:start w:val="1"/>
      <w:numFmt w:val="bullet"/>
      <w:lvlText w:val=""/>
      <w:lvlJc w:val="left"/>
      <w:pPr>
        <w:ind w:left="3200" w:hanging="360"/>
      </w:pPr>
      <w:rPr>
        <w:rFonts w:ascii="Symbol" w:hAnsi="Symbol" w:hint="default"/>
      </w:rPr>
    </w:lvl>
    <w:lvl w:ilvl="4" w:tplc="280A0003" w:tentative="1">
      <w:start w:val="1"/>
      <w:numFmt w:val="bullet"/>
      <w:lvlText w:val="o"/>
      <w:lvlJc w:val="left"/>
      <w:pPr>
        <w:ind w:left="3920" w:hanging="360"/>
      </w:pPr>
      <w:rPr>
        <w:rFonts w:ascii="Courier New" w:hAnsi="Courier New" w:cs="Courier New" w:hint="default"/>
      </w:rPr>
    </w:lvl>
    <w:lvl w:ilvl="5" w:tplc="280A0005" w:tentative="1">
      <w:start w:val="1"/>
      <w:numFmt w:val="bullet"/>
      <w:lvlText w:val=""/>
      <w:lvlJc w:val="left"/>
      <w:pPr>
        <w:ind w:left="4640" w:hanging="360"/>
      </w:pPr>
      <w:rPr>
        <w:rFonts w:ascii="Wingdings" w:hAnsi="Wingdings" w:hint="default"/>
      </w:rPr>
    </w:lvl>
    <w:lvl w:ilvl="6" w:tplc="280A0001" w:tentative="1">
      <w:start w:val="1"/>
      <w:numFmt w:val="bullet"/>
      <w:lvlText w:val=""/>
      <w:lvlJc w:val="left"/>
      <w:pPr>
        <w:ind w:left="5360" w:hanging="360"/>
      </w:pPr>
      <w:rPr>
        <w:rFonts w:ascii="Symbol" w:hAnsi="Symbol" w:hint="default"/>
      </w:rPr>
    </w:lvl>
    <w:lvl w:ilvl="7" w:tplc="280A0003" w:tentative="1">
      <w:start w:val="1"/>
      <w:numFmt w:val="bullet"/>
      <w:lvlText w:val="o"/>
      <w:lvlJc w:val="left"/>
      <w:pPr>
        <w:ind w:left="6080" w:hanging="360"/>
      </w:pPr>
      <w:rPr>
        <w:rFonts w:ascii="Courier New" w:hAnsi="Courier New" w:cs="Courier New" w:hint="default"/>
      </w:rPr>
    </w:lvl>
    <w:lvl w:ilvl="8" w:tplc="280A0005" w:tentative="1">
      <w:start w:val="1"/>
      <w:numFmt w:val="bullet"/>
      <w:lvlText w:val=""/>
      <w:lvlJc w:val="left"/>
      <w:pPr>
        <w:ind w:left="6800" w:hanging="360"/>
      </w:pPr>
      <w:rPr>
        <w:rFonts w:ascii="Wingdings" w:hAnsi="Wingdings" w:hint="default"/>
      </w:rPr>
    </w:lvl>
  </w:abstractNum>
  <w:abstractNum w:abstractNumId="5" w15:restartNumberingAfterBreak="0">
    <w:nsid w:val="0CCC17C4"/>
    <w:multiLevelType w:val="hybridMultilevel"/>
    <w:tmpl w:val="DF5C70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0FEA4982"/>
    <w:multiLevelType w:val="multilevel"/>
    <w:tmpl w:val="AA54D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27287E"/>
    <w:multiLevelType w:val="multilevel"/>
    <w:tmpl w:val="5CB048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4D97FA5"/>
    <w:multiLevelType w:val="hybridMultilevel"/>
    <w:tmpl w:val="4F165798"/>
    <w:lvl w:ilvl="0" w:tplc="280A0001">
      <w:start w:val="1"/>
      <w:numFmt w:val="bullet"/>
      <w:lvlText w:val=""/>
      <w:lvlJc w:val="left"/>
      <w:pPr>
        <w:ind w:left="1040" w:hanging="360"/>
      </w:pPr>
      <w:rPr>
        <w:rFonts w:ascii="Symbol" w:hAnsi="Symbol" w:hint="default"/>
      </w:rPr>
    </w:lvl>
    <w:lvl w:ilvl="1" w:tplc="280A0003" w:tentative="1">
      <w:start w:val="1"/>
      <w:numFmt w:val="bullet"/>
      <w:lvlText w:val="o"/>
      <w:lvlJc w:val="left"/>
      <w:pPr>
        <w:ind w:left="1760" w:hanging="360"/>
      </w:pPr>
      <w:rPr>
        <w:rFonts w:ascii="Courier New" w:hAnsi="Courier New" w:cs="Courier New" w:hint="default"/>
      </w:rPr>
    </w:lvl>
    <w:lvl w:ilvl="2" w:tplc="280A0005" w:tentative="1">
      <w:start w:val="1"/>
      <w:numFmt w:val="bullet"/>
      <w:lvlText w:val=""/>
      <w:lvlJc w:val="left"/>
      <w:pPr>
        <w:ind w:left="2480" w:hanging="360"/>
      </w:pPr>
      <w:rPr>
        <w:rFonts w:ascii="Wingdings" w:hAnsi="Wingdings" w:hint="default"/>
      </w:rPr>
    </w:lvl>
    <w:lvl w:ilvl="3" w:tplc="280A0001" w:tentative="1">
      <w:start w:val="1"/>
      <w:numFmt w:val="bullet"/>
      <w:lvlText w:val=""/>
      <w:lvlJc w:val="left"/>
      <w:pPr>
        <w:ind w:left="3200" w:hanging="360"/>
      </w:pPr>
      <w:rPr>
        <w:rFonts w:ascii="Symbol" w:hAnsi="Symbol" w:hint="default"/>
      </w:rPr>
    </w:lvl>
    <w:lvl w:ilvl="4" w:tplc="280A0003" w:tentative="1">
      <w:start w:val="1"/>
      <w:numFmt w:val="bullet"/>
      <w:lvlText w:val="o"/>
      <w:lvlJc w:val="left"/>
      <w:pPr>
        <w:ind w:left="3920" w:hanging="360"/>
      </w:pPr>
      <w:rPr>
        <w:rFonts w:ascii="Courier New" w:hAnsi="Courier New" w:cs="Courier New" w:hint="default"/>
      </w:rPr>
    </w:lvl>
    <w:lvl w:ilvl="5" w:tplc="280A0005" w:tentative="1">
      <w:start w:val="1"/>
      <w:numFmt w:val="bullet"/>
      <w:lvlText w:val=""/>
      <w:lvlJc w:val="left"/>
      <w:pPr>
        <w:ind w:left="4640" w:hanging="360"/>
      </w:pPr>
      <w:rPr>
        <w:rFonts w:ascii="Wingdings" w:hAnsi="Wingdings" w:hint="default"/>
      </w:rPr>
    </w:lvl>
    <w:lvl w:ilvl="6" w:tplc="280A0001" w:tentative="1">
      <w:start w:val="1"/>
      <w:numFmt w:val="bullet"/>
      <w:lvlText w:val=""/>
      <w:lvlJc w:val="left"/>
      <w:pPr>
        <w:ind w:left="5360" w:hanging="360"/>
      </w:pPr>
      <w:rPr>
        <w:rFonts w:ascii="Symbol" w:hAnsi="Symbol" w:hint="default"/>
      </w:rPr>
    </w:lvl>
    <w:lvl w:ilvl="7" w:tplc="280A0003" w:tentative="1">
      <w:start w:val="1"/>
      <w:numFmt w:val="bullet"/>
      <w:lvlText w:val="o"/>
      <w:lvlJc w:val="left"/>
      <w:pPr>
        <w:ind w:left="6080" w:hanging="360"/>
      </w:pPr>
      <w:rPr>
        <w:rFonts w:ascii="Courier New" w:hAnsi="Courier New" w:cs="Courier New" w:hint="default"/>
      </w:rPr>
    </w:lvl>
    <w:lvl w:ilvl="8" w:tplc="280A0005" w:tentative="1">
      <w:start w:val="1"/>
      <w:numFmt w:val="bullet"/>
      <w:lvlText w:val=""/>
      <w:lvlJc w:val="left"/>
      <w:pPr>
        <w:ind w:left="6800" w:hanging="360"/>
      </w:pPr>
      <w:rPr>
        <w:rFonts w:ascii="Wingdings" w:hAnsi="Wingdings" w:hint="default"/>
      </w:rPr>
    </w:lvl>
  </w:abstractNum>
  <w:abstractNum w:abstractNumId="9" w15:restartNumberingAfterBreak="0">
    <w:nsid w:val="14E369E1"/>
    <w:multiLevelType w:val="hybridMultilevel"/>
    <w:tmpl w:val="358496C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152F5440"/>
    <w:multiLevelType w:val="hybridMultilevel"/>
    <w:tmpl w:val="AEE628DE"/>
    <w:lvl w:ilvl="0" w:tplc="280A0005">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1" w15:restartNumberingAfterBreak="0">
    <w:nsid w:val="16822D4A"/>
    <w:multiLevelType w:val="multilevel"/>
    <w:tmpl w:val="797882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3680E4D"/>
    <w:multiLevelType w:val="hybridMultilevel"/>
    <w:tmpl w:val="B56C7998"/>
    <w:lvl w:ilvl="0" w:tplc="280A0001">
      <w:start w:val="1"/>
      <w:numFmt w:val="bullet"/>
      <w:lvlText w:val=""/>
      <w:lvlJc w:val="left"/>
      <w:pPr>
        <w:ind w:left="1280" w:hanging="5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 w15:restartNumberingAfterBreak="0">
    <w:nsid w:val="27EE1FF4"/>
    <w:multiLevelType w:val="multilevel"/>
    <w:tmpl w:val="22EAD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BDE2392"/>
    <w:multiLevelType w:val="multilevel"/>
    <w:tmpl w:val="95CE6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BFC15B8"/>
    <w:multiLevelType w:val="hybridMultilevel"/>
    <w:tmpl w:val="E52EBDC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2F517C04"/>
    <w:multiLevelType w:val="hybridMultilevel"/>
    <w:tmpl w:val="E4AE92D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12C1366"/>
    <w:multiLevelType w:val="hybridMultilevel"/>
    <w:tmpl w:val="C3004E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1F543BE"/>
    <w:multiLevelType w:val="hybridMultilevel"/>
    <w:tmpl w:val="5EC07246"/>
    <w:lvl w:ilvl="0" w:tplc="C4B868F8">
      <w:numFmt w:val="bullet"/>
      <w:lvlText w:val="·"/>
      <w:lvlJc w:val="left"/>
      <w:pPr>
        <w:ind w:left="680" w:hanging="360"/>
      </w:pPr>
      <w:rPr>
        <w:rFonts w:ascii="Calibri" w:eastAsia="Roboto" w:hAnsi="Calibri" w:cs="Calibri" w:hint="default"/>
        <w:color w:val="auto"/>
      </w:rPr>
    </w:lvl>
    <w:lvl w:ilvl="1" w:tplc="280A0003" w:tentative="1">
      <w:start w:val="1"/>
      <w:numFmt w:val="bullet"/>
      <w:lvlText w:val="o"/>
      <w:lvlJc w:val="left"/>
      <w:pPr>
        <w:ind w:left="1400" w:hanging="360"/>
      </w:pPr>
      <w:rPr>
        <w:rFonts w:ascii="Courier New" w:hAnsi="Courier New" w:cs="Courier New" w:hint="default"/>
      </w:rPr>
    </w:lvl>
    <w:lvl w:ilvl="2" w:tplc="280A0005" w:tentative="1">
      <w:start w:val="1"/>
      <w:numFmt w:val="bullet"/>
      <w:lvlText w:val=""/>
      <w:lvlJc w:val="left"/>
      <w:pPr>
        <w:ind w:left="2120" w:hanging="360"/>
      </w:pPr>
      <w:rPr>
        <w:rFonts w:ascii="Wingdings" w:hAnsi="Wingdings" w:hint="default"/>
      </w:rPr>
    </w:lvl>
    <w:lvl w:ilvl="3" w:tplc="280A0001" w:tentative="1">
      <w:start w:val="1"/>
      <w:numFmt w:val="bullet"/>
      <w:lvlText w:val=""/>
      <w:lvlJc w:val="left"/>
      <w:pPr>
        <w:ind w:left="2840" w:hanging="360"/>
      </w:pPr>
      <w:rPr>
        <w:rFonts w:ascii="Symbol" w:hAnsi="Symbol" w:hint="default"/>
      </w:rPr>
    </w:lvl>
    <w:lvl w:ilvl="4" w:tplc="280A0003" w:tentative="1">
      <w:start w:val="1"/>
      <w:numFmt w:val="bullet"/>
      <w:lvlText w:val="o"/>
      <w:lvlJc w:val="left"/>
      <w:pPr>
        <w:ind w:left="3560" w:hanging="360"/>
      </w:pPr>
      <w:rPr>
        <w:rFonts w:ascii="Courier New" w:hAnsi="Courier New" w:cs="Courier New" w:hint="default"/>
      </w:rPr>
    </w:lvl>
    <w:lvl w:ilvl="5" w:tplc="280A0005" w:tentative="1">
      <w:start w:val="1"/>
      <w:numFmt w:val="bullet"/>
      <w:lvlText w:val=""/>
      <w:lvlJc w:val="left"/>
      <w:pPr>
        <w:ind w:left="4280" w:hanging="360"/>
      </w:pPr>
      <w:rPr>
        <w:rFonts w:ascii="Wingdings" w:hAnsi="Wingdings" w:hint="default"/>
      </w:rPr>
    </w:lvl>
    <w:lvl w:ilvl="6" w:tplc="280A0001" w:tentative="1">
      <w:start w:val="1"/>
      <w:numFmt w:val="bullet"/>
      <w:lvlText w:val=""/>
      <w:lvlJc w:val="left"/>
      <w:pPr>
        <w:ind w:left="5000" w:hanging="360"/>
      </w:pPr>
      <w:rPr>
        <w:rFonts w:ascii="Symbol" w:hAnsi="Symbol" w:hint="default"/>
      </w:rPr>
    </w:lvl>
    <w:lvl w:ilvl="7" w:tplc="280A0003" w:tentative="1">
      <w:start w:val="1"/>
      <w:numFmt w:val="bullet"/>
      <w:lvlText w:val="o"/>
      <w:lvlJc w:val="left"/>
      <w:pPr>
        <w:ind w:left="5720" w:hanging="360"/>
      </w:pPr>
      <w:rPr>
        <w:rFonts w:ascii="Courier New" w:hAnsi="Courier New" w:cs="Courier New" w:hint="default"/>
      </w:rPr>
    </w:lvl>
    <w:lvl w:ilvl="8" w:tplc="280A0005" w:tentative="1">
      <w:start w:val="1"/>
      <w:numFmt w:val="bullet"/>
      <w:lvlText w:val=""/>
      <w:lvlJc w:val="left"/>
      <w:pPr>
        <w:ind w:left="6440" w:hanging="360"/>
      </w:pPr>
      <w:rPr>
        <w:rFonts w:ascii="Wingdings" w:hAnsi="Wingdings" w:hint="default"/>
      </w:rPr>
    </w:lvl>
  </w:abstractNum>
  <w:abstractNum w:abstractNumId="19" w15:restartNumberingAfterBreak="0">
    <w:nsid w:val="334D4E0F"/>
    <w:multiLevelType w:val="hybridMultilevel"/>
    <w:tmpl w:val="EDAEB918"/>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33AE55B5"/>
    <w:multiLevelType w:val="hybridMultilevel"/>
    <w:tmpl w:val="8D08F46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38CF22E0"/>
    <w:multiLevelType w:val="hybridMultilevel"/>
    <w:tmpl w:val="5ED461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3AF336E3"/>
    <w:multiLevelType w:val="hybridMultilevel"/>
    <w:tmpl w:val="E00A9DD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4DEC2910"/>
    <w:multiLevelType w:val="hybridMultilevel"/>
    <w:tmpl w:val="041E3E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5218211A"/>
    <w:multiLevelType w:val="multilevel"/>
    <w:tmpl w:val="5454A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FCD02C1"/>
    <w:multiLevelType w:val="hybridMultilevel"/>
    <w:tmpl w:val="9196CCCC"/>
    <w:lvl w:ilvl="0" w:tplc="30580016">
      <w:start w:val="1"/>
      <w:numFmt w:val="decimal"/>
      <w:lvlText w:val="%1."/>
      <w:lvlJc w:val="left"/>
      <w:pPr>
        <w:ind w:left="608" w:hanging="499"/>
      </w:pPr>
      <w:rPr>
        <w:rFonts w:ascii="Roboto" w:eastAsia="Roboto" w:hAnsi="Roboto" w:cs="Roboto" w:hint="default"/>
        <w:color w:val="202024"/>
        <w:w w:val="99"/>
        <w:sz w:val="24"/>
        <w:szCs w:val="24"/>
        <w:lang w:val="es-ES" w:eastAsia="en-US" w:bidi="ar-SA"/>
      </w:rPr>
    </w:lvl>
    <w:lvl w:ilvl="1" w:tplc="CC5EF180">
      <w:numFmt w:val="bullet"/>
      <w:lvlText w:val="•"/>
      <w:lvlJc w:val="left"/>
      <w:pPr>
        <w:ind w:left="1497" w:hanging="499"/>
      </w:pPr>
      <w:rPr>
        <w:rFonts w:hint="default"/>
        <w:lang w:val="es-ES" w:eastAsia="en-US" w:bidi="ar-SA"/>
      </w:rPr>
    </w:lvl>
    <w:lvl w:ilvl="2" w:tplc="5A26E8CE">
      <w:numFmt w:val="bullet"/>
      <w:lvlText w:val="•"/>
      <w:lvlJc w:val="left"/>
      <w:pPr>
        <w:ind w:left="2395" w:hanging="499"/>
      </w:pPr>
      <w:rPr>
        <w:rFonts w:hint="default"/>
        <w:lang w:val="es-ES" w:eastAsia="en-US" w:bidi="ar-SA"/>
      </w:rPr>
    </w:lvl>
    <w:lvl w:ilvl="3" w:tplc="CBAE6BA6">
      <w:numFmt w:val="bullet"/>
      <w:lvlText w:val="•"/>
      <w:lvlJc w:val="left"/>
      <w:pPr>
        <w:ind w:left="3293" w:hanging="499"/>
      </w:pPr>
      <w:rPr>
        <w:rFonts w:hint="default"/>
        <w:lang w:val="es-ES" w:eastAsia="en-US" w:bidi="ar-SA"/>
      </w:rPr>
    </w:lvl>
    <w:lvl w:ilvl="4" w:tplc="43AC6C44">
      <w:numFmt w:val="bullet"/>
      <w:lvlText w:val="•"/>
      <w:lvlJc w:val="left"/>
      <w:pPr>
        <w:ind w:left="4191" w:hanging="499"/>
      </w:pPr>
      <w:rPr>
        <w:rFonts w:hint="default"/>
        <w:lang w:val="es-ES" w:eastAsia="en-US" w:bidi="ar-SA"/>
      </w:rPr>
    </w:lvl>
    <w:lvl w:ilvl="5" w:tplc="FBE897CA">
      <w:numFmt w:val="bullet"/>
      <w:lvlText w:val="•"/>
      <w:lvlJc w:val="left"/>
      <w:pPr>
        <w:ind w:left="5089" w:hanging="499"/>
      </w:pPr>
      <w:rPr>
        <w:rFonts w:hint="default"/>
        <w:lang w:val="es-ES" w:eastAsia="en-US" w:bidi="ar-SA"/>
      </w:rPr>
    </w:lvl>
    <w:lvl w:ilvl="6" w:tplc="A550768E">
      <w:numFmt w:val="bullet"/>
      <w:lvlText w:val="•"/>
      <w:lvlJc w:val="left"/>
      <w:pPr>
        <w:ind w:left="5987" w:hanging="499"/>
      </w:pPr>
      <w:rPr>
        <w:rFonts w:hint="default"/>
        <w:lang w:val="es-ES" w:eastAsia="en-US" w:bidi="ar-SA"/>
      </w:rPr>
    </w:lvl>
    <w:lvl w:ilvl="7" w:tplc="A5D8BD08">
      <w:numFmt w:val="bullet"/>
      <w:lvlText w:val="•"/>
      <w:lvlJc w:val="left"/>
      <w:pPr>
        <w:ind w:left="6885" w:hanging="499"/>
      </w:pPr>
      <w:rPr>
        <w:rFonts w:hint="default"/>
        <w:lang w:val="es-ES" w:eastAsia="en-US" w:bidi="ar-SA"/>
      </w:rPr>
    </w:lvl>
    <w:lvl w:ilvl="8" w:tplc="82988CCE">
      <w:numFmt w:val="bullet"/>
      <w:lvlText w:val="•"/>
      <w:lvlJc w:val="left"/>
      <w:pPr>
        <w:ind w:left="7783" w:hanging="499"/>
      </w:pPr>
      <w:rPr>
        <w:rFonts w:hint="default"/>
        <w:lang w:val="es-ES" w:eastAsia="en-US" w:bidi="ar-SA"/>
      </w:rPr>
    </w:lvl>
  </w:abstractNum>
  <w:abstractNum w:abstractNumId="26" w15:restartNumberingAfterBreak="0">
    <w:nsid w:val="62DC5FA6"/>
    <w:multiLevelType w:val="hybridMultilevel"/>
    <w:tmpl w:val="C0E0053A"/>
    <w:lvl w:ilvl="0" w:tplc="280A0017">
      <w:start w:val="1"/>
      <w:numFmt w:val="lowerLetter"/>
      <w:lvlText w:val="%1)"/>
      <w:lvlJc w:val="left"/>
      <w:pPr>
        <w:ind w:left="720" w:hanging="360"/>
      </w:pPr>
      <w:rPr>
        <w:rFont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652211AA"/>
    <w:multiLevelType w:val="multilevel"/>
    <w:tmpl w:val="D8A4957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8" w15:restartNumberingAfterBreak="0">
    <w:nsid w:val="66470379"/>
    <w:multiLevelType w:val="hybridMultilevel"/>
    <w:tmpl w:val="E41EF97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9" w15:restartNumberingAfterBreak="0">
    <w:nsid w:val="680E30E0"/>
    <w:multiLevelType w:val="hybridMultilevel"/>
    <w:tmpl w:val="C7B294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6A020AF5"/>
    <w:multiLevelType w:val="hybridMultilevel"/>
    <w:tmpl w:val="092064B6"/>
    <w:lvl w:ilvl="0" w:tplc="E92CC452">
      <w:numFmt w:val="bullet"/>
      <w:lvlText w:val="·"/>
      <w:lvlJc w:val="left"/>
      <w:pPr>
        <w:ind w:left="920" w:hanging="560"/>
      </w:pPr>
      <w:rPr>
        <w:rFonts w:ascii="Calibri" w:eastAsia="Roboto"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6BB2562B"/>
    <w:multiLevelType w:val="hybridMultilevel"/>
    <w:tmpl w:val="E56869E4"/>
    <w:lvl w:ilvl="0" w:tplc="E92CC452">
      <w:numFmt w:val="bullet"/>
      <w:lvlText w:val="·"/>
      <w:lvlJc w:val="left"/>
      <w:pPr>
        <w:ind w:left="1280" w:hanging="560"/>
      </w:pPr>
      <w:rPr>
        <w:rFonts w:ascii="Calibri" w:eastAsia="Roboto" w:hAnsi="Calibri" w:cs="Calibr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2" w15:restartNumberingAfterBreak="0">
    <w:nsid w:val="6C734933"/>
    <w:multiLevelType w:val="hybridMultilevel"/>
    <w:tmpl w:val="C32AA9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6CDC128B"/>
    <w:multiLevelType w:val="hybridMultilevel"/>
    <w:tmpl w:val="86C492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6D953BEC"/>
    <w:multiLevelType w:val="hybridMultilevel"/>
    <w:tmpl w:val="132E10D0"/>
    <w:lvl w:ilvl="0" w:tplc="E92CC452">
      <w:numFmt w:val="bullet"/>
      <w:lvlText w:val="·"/>
      <w:lvlJc w:val="left"/>
      <w:pPr>
        <w:ind w:left="920" w:hanging="560"/>
      </w:pPr>
      <w:rPr>
        <w:rFonts w:ascii="Calibri" w:eastAsia="Roboto"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711F70A7"/>
    <w:multiLevelType w:val="multilevel"/>
    <w:tmpl w:val="FF5AB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A2E00F2"/>
    <w:multiLevelType w:val="hybridMultilevel"/>
    <w:tmpl w:val="06EA8C0E"/>
    <w:lvl w:ilvl="0" w:tplc="280A0001">
      <w:start w:val="1"/>
      <w:numFmt w:val="bullet"/>
      <w:lvlText w:val=""/>
      <w:lvlJc w:val="left"/>
      <w:pPr>
        <w:ind w:left="766" w:hanging="360"/>
      </w:pPr>
      <w:rPr>
        <w:rFonts w:ascii="Symbol" w:hAnsi="Symbol" w:hint="default"/>
      </w:rPr>
    </w:lvl>
    <w:lvl w:ilvl="1" w:tplc="280A0003" w:tentative="1">
      <w:start w:val="1"/>
      <w:numFmt w:val="bullet"/>
      <w:lvlText w:val="o"/>
      <w:lvlJc w:val="left"/>
      <w:pPr>
        <w:ind w:left="1486" w:hanging="360"/>
      </w:pPr>
      <w:rPr>
        <w:rFonts w:ascii="Courier New" w:hAnsi="Courier New" w:cs="Courier New" w:hint="default"/>
      </w:rPr>
    </w:lvl>
    <w:lvl w:ilvl="2" w:tplc="280A0005" w:tentative="1">
      <w:start w:val="1"/>
      <w:numFmt w:val="bullet"/>
      <w:lvlText w:val=""/>
      <w:lvlJc w:val="left"/>
      <w:pPr>
        <w:ind w:left="2206" w:hanging="360"/>
      </w:pPr>
      <w:rPr>
        <w:rFonts w:ascii="Wingdings" w:hAnsi="Wingdings" w:hint="default"/>
      </w:rPr>
    </w:lvl>
    <w:lvl w:ilvl="3" w:tplc="280A0001" w:tentative="1">
      <w:start w:val="1"/>
      <w:numFmt w:val="bullet"/>
      <w:lvlText w:val=""/>
      <w:lvlJc w:val="left"/>
      <w:pPr>
        <w:ind w:left="2926" w:hanging="360"/>
      </w:pPr>
      <w:rPr>
        <w:rFonts w:ascii="Symbol" w:hAnsi="Symbol" w:hint="default"/>
      </w:rPr>
    </w:lvl>
    <w:lvl w:ilvl="4" w:tplc="280A0003" w:tentative="1">
      <w:start w:val="1"/>
      <w:numFmt w:val="bullet"/>
      <w:lvlText w:val="o"/>
      <w:lvlJc w:val="left"/>
      <w:pPr>
        <w:ind w:left="3646" w:hanging="360"/>
      </w:pPr>
      <w:rPr>
        <w:rFonts w:ascii="Courier New" w:hAnsi="Courier New" w:cs="Courier New" w:hint="default"/>
      </w:rPr>
    </w:lvl>
    <w:lvl w:ilvl="5" w:tplc="280A0005" w:tentative="1">
      <w:start w:val="1"/>
      <w:numFmt w:val="bullet"/>
      <w:lvlText w:val=""/>
      <w:lvlJc w:val="left"/>
      <w:pPr>
        <w:ind w:left="4366" w:hanging="360"/>
      </w:pPr>
      <w:rPr>
        <w:rFonts w:ascii="Wingdings" w:hAnsi="Wingdings" w:hint="default"/>
      </w:rPr>
    </w:lvl>
    <w:lvl w:ilvl="6" w:tplc="280A0001" w:tentative="1">
      <w:start w:val="1"/>
      <w:numFmt w:val="bullet"/>
      <w:lvlText w:val=""/>
      <w:lvlJc w:val="left"/>
      <w:pPr>
        <w:ind w:left="5086" w:hanging="360"/>
      </w:pPr>
      <w:rPr>
        <w:rFonts w:ascii="Symbol" w:hAnsi="Symbol" w:hint="default"/>
      </w:rPr>
    </w:lvl>
    <w:lvl w:ilvl="7" w:tplc="280A0003" w:tentative="1">
      <w:start w:val="1"/>
      <w:numFmt w:val="bullet"/>
      <w:lvlText w:val="o"/>
      <w:lvlJc w:val="left"/>
      <w:pPr>
        <w:ind w:left="5806" w:hanging="360"/>
      </w:pPr>
      <w:rPr>
        <w:rFonts w:ascii="Courier New" w:hAnsi="Courier New" w:cs="Courier New" w:hint="default"/>
      </w:rPr>
    </w:lvl>
    <w:lvl w:ilvl="8" w:tplc="280A0005" w:tentative="1">
      <w:start w:val="1"/>
      <w:numFmt w:val="bullet"/>
      <w:lvlText w:val=""/>
      <w:lvlJc w:val="left"/>
      <w:pPr>
        <w:ind w:left="6526" w:hanging="360"/>
      </w:pPr>
      <w:rPr>
        <w:rFonts w:ascii="Wingdings" w:hAnsi="Wingdings" w:hint="default"/>
      </w:rPr>
    </w:lvl>
  </w:abstractNum>
  <w:abstractNum w:abstractNumId="37" w15:restartNumberingAfterBreak="0">
    <w:nsid w:val="7FEC4D38"/>
    <w:multiLevelType w:val="hybridMultilevel"/>
    <w:tmpl w:val="5BB49D6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3"/>
  </w:num>
  <w:num w:numId="2">
    <w:abstractNumId w:val="27"/>
  </w:num>
  <w:num w:numId="3">
    <w:abstractNumId w:val="11"/>
  </w:num>
  <w:num w:numId="4">
    <w:abstractNumId w:val="24"/>
  </w:num>
  <w:num w:numId="5">
    <w:abstractNumId w:val="35"/>
  </w:num>
  <w:num w:numId="6">
    <w:abstractNumId w:val="3"/>
  </w:num>
  <w:num w:numId="7">
    <w:abstractNumId w:val="1"/>
  </w:num>
  <w:num w:numId="8">
    <w:abstractNumId w:val="14"/>
  </w:num>
  <w:num w:numId="9">
    <w:abstractNumId w:val="6"/>
  </w:num>
  <w:num w:numId="10">
    <w:abstractNumId w:val="7"/>
  </w:num>
  <w:num w:numId="11">
    <w:abstractNumId w:val="28"/>
  </w:num>
  <w:num w:numId="12">
    <w:abstractNumId w:val="34"/>
  </w:num>
  <w:num w:numId="13">
    <w:abstractNumId w:val="30"/>
  </w:num>
  <w:num w:numId="14">
    <w:abstractNumId w:val="31"/>
  </w:num>
  <w:num w:numId="15">
    <w:abstractNumId w:val="12"/>
  </w:num>
  <w:num w:numId="16">
    <w:abstractNumId w:val="4"/>
  </w:num>
  <w:num w:numId="17">
    <w:abstractNumId w:val="0"/>
  </w:num>
  <w:num w:numId="18">
    <w:abstractNumId w:val="2"/>
  </w:num>
  <w:num w:numId="19">
    <w:abstractNumId w:val="8"/>
  </w:num>
  <w:num w:numId="20">
    <w:abstractNumId w:val="18"/>
  </w:num>
  <w:num w:numId="21">
    <w:abstractNumId w:val="25"/>
  </w:num>
  <w:num w:numId="22">
    <w:abstractNumId w:val="15"/>
  </w:num>
  <w:num w:numId="23">
    <w:abstractNumId w:val="20"/>
  </w:num>
  <w:num w:numId="24">
    <w:abstractNumId w:val="19"/>
  </w:num>
  <w:num w:numId="25">
    <w:abstractNumId w:val="36"/>
  </w:num>
  <w:num w:numId="26">
    <w:abstractNumId w:val="10"/>
  </w:num>
  <w:num w:numId="27">
    <w:abstractNumId w:val="16"/>
  </w:num>
  <w:num w:numId="28">
    <w:abstractNumId w:val="22"/>
  </w:num>
  <w:num w:numId="29">
    <w:abstractNumId w:val="5"/>
  </w:num>
  <w:num w:numId="30">
    <w:abstractNumId w:val="21"/>
  </w:num>
  <w:num w:numId="31">
    <w:abstractNumId w:val="9"/>
  </w:num>
  <w:num w:numId="32">
    <w:abstractNumId w:val="32"/>
  </w:num>
  <w:num w:numId="33">
    <w:abstractNumId w:val="37"/>
  </w:num>
  <w:num w:numId="34">
    <w:abstractNumId w:val="29"/>
  </w:num>
  <w:num w:numId="35">
    <w:abstractNumId w:val="33"/>
  </w:num>
  <w:num w:numId="36">
    <w:abstractNumId w:val="26"/>
  </w:num>
  <w:num w:numId="37">
    <w:abstractNumId w:val="17"/>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A1"/>
    <w:rsid w:val="00000AA1"/>
    <w:rsid w:val="00000BDD"/>
    <w:rsid w:val="00001D62"/>
    <w:rsid w:val="000072ED"/>
    <w:rsid w:val="000168BC"/>
    <w:rsid w:val="00022BF1"/>
    <w:rsid w:val="0002572F"/>
    <w:rsid w:val="00026213"/>
    <w:rsid w:val="00030B56"/>
    <w:rsid w:val="00032093"/>
    <w:rsid w:val="00032107"/>
    <w:rsid w:val="0003351E"/>
    <w:rsid w:val="00046518"/>
    <w:rsid w:val="00060A5A"/>
    <w:rsid w:val="00062518"/>
    <w:rsid w:val="000720C8"/>
    <w:rsid w:val="00072CEE"/>
    <w:rsid w:val="00086EAE"/>
    <w:rsid w:val="00095C76"/>
    <w:rsid w:val="000A0C6C"/>
    <w:rsid w:val="000B2E87"/>
    <w:rsid w:val="000B36CB"/>
    <w:rsid w:val="000B6C33"/>
    <w:rsid w:val="000C398E"/>
    <w:rsid w:val="000C714C"/>
    <w:rsid w:val="000C766D"/>
    <w:rsid w:val="000D05B4"/>
    <w:rsid w:val="000E5061"/>
    <w:rsid w:val="000F2EAC"/>
    <w:rsid w:val="000F3133"/>
    <w:rsid w:val="000F6CAE"/>
    <w:rsid w:val="00103CFC"/>
    <w:rsid w:val="00104A2D"/>
    <w:rsid w:val="001270CF"/>
    <w:rsid w:val="00127241"/>
    <w:rsid w:val="00130FC0"/>
    <w:rsid w:val="001347DD"/>
    <w:rsid w:val="00157766"/>
    <w:rsid w:val="00160269"/>
    <w:rsid w:val="00164EA6"/>
    <w:rsid w:val="00165487"/>
    <w:rsid w:val="00172E19"/>
    <w:rsid w:val="00175B38"/>
    <w:rsid w:val="00181AB8"/>
    <w:rsid w:val="0018302C"/>
    <w:rsid w:val="00184D8B"/>
    <w:rsid w:val="001964DC"/>
    <w:rsid w:val="001A145E"/>
    <w:rsid w:val="001A20EC"/>
    <w:rsid w:val="001A68EA"/>
    <w:rsid w:val="001B1949"/>
    <w:rsid w:val="001B36B2"/>
    <w:rsid w:val="001B6E76"/>
    <w:rsid w:val="001C3FB7"/>
    <w:rsid w:val="001C61D5"/>
    <w:rsid w:val="001D797A"/>
    <w:rsid w:val="001F3734"/>
    <w:rsid w:val="001F6073"/>
    <w:rsid w:val="001F6AF8"/>
    <w:rsid w:val="00203063"/>
    <w:rsid w:val="00205E6F"/>
    <w:rsid w:val="0021241E"/>
    <w:rsid w:val="0021299D"/>
    <w:rsid w:val="00212D5F"/>
    <w:rsid w:val="002141EF"/>
    <w:rsid w:val="00222732"/>
    <w:rsid w:val="00232E84"/>
    <w:rsid w:val="00234B7D"/>
    <w:rsid w:val="00242652"/>
    <w:rsid w:val="00246D5C"/>
    <w:rsid w:val="002476F2"/>
    <w:rsid w:val="00251B77"/>
    <w:rsid w:val="0025489D"/>
    <w:rsid w:val="00257B18"/>
    <w:rsid w:val="00262105"/>
    <w:rsid w:val="00280D75"/>
    <w:rsid w:val="00290062"/>
    <w:rsid w:val="00290FD8"/>
    <w:rsid w:val="00297EC1"/>
    <w:rsid w:val="002A01AC"/>
    <w:rsid w:val="002A112B"/>
    <w:rsid w:val="002A6886"/>
    <w:rsid w:val="002B6751"/>
    <w:rsid w:val="002C0520"/>
    <w:rsid w:val="002C45C4"/>
    <w:rsid w:val="002C49EA"/>
    <w:rsid w:val="002D23E4"/>
    <w:rsid w:val="002E1C43"/>
    <w:rsid w:val="002E5929"/>
    <w:rsid w:val="002F2AA2"/>
    <w:rsid w:val="00315195"/>
    <w:rsid w:val="00324C9C"/>
    <w:rsid w:val="00330D78"/>
    <w:rsid w:val="00333B53"/>
    <w:rsid w:val="003341F2"/>
    <w:rsid w:val="0034645F"/>
    <w:rsid w:val="00346AE9"/>
    <w:rsid w:val="003511B1"/>
    <w:rsid w:val="00351E4C"/>
    <w:rsid w:val="00352FC4"/>
    <w:rsid w:val="003530AF"/>
    <w:rsid w:val="00356F00"/>
    <w:rsid w:val="00362FE7"/>
    <w:rsid w:val="003649B4"/>
    <w:rsid w:val="003655D7"/>
    <w:rsid w:val="0038045F"/>
    <w:rsid w:val="00386620"/>
    <w:rsid w:val="00386849"/>
    <w:rsid w:val="003A1294"/>
    <w:rsid w:val="003A6641"/>
    <w:rsid w:val="003A7993"/>
    <w:rsid w:val="003B2ED4"/>
    <w:rsid w:val="003B32EC"/>
    <w:rsid w:val="003C0A59"/>
    <w:rsid w:val="003C0F2B"/>
    <w:rsid w:val="003D3B8C"/>
    <w:rsid w:val="003E28CD"/>
    <w:rsid w:val="003E6EB0"/>
    <w:rsid w:val="00421105"/>
    <w:rsid w:val="00425959"/>
    <w:rsid w:val="00427DD0"/>
    <w:rsid w:val="00434621"/>
    <w:rsid w:val="00435366"/>
    <w:rsid w:val="004410D4"/>
    <w:rsid w:val="00442A9B"/>
    <w:rsid w:val="004470B7"/>
    <w:rsid w:val="00450231"/>
    <w:rsid w:val="00455F70"/>
    <w:rsid w:val="0046134E"/>
    <w:rsid w:val="00470633"/>
    <w:rsid w:val="00472D1D"/>
    <w:rsid w:val="00483B36"/>
    <w:rsid w:val="0048448F"/>
    <w:rsid w:val="0049670E"/>
    <w:rsid w:val="004A1883"/>
    <w:rsid w:val="004A5267"/>
    <w:rsid w:val="004B6BB0"/>
    <w:rsid w:val="004C0904"/>
    <w:rsid w:val="004C2289"/>
    <w:rsid w:val="004C3C82"/>
    <w:rsid w:val="004C5737"/>
    <w:rsid w:val="004C5B79"/>
    <w:rsid w:val="004C682F"/>
    <w:rsid w:val="004C6AB1"/>
    <w:rsid w:val="004E4515"/>
    <w:rsid w:val="004E5D3E"/>
    <w:rsid w:val="004F49F5"/>
    <w:rsid w:val="00502BC1"/>
    <w:rsid w:val="0050442C"/>
    <w:rsid w:val="00511A78"/>
    <w:rsid w:val="00512DB7"/>
    <w:rsid w:val="00513644"/>
    <w:rsid w:val="005149F0"/>
    <w:rsid w:val="0051634A"/>
    <w:rsid w:val="00521694"/>
    <w:rsid w:val="00526E59"/>
    <w:rsid w:val="005273F4"/>
    <w:rsid w:val="005353F6"/>
    <w:rsid w:val="00537F99"/>
    <w:rsid w:val="0054092A"/>
    <w:rsid w:val="00544B3F"/>
    <w:rsid w:val="00546197"/>
    <w:rsid w:val="005555E8"/>
    <w:rsid w:val="00556744"/>
    <w:rsid w:val="005607AE"/>
    <w:rsid w:val="00563772"/>
    <w:rsid w:val="005647FE"/>
    <w:rsid w:val="0059137A"/>
    <w:rsid w:val="005938E1"/>
    <w:rsid w:val="005A1182"/>
    <w:rsid w:val="005A153A"/>
    <w:rsid w:val="005B0F57"/>
    <w:rsid w:val="005B1941"/>
    <w:rsid w:val="005B590F"/>
    <w:rsid w:val="005B6805"/>
    <w:rsid w:val="005C6511"/>
    <w:rsid w:val="005D1908"/>
    <w:rsid w:val="005D42C8"/>
    <w:rsid w:val="005D76C9"/>
    <w:rsid w:val="005F28CF"/>
    <w:rsid w:val="005F709C"/>
    <w:rsid w:val="006129DF"/>
    <w:rsid w:val="00621B4D"/>
    <w:rsid w:val="00625B38"/>
    <w:rsid w:val="0063139D"/>
    <w:rsid w:val="00650A66"/>
    <w:rsid w:val="00661619"/>
    <w:rsid w:val="00661764"/>
    <w:rsid w:val="00662EEC"/>
    <w:rsid w:val="00670CF3"/>
    <w:rsid w:val="00671DEA"/>
    <w:rsid w:val="0068207E"/>
    <w:rsid w:val="0068754E"/>
    <w:rsid w:val="0069079C"/>
    <w:rsid w:val="006911C2"/>
    <w:rsid w:val="006939D1"/>
    <w:rsid w:val="0069409B"/>
    <w:rsid w:val="006956D9"/>
    <w:rsid w:val="00695B91"/>
    <w:rsid w:val="006A50D5"/>
    <w:rsid w:val="006B0C74"/>
    <w:rsid w:val="006B3CBE"/>
    <w:rsid w:val="006C102C"/>
    <w:rsid w:val="006C4944"/>
    <w:rsid w:val="006C79E3"/>
    <w:rsid w:val="006D33AF"/>
    <w:rsid w:val="006F1BDA"/>
    <w:rsid w:val="00705186"/>
    <w:rsid w:val="007149BE"/>
    <w:rsid w:val="00724DB6"/>
    <w:rsid w:val="00742E2E"/>
    <w:rsid w:val="00743494"/>
    <w:rsid w:val="007568B0"/>
    <w:rsid w:val="00756E7D"/>
    <w:rsid w:val="00757044"/>
    <w:rsid w:val="00761457"/>
    <w:rsid w:val="00770E80"/>
    <w:rsid w:val="007745C0"/>
    <w:rsid w:val="00782CFF"/>
    <w:rsid w:val="007A64F0"/>
    <w:rsid w:val="007A65EC"/>
    <w:rsid w:val="007A6B5D"/>
    <w:rsid w:val="007B0798"/>
    <w:rsid w:val="007B1EE4"/>
    <w:rsid w:val="007C590F"/>
    <w:rsid w:val="007C798E"/>
    <w:rsid w:val="007D2751"/>
    <w:rsid w:val="007D692F"/>
    <w:rsid w:val="007E3400"/>
    <w:rsid w:val="00800380"/>
    <w:rsid w:val="008020EE"/>
    <w:rsid w:val="00810CA9"/>
    <w:rsid w:val="00810F1E"/>
    <w:rsid w:val="008138B2"/>
    <w:rsid w:val="008203B0"/>
    <w:rsid w:val="0082125C"/>
    <w:rsid w:val="0082155D"/>
    <w:rsid w:val="00823709"/>
    <w:rsid w:val="00824F7E"/>
    <w:rsid w:val="00827918"/>
    <w:rsid w:val="00851EAF"/>
    <w:rsid w:val="0086194E"/>
    <w:rsid w:val="00862D89"/>
    <w:rsid w:val="00862EF2"/>
    <w:rsid w:val="00867ED8"/>
    <w:rsid w:val="00870558"/>
    <w:rsid w:val="008707EB"/>
    <w:rsid w:val="00870FEE"/>
    <w:rsid w:val="008829C3"/>
    <w:rsid w:val="00891FF3"/>
    <w:rsid w:val="008935A9"/>
    <w:rsid w:val="008A1010"/>
    <w:rsid w:val="008C0F7B"/>
    <w:rsid w:val="008C1000"/>
    <w:rsid w:val="008C7C6B"/>
    <w:rsid w:val="008D1C8A"/>
    <w:rsid w:val="008D60D9"/>
    <w:rsid w:val="008D68D4"/>
    <w:rsid w:val="008E2619"/>
    <w:rsid w:val="008E3FF2"/>
    <w:rsid w:val="008E59D2"/>
    <w:rsid w:val="008E6A19"/>
    <w:rsid w:val="009026FA"/>
    <w:rsid w:val="00904B6F"/>
    <w:rsid w:val="00905345"/>
    <w:rsid w:val="00913EB3"/>
    <w:rsid w:val="0091502A"/>
    <w:rsid w:val="009275BE"/>
    <w:rsid w:val="00933612"/>
    <w:rsid w:val="00950CB7"/>
    <w:rsid w:val="00957070"/>
    <w:rsid w:val="0095775C"/>
    <w:rsid w:val="009675DF"/>
    <w:rsid w:val="00967911"/>
    <w:rsid w:val="00967C2B"/>
    <w:rsid w:val="009717B0"/>
    <w:rsid w:val="009724D8"/>
    <w:rsid w:val="00972829"/>
    <w:rsid w:val="00973BB6"/>
    <w:rsid w:val="009743D8"/>
    <w:rsid w:val="00977B26"/>
    <w:rsid w:val="009833C7"/>
    <w:rsid w:val="00983AD8"/>
    <w:rsid w:val="00991BAA"/>
    <w:rsid w:val="009A0230"/>
    <w:rsid w:val="009A3045"/>
    <w:rsid w:val="009A6F92"/>
    <w:rsid w:val="009A751A"/>
    <w:rsid w:val="009B3D39"/>
    <w:rsid w:val="009C6F52"/>
    <w:rsid w:val="009C7AD0"/>
    <w:rsid w:val="009D257F"/>
    <w:rsid w:val="009D73FC"/>
    <w:rsid w:val="009E50D1"/>
    <w:rsid w:val="00A01FFA"/>
    <w:rsid w:val="00A062FA"/>
    <w:rsid w:val="00A1080C"/>
    <w:rsid w:val="00A12179"/>
    <w:rsid w:val="00A13601"/>
    <w:rsid w:val="00A13BE8"/>
    <w:rsid w:val="00A14889"/>
    <w:rsid w:val="00A1761F"/>
    <w:rsid w:val="00A26F4F"/>
    <w:rsid w:val="00A27B26"/>
    <w:rsid w:val="00A3041B"/>
    <w:rsid w:val="00A329A9"/>
    <w:rsid w:val="00A335EC"/>
    <w:rsid w:val="00A50DDA"/>
    <w:rsid w:val="00A60C98"/>
    <w:rsid w:val="00A71C48"/>
    <w:rsid w:val="00A72623"/>
    <w:rsid w:val="00A74280"/>
    <w:rsid w:val="00A77643"/>
    <w:rsid w:val="00A86767"/>
    <w:rsid w:val="00A91F8E"/>
    <w:rsid w:val="00A95808"/>
    <w:rsid w:val="00AA68C1"/>
    <w:rsid w:val="00AA7BDA"/>
    <w:rsid w:val="00AB0F7F"/>
    <w:rsid w:val="00AB10F4"/>
    <w:rsid w:val="00AB59DC"/>
    <w:rsid w:val="00AB6E3A"/>
    <w:rsid w:val="00AC411F"/>
    <w:rsid w:val="00AC4F67"/>
    <w:rsid w:val="00AD02A7"/>
    <w:rsid w:val="00AD59CE"/>
    <w:rsid w:val="00AF1AD4"/>
    <w:rsid w:val="00AF3A40"/>
    <w:rsid w:val="00B04B4B"/>
    <w:rsid w:val="00B06B16"/>
    <w:rsid w:val="00B10527"/>
    <w:rsid w:val="00B10C21"/>
    <w:rsid w:val="00B141B2"/>
    <w:rsid w:val="00B30880"/>
    <w:rsid w:val="00B30F22"/>
    <w:rsid w:val="00B33672"/>
    <w:rsid w:val="00B37E9B"/>
    <w:rsid w:val="00B42CE4"/>
    <w:rsid w:val="00B44004"/>
    <w:rsid w:val="00B46A84"/>
    <w:rsid w:val="00B505FC"/>
    <w:rsid w:val="00B5290E"/>
    <w:rsid w:val="00B5441D"/>
    <w:rsid w:val="00B8206B"/>
    <w:rsid w:val="00B8741A"/>
    <w:rsid w:val="00B90584"/>
    <w:rsid w:val="00B9171C"/>
    <w:rsid w:val="00B94A75"/>
    <w:rsid w:val="00B94D1B"/>
    <w:rsid w:val="00B95AB7"/>
    <w:rsid w:val="00B9699B"/>
    <w:rsid w:val="00B979E8"/>
    <w:rsid w:val="00BA050B"/>
    <w:rsid w:val="00BB6329"/>
    <w:rsid w:val="00BC050F"/>
    <w:rsid w:val="00BC21C8"/>
    <w:rsid w:val="00BC5FB7"/>
    <w:rsid w:val="00BC6322"/>
    <w:rsid w:val="00BD0EB7"/>
    <w:rsid w:val="00BD3F55"/>
    <w:rsid w:val="00BD43AA"/>
    <w:rsid w:val="00BE0AAD"/>
    <w:rsid w:val="00BE637F"/>
    <w:rsid w:val="00BE6F2D"/>
    <w:rsid w:val="00BE71E9"/>
    <w:rsid w:val="00BF4DB4"/>
    <w:rsid w:val="00BF62E4"/>
    <w:rsid w:val="00BF7827"/>
    <w:rsid w:val="00C00230"/>
    <w:rsid w:val="00C002CB"/>
    <w:rsid w:val="00C0089D"/>
    <w:rsid w:val="00C00A59"/>
    <w:rsid w:val="00C10F9A"/>
    <w:rsid w:val="00C1163A"/>
    <w:rsid w:val="00C12B2B"/>
    <w:rsid w:val="00C22311"/>
    <w:rsid w:val="00C302C2"/>
    <w:rsid w:val="00C30FF9"/>
    <w:rsid w:val="00C32B55"/>
    <w:rsid w:val="00C334A5"/>
    <w:rsid w:val="00C3382B"/>
    <w:rsid w:val="00C41247"/>
    <w:rsid w:val="00C42124"/>
    <w:rsid w:val="00C4792D"/>
    <w:rsid w:val="00C527DC"/>
    <w:rsid w:val="00C63533"/>
    <w:rsid w:val="00C65FC6"/>
    <w:rsid w:val="00C6744F"/>
    <w:rsid w:val="00C73F2A"/>
    <w:rsid w:val="00C77D0C"/>
    <w:rsid w:val="00C824ED"/>
    <w:rsid w:val="00C94A1C"/>
    <w:rsid w:val="00C95DFA"/>
    <w:rsid w:val="00CA1B67"/>
    <w:rsid w:val="00CA1DCA"/>
    <w:rsid w:val="00CA26D3"/>
    <w:rsid w:val="00CC2CB9"/>
    <w:rsid w:val="00CC4F90"/>
    <w:rsid w:val="00CE18AF"/>
    <w:rsid w:val="00CE33CB"/>
    <w:rsid w:val="00CF2389"/>
    <w:rsid w:val="00D05F9D"/>
    <w:rsid w:val="00D14164"/>
    <w:rsid w:val="00D14CF5"/>
    <w:rsid w:val="00D20CA3"/>
    <w:rsid w:val="00D26224"/>
    <w:rsid w:val="00D31263"/>
    <w:rsid w:val="00D336BA"/>
    <w:rsid w:val="00D34D16"/>
    <w:rsid w:val="00D37448"/>
    <w:rsid w:val="00D42D51"/>
    <w:rsid w:val="00D43A27"/>
    <w:rsid w:val="00D4437D"/>
    <w:rsid w:val="00D503BB"/>
    <w:rsid w:val="00D50D12"/>
    <w:rsid w:val="00D54723"/>
    <w:rsid w:val="00D56A15"/>
    <w:rsid w:val="00D571FC"/>
    <w:rsid w:val="00D621F0"/>
    <w:rsid w:val="00D62A0A"/>
    <w:rsid w:val="00D66875"/>
    <w:rsid w:val="00D6762C"/>
    <w:rsid w:val="00D828C7"/>
    <w:rsid w:val="00D8537C"/>
    <w:rsid w:val="00D85DE3"/>
    <w:rsid w:val="00D92AD6"/>
    <w:rsid w:val="00D94538"/>
    <w:rsid w:val="00DA1D1D"/>
    <w:rsid w:val="00DA1EA9"/>
    <w:rsid w:val="00DA4165"/>
    <w:rsid w:val="00DB7627"/>
    <w:rsid w:val="00DC14E5"/>
    <w:rsid w:val="00DC6334"/>
    <w:rsid w:val="00DC6F16"/>
    <w:rsid w:val="00DD0108"/>
    <w:rsid w:val="00DE1377"/>
    <w:rsid w:val="00DE1D9E"/>
    <w:rsid w:val="00DE4B24"/>
    <w:rsid w:val="00DE5E57"/>
    <w:rsid w:val="00DF0BF4"/>
    <w:rsid w:val="00DF17AF"/>
    <w:rsid w:val="00DF19D9"/>
    <w:rsid w:val="00DF6D87"/>
    <w:rsid w:val="00E02DB8"/>
    <w:rsid w:val="00E03D82"/>
    <w:rsid w:val="00E0447A"/>
    <w:rsid w:val="00E04794"/>
    <w:rsid w:val="00E05554"/>
    <w:rsid w:val="00E07787"/>
    <w:rsid w:val="00E10EE3"/>
    <w:rsid w:val="00E13599"/>
    <w:rsid w:val="00E1478E"/>
    <w:rsid w:val="00E22D7A"/>
    <w:rsid w:val="00E3473B"/>
    <w:rsid w:val="00E3753C"/>
    <w:rsid w:val="00E37CDE"/>
    <w:rsid w:val="00E43C30"/>
    <w:rsid w:val="00E46B6F"/>
    <w:rsid w:val="00E56D8E"/>
    <w:rsid w:val="00E57B2B"/>
    <w:rsid w:val="00E63568"/>
    <w:rsid w:val="00E63CF3"/>
    <w:rsid w:val="00E7135A"/>
    <w:rsid w:val="00E72890"/>
    <w:rsid w:val="00E75BF7"/>
    <w:rsid w:val="00E8203D"/>
    <w:rsid w:val="00E838D7"/>
    <w:rsid w:val="00E86271"/>
    <w:rsid w:val="00E914AF"/>
    <w:rsid w:val="00E92F58"/>
    <w:rsid w:val="00E94420"/>
    <w:rsid w:val="00EA1116"/>
    <w:rsid w:val="00EA2198"/>
    <w:rsid w:val="00EA6097"/>
    <w:rsid w:val="00EB773B"/>
    <w:rsid w:val="00EC6FE7"/>
    <w:rsid w:val="00ED653B"/>
    <w:rsid w:val="00ED6908"/>
    <w:rsid w:val="00EE1B5D"/>
    <w:rsid w:val="00EE5AE3"/>
    <w:rsid w:val="00EE7195"/>
    <w:rsid w:val="00EE765B"/>
    <w:rsid w:val="00EF0A6C"/>
    <w:rsid w:val="00EF3F0A"/>
    <w:rsid w:val="00EF5D64"/>
    <w:rsid w:val="00EF7ECD"/>
    <w:rsid w:val="00F10099"/>
    <w:rsid w:val="00F17034"/>
    <w:rsid w:val="00F177BB"/>
    <w:rsid w:val="00F205C2"/>
    <w:rsid w:val="00F26336"/>
    <w:rsid w:val="00F265A3"/>
    <w:rsid w:val="00F30CED"/>
    <w:rsid w:val="00F348B6"/>
    <w:rsid w:val="00F56C6D"/>
    <w:rsid w:val="00F60E83"/>
    <w:rsid w:val="00F61BAF"/>
    <w:rsid w:val="00F6330F"/>
    <w:rsid w:val="00F66965"/>
    <w:rsid w:val="00F67047"/>
    <w:rsid w:val="00F7002A"/>
    <w:rsid w:val="00F7233E"/>
    <w:rsid w:val="00F7793D"/>
    <w:rsid w:val="00F8131F"/>
    <w:rsid w:val="00F84A25"/>
    <w:rsid w:val="00F85C62"/>
    <w:rsid w:val="00F85F3B"/>
    <w:rsid w:val="00F8702F"/>
    <w:rsid w:val="00F913C4"/>
    <w:rsid w:val="00F9170E"/>
    <w:rsid w:val="00FA14DE"/>
    <w:rsid w:val="00FA1E1C"/>
    <w:rsid w:val="00FA2917"/>
    <w:rsid w:val="00FA7CEC"/>
    <w:rsid w:val="00FB09F0"/>
    <w:rsid w:val="00FB7598"/>
    <w:rsid w:val="00FC4115"/>
    <w:rsid w:val="00FC50F2"/>
    <w:rsid w:val="00FD1E6B"/>
    <w:rsid w:val="00FD2537"/>
    <w:rsid w:val="00FE5B6C"/>
    <w:rsid w:val="00FF034F"/>
    <w:rsid w:val="00FF2696"/>
    <w:rsid w:val="00FF693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68BE1"/>
  <w15:docId w15:val="{694B4A9C-DC07-4E20-8F1F-2F6CA20FF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D0EB7"/>
  </w:style>
  <w:style w:type="paragraph" w:styleId="Ttulo1">
    <w:name w:val="heading 1"/>
    <w:basedOn w:val="Normal"/>
    <w:next w:val="Normal"/>
    <w:pPr>
      <w:keepNext/>
      <w:keepLines/>
      <w:spacing w:before="240" w:after="0"/>
      <w:ind w:left="432" w:hanging="432"/>
      <w:outlineLvl w:val="0"/>
    </w:pPr>
    <w:rPr>
      <w:color w:val="2F5496"/>
      <w:sz w:val="32"/>
      <w:szCs w:val="32"/>
    </w:rPr>
  </w:style>
  <w:style w:type="paragraph" w:styleId="Ttulo2">
    <w:name w:val="heading 2"/>
    <w:basedOn w:val="Normal"/>
    <w:next w:val="Normal"/>
    <w:pPr>
      <w:keepNext/>
      <w:keepLines/>
      <w:spacing w:before="40" w:after="0"/>
      <w:ind w:left="576" w:hanging="576"/>
      <w:outlineLvl w:val="1"/>
    </w:pPr>
    <w:rPr>
      <w:color w:val="2F5496"/>
      <w:sz w:val="26"/>
      <w:szCs w:val="26"/>
    </w:rPr>
  </w:style>
  <w:style w:type="paragraph" w:styleId="Ttulo3">
    <w:name w:val="heading 3"/>
    <w:basedOn w:val="Normal"/>
    <w:next w:val="Normal"/>
    <w:pPr>
      <w:keepNext/>
      <w:keepLines/>
      <w:spacing w:before="40" w:after="0"/>
      <w:ind w:left="720" w:hanging="720"/>
      <w:outlineLvl w:val="2"/>
    </w:pPr>
    <w:rPr>
      <w:color w:val="1F3863"/>
      <w:sz w:val="24"/>
      <w:szCs w:val="24"/>
    </w:rPr>
  </w:style>
  <w:style w:type="paragraph" w:styleId="Ttulo4">
    <w:name w:val="heading 4"/>
    <w:basedOn w:val="Normal"/>
    <w:next w:val="Normal"/>
    <w:pPr>
      <w:keepNext/>
      <w:keepLines/>
      <w:spacing w:before="40" w:after="0"/>
      <w:ind w:left="864" w:hanging="864"/>
      <w:outlineLvl w:val="3"/>
    </w:pPr>
    <w:rPr>
      <w:i/>
      <w:color w:val="2F5496"/>
    </w:rPr>
  </w:style>
  <w:style w:type="paragraph" w:styleId="Ttulo5">
    <w:name w:val="heading 5"/>
    <w:basedOn w:val="Normal"/>
    <w:next w:val="Normal"/>
    <w:pPr>
      <w:keepNext/>
      <w:keepLines/>
      <w:spacing w:before="40" w:after="0"/>
      <w:ind w:left="1008" w:hanging="1008"/>
      <w:outlineLvl w:val="4"/>
    </w:pPr>
    <w:rPr>
      <w:color w:val="2F5496"/>
    </w:rPr>
  </w:style>
  <w:style w:type="paragraph" w:styleId="Ttulo6">
    <w:name w:val="heading 6"/>
    <w:basedOn w:val="Normal"/>
    <w:next w:val="Normal"/>
    <w:pPr>
      <w:keepNext/>
      <w:keepLines/>
      <w:spacing w:before="40" w:after="0"/>
      <w:ind w:left="1152" w:hanging="1152"/>
      <w:outlineLvl w:val="5"/>
    </w:pPr>
    <w:rPr>
      <w:color w:val="1F386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left w:w="70" w:type="dxa"/>
        <w:right w:w="7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3A799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A7993"/>
    <w:rPr>
      <w:rFonts w:ascii="Segoe UI" w:hAnsi="Segoe UI" w:cs="Segoe UI"/>
      <w:sz w:val="18"/>
      <w:szCs w:val="18"/>
    </w:rPr>
  </w:style>
  <w:style w:type="table" w:styleId="Tablaconcuadrcula">
    <w:name w:val="Table Grid"/>
    <w:basedOn w:val="Tablanormal"/>
    <w:uiPriority w:val="39"/>
    <w:rsid w:val="00621B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63568"/>
    <w:pPr>
      <w:ind w:left="720"/>
      <w:contextualSpacing/>
    </w:pPr>
  </w:style>
  <w:style w:type="paragraph" w:styleId="Asuntodelcomentario">
    <w:name w:val="annotation subject"/>
    <w:basedOn w:val="Textocomentario"/>
    <w:next w:val="Textocomentario"/>
    <w:link w:val="AsuntodelcomentarioCar"/>
    <w:uiPriority w:val="99"/>
    <w:semiHidden/>
    <w:unhideWhenUsed/>
    <w:rsid w:val="00A95808"/>
    <w:rPr>
      <w:b/>
      <w:bCs/>
    </w:rPr>
  </w:style>
  <w:style w:type="character" w:customStyle="1" w:styleId="AsuntodelcomentarioCar">
    <w:name w:val="Asunto del comentario Car"/>
    <w:basedOn w:val="TextocomentarioCar"/>
    <w:link w:val="Asuntodelcomentario"/>
    <w:uiPriority w:val="99"/>
    <w:semiHidden/>
    <w:rsid w:val="00A95808"/>
    <w:rPr>
      <w:b/>
      <w:bCs/>
      <w:sz w:val="20"/>
      <w:szCs w:val="20"/>
    </w:rPr>
  </w:style>
  <w:style w:type="character" w:styleId="Hipervnculo">
    <w:name w:val="Hyperlink"/>
    <w:basedOn w:val="Fuentedeprrafopredeter"/>
    <w:uiPriority w:val="99"/>
    <w:unhideWhenUsed/>
    <w:rsid w:val="00983AD8"/>
    <w:rPr>
      <w:color w:val="0000FF" w:themeColor="hyperlink"/>
      <w:u w:val="single"/>
    </w:rPr>
  </w:style>
  <w:style w:type="paragraph" w:styleId="Textonotapie">
    <w:name w:val="footnote text"/>
    <w:basedOn w:val="Normal"/>
    <w:link w:val="TextonotapieCar"/>
    <w:uiPriority w:val="99"/>
    <w:semiHidden/>
    <w:unhideWhenUsed/>
    <w:rsid w:val="008138B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138B2"/>
    <w:rPr>
      <w:sz w:val="20"/>
      <w:szCs w:val="20"/>
    </w:rPr>
  </w:style>
  <w:style w:type="character" w:styleId="Refdenotaalpie">
    <w:name w:val="footnote reference"/>
    <w:basedOn w:val="Fuentedeprrafopredeter"/>
    <w:uiPriority w:val="99"/>
    <w:semiHidden/>
    <w:unhideWhenUsed/>
    <w:rsid w:val="008138B2"/>
    <w:rPr>
      <w:vertAlign w:val="superscript"/>
    </w:rPr>
  </w:style>
  <w:style w:type="paragraph" w:styleId="Textoindependiente">
    <w:name w:val="Body Text"/>
    <w:basedOn w:val="Normal"/>
    <w:link w:val="TextoindependienteCar"/>
    <w:uiPriority w:val="1"/>
    <w:qFormat/>
    <w:rsid w:val="00AC4F67"/>
    <w:pPr>
      <w:widowControl w:val="0"/>
      <w:autoSpaceDE w:val="0"/>
      <w:autoSpaceDN w:val="0"/>
      <w:spacing w:after="0" w:line="240" w:lineRule="auto"/>
    </w:pPr>
    <w:rPr>
      <w:rFonts w:ascii="Roboto" w:eastAsia="Roboto" w:hAnsi="Roboto" w:cs="Roboto"/>
      <w:lang w:val="es-ES" w:eastAsia="en-US"/>
    </w:rPr>
  </w:style>
  <w:style w:type="character" w:customStyle="1" w:styleId="TextoindependienteCar">
    <w:name w:val="Texto independiente Car"/>
    <w:basedOn w:val="Fuentedeprrafopredeter"/>
    <w:link w:val="Textoindependiente"/>
    <w:uiPriority w:val="1"/>
    <w:rsid w:val="00AC4F67"/>
    <w:rPr>
      <w:rFonts w:ascii="Roboto" w:eastAsia="Roboto" w:hAnsi="Roboto" w:cs="Roboto"/>
      <w:lang w:val="es-ES" w:eastAsia="en-US"/>
    </w:rPr>
  </w:style>
  <w:style w:type="paragraph" w:styleId="Encabezado">
    <w:name w:val="header"/>
    <w:basedOn w:val="Normal"/>
    <w:link w:val="EncabezadoCar"/>
    <w:uiPriority w:val="99"/>
    <w:unhideWhenUsed/>
    <w:rsid w:val="00511A7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11A78"/>
  </w:style>
  <w:style w:type="paragraph" w:styleId="Piedepgina">
    <w:name w:val="footer"/>
    <w:basedOn w:val="Normal"/>
    <w:link w:val="PiedepginaCar"/>
    <w:uiPriority w:val="99"/>
    <w:unhideWhenUsed/>
    <w:rsid w:val="00511A7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11A78"/>
  </w:style>
  <w:style w:type="paragraph" w:styleId="TDC1">
    <w:name w:val="toc 1"/>
    <w:basedOn w:val="Normal"/>
    <w:next w:val="Normal"/>
    <w:autoRedefine/>
    <w:uiPriority w:val="39"/>
    <w:unhideWhenUsed/>
    <w:rsid w:val="00E05554"/>
    <w:pPr>
      <w:spacing w:after="100"/>
    </w:pPr>
  </w:style>
  <w:style w:type="paragraph" w:styleId="TDC2">
    <w:name w:val="toc 2"/>
    <w:basedOn w:val="Normal"/>
    <w:next w:val="Normal"/>
    <w:autoRedefine/>
    <w:uiPriority w:val="39"/>
    <w:unhideWhenUsed/>
    <w:rsid w:val="00E05554"/>
    <w:pPr>
      <w:spacing w:after="100"/>
      <w:ind w:left="220"/>
    </w:pPr>
  </w:style>
  <w:style w:type="paragraph" w:styleId="TDC3">
    <w:name w:val="toc 3"/>
    <w:basedOn w:val="Normal"/>
    <w:next w:val="Normal"/>
    <w:autoRedefine/>
    <w:uiPriority w:val="39"/>
    <w:unhideWhenUsed/>
    <w:rsid w:val="00E05554"/>
    <w:pPr>
      <w:spacing w:after="100"/>
      <w:ind w:left="440"/>
    </w:pPr>
  </w:style>
  <w:style w:type="paragraph" w:styleId="Textosinformato">
    <w:name w:val="Plain Text"/>
    <w:basedOn w:val="Normal"/>
    <w:link w:val="TextosinformatoCar"/>
    <w:uiPriority w:val="99"/>
    <w:semiHidden/>
    <w:unhideWhenUsed/>
    <w:rsid w:val="00B5441D"/>
    <w:pPr>
      <w:spacing w:after="0" w:line="240" w:lineRule="auto"/>
    </w:pPr>
    <w:rPr>
      <w:rFonts w:eastAsiaTheme="minorHAnsi" w:cstheme="minorBidi"/>
      <w:szCs w:val="21"/>
      <w:lang w:eastAsia="en-US"/>
    </w:rPr>
  </w:style>
  <w:style w:type="character" w:customStyle="1" w:styleId="TextosinformatoCar">
    <w:name w:val="Texto sin formato Car"/>
    <w:basedOn w:val="Fuentedeprrafopredeter"/>
    <w:link w:val="Textosinformato"/>
    <w:uiPriority w:val="99"/>
    <w:semiHidden/>
    <w:rsid w:val="00B5441D"/>
    <w:rPr>
      <w:rFonts w:eastAsiaTheme="minorHAnsi" w:cstheme="minorBidi"/>
      <w:szCs w:val="21"/>
      <w:lang w:eastAsia="en-US"/>
    </w:rPr>
  </w:style>
  <w:style w:type="paragraph" w:customStyle="1" w:styleId="Pa97">
    <w:name w:val="Pa97"/>
    <w:basedOn w:val="Normal"/>
    <w:next w:val="Normal"/>
    <w:uiPriority w:val="99"/>
    <w:rsid w:val="0038045F"/>
    <w:pPr>
      <w:autoSpaceDE w:val="0"/>
      <w:autoSpaceDN w:val="0"/>
      <w:adjustRightInd w:val="0"/>
      <w:spacing w:after="0" w:line="221" w:lineRule="atLeast"/>
    </w:pPr>
    <w:rPr>
      <w:rFonts w:ascii="Myriad Pro" w:eastAsiaTheme="minorHAnsi" w:hAnsi="Myriad Pro" w:cstheme="minorBidi"/>
      <w:sz w:val="24"/>
      <w:szCs w:val="24"/>
      <w:lang w:eastAsia="en-US"/>
    </w:rPr>
  </w:style>
  <w:style w:type="paragraph" w:styleId="Revisin">
    <w:name w:val="Revision"/>
    <w:hidden/>
    <w:uiPriority w:val="99"/>
    <w:semiHidden/>
    <w:rsid w:val="00A50D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6277">
      <w:bodyDiv w:val="1"/>
      <w:marLeft w:val="0"/>
      <w:marRight w:val="0"/>
      <w:marTop w:val="0"/>
      <w:marBottom w:val="0"/>
      <w:divBdr>
        <w:top w:val="none" w:sz="0" w:space="0" w:color="auto"/>
        <w:left w:val="none" w:sz="0" w:space="0" w:color="auto"/>
        <w:bottom w:val="none" w:sz="0" w:space="0" w:color="auto"/>
        <w:right w:val="none" w:sz="0" w:space="0" w:color="auto"/>
      </w:divBdr>
    </w:div>
    <w:div w:id="272320522">
      <w:bodyDiv w:val="1"/>
      <w:marLeft w:val="0"/>
      <w:marRight w:val="0"/>
      <w:marTop w:val="0"/>
      <w:marBottom w:val="0"/>
      <w:divBdr>
        <w:top w:val="none" w:sz="0" w:space="0" w:color="auto"/>
        <w:left w:val="none" w:sz="0" w:space="0" w:color="auto"/>
        <w:bottom w:val="none" w:sz="0" w:space="0" w:color="auto"/>
        <w:right w:val="none" w:sz="0" w:space="0" w:color="auto"/>
      </w:divBdr>
    </w:div>
    <w:div w:id="536937958">
      <w:bodyDiv w:val="1"/>
      <w:marLeft w:val="0"/>
      <w:marRight w:val="0"/>
      <w:marTop w:val="0"/>
      <w:marBottom w:val="0"/>
      <w:divBdr>
        <w:top w:val="none" w:sz="0" w:space="0" w:color="auto"/>
        <w:left w:val="none" w:sz="0" w:space="0" w:color="auto"/>
        <w:bottom w:val="none" w:sz="0" w:space="0" w:color="auto"/>
        <w:right w:val="none" w:sz="0" w:space="0" w:color="auto"/>
      </w:divBdr>
    </w:div>
    <w:div w:id="775906851">
      <w:bodyDiv w:val="1"/>
      <w:marLeft w:val="0"/>
      <w:marRight w:val="0"/>
      <w:marTop w:val="0"/>
      <w:marBottom w:val="0"/>
      <w:divBdr>
        <w:top w:val="none" w:sz="0" w:space="0" w:color="auto"/>
        <w:left w:val="none" w:sz="0" w:space="0" w:color="auto"/>
        <w:bottom w:val="none" w:sz="0" w:space="0" w:color="auto"/>
        <w:right w:val="none" w:sz="0" w:space="0" w:color="auto"/>
      </w:divBdr>
    </w:div>
    <w:div w:id="894899577">
      <w:bodyDiv w:val="1"/>
      <w:marLeft w:val="0"/>
      <w:marRight w:val="0"/>
      <w:marTop w:val="0"/>
      <w:marBottom w:val="0"/>
      <w:divBdr>
        <w:top w:val="none" w:sz="0" w:space="0" w:color="auto"/>
        <w:left w:val="none" w:sz="0" w:space="0" w:color="auto"/>
        <w:bottom w:val="none" w:sz="0" w:space="0" w:color="auto"/>
        <w:right w:val="none" w:sz="0" w:space="0" w:color="auto"/>
      </w:divBdr>
    </w:div>
    <w:div w:id="1028487880">
      <w:bodyDiv w:val="1"/>
      <w:marLeft w:val="0"/>
      <w:marRight w:val="0"/>
      <w:marTop w:val="0"/>
      <w:marBottom w:val="0"/>
      <w:divBdr>
        <w:top w:val="none" w:sz="0" w:space="0" w:color="auto"/>
        <w:left w:val="none" w:sz="0" w:space="0" w:color="auto"/>
        <w:bottom w:val="none" w:sz="0" w:space="0" w:color="auto"/>
        <w:right w:val="none" w:sz="0" w:space="0" w:color="auto"/>
      </w:divBdr>
    </w:div>
    <w:div w:id="1153722197">
      <w:bodyDiv w:val="1"/>
      <w:marLeft w:val="0"/>
      <w:marRight w:val="0"/>
      <w:marTop w:val="0"/>
      <w:marBottom w:val="0"/>
      <w:divBdr>
        <w:top w:val="none" w:sz="0" w:space="0" w:color="auto"/>
        <w:left w:val="none" w:sz="0" w:space="0" w:color="auto"/>
        <w:bottom w:val="none" w:sz="0" w:space="0" w:color="auto"/>
        <w:right w:val="none" w:sz="0" w:space="0" w:color="auto"/>
      </w:divBdr>
    </w:div>
    <w:div w:id="1200361520">
      <w:bodyDiv w:val="1"/>
      <w:marLeft w:val="0"/>
      <w:marRight w:val="0"/>
      <w:marTop w:val="0"/>
      <w:marBottom w:val="0"/>
      <w:divBdr>
        <w:top w:val="none" w:sz="0" w:space="0" w:color="auto"/>
        <w:left w:val="none" w:sz="0" w:space="0" w:color="auto"/>
        <w:bottom w:val="none" w:sz="0" w:space="0" w:color="auto"/>
        <w:right w:val="none" w:sz="0" w:space="0" w:color="auto"/>
      </w:divBdr>
    </w:div>
    <w:div w:id="1445732157">
      <w:bodyDiv w:val="1"/>
      <w:marLeft w:val="0"/>
      <w:marRight w:val="0"/>
      <w:marTop w:val="0"/>
      <w:marBottom w:val="0"/>
      <w:divBdr>
        <w:top w:val="none" w:sz="0" w:space="0" w:color="auto"/>
        <w:left w:val="none" w:sz="0" w:space="0" w:color="auto"/>
        <w:bottom w:val="none" w:sz="0" w:space="0" w:color="auto"/>
        <w:right w:val="none" w:sz="0" w:space="0" w:color="auto"/>
      </w:divBdr>
    </w:div>
    <w:div w:id="1522670203">
      <w:bodyDiv w:val="1"/>
      <w:marLeft w:val="0"/>
      <w:marRight w:val="0"/>
      <w:marTop w:val="0"/>
      <w:marBottom w:val="0"/>
      <w:divBdr>
        <w:top w:val="none" w:sz="0" w:space="0" w:color="auto"/>
        <w:left w:val="none" w:sz="0" w:space="0" w:color="auto"/>
        <w:bottom w:val="none" w:sz="0" w:space="0" w:color="auto"/>
        <w:right w:val="none" w:sz="0" w:space="0" w:color="auto"/>
      </w:divBdr>
    </w:div>
    <w:div w:id="1834877914">
      <w:bodyDiv w:val="1"/>
      <w:marLeft w:val="0"/>
      <w:marRight w:val="0"/>
      <w:marTop w:val="0"/>
      <w:marBottom w:val="0"/>
      <w:divBdr>
        <w:top w:val="none" w:sz="0" w:space="0" w:color="auto"/>
        <w:left w:val="none" w:sz="0" w:space="0" w:color="auto"/>
        <w:bottom w:val="none" w:sz="0" w:space="0" w:color="auto"/>
        <w:right w:val="none" w:sz="0" w:space="0" w:color="auto"/>
      </w:divBdr>
    </w:div>
    <w:div w:id="2024160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deunodc.inegi.org.mx/unodc/wp-content/uploads/2021/04/4.-PERU_COCAINA.pdf" TargetMode="External"/><Relationship Id="rId18" Type="http://schemas.openxmlformats.org/officeDocument/2006/relationships/hyperlink" Target="https://www.estrategiaantilavado.cl/upload/repo/Estrategia%20Nacional%20y%20Plan%20de%20Accion%202018-2020_96.pdf"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uiaf.gov.co/recursos_user/Documentos%20de%20Interes%20Ciudadania/Resoluci%C3%B3n_314_de_2021_AV.pdf" TargetMode="External"/><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www.gub.uy/secretaria-nacional-lucha-contra-lavado-activos-financiamiento-terrorismo/sites/secretaria-nacional-lucha-contra-lavado-activos-financiamiento-terrorismo/files/2018-10/SENACLAFT_Libro_Estrategia%2Bnacional%2B-%2B2017%2B-%2B2020.pdf"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hyperlink" Target="https://www.decisiola.com/articulos/plan-estrategico-nacional-paraguay.pdf" TargetMode="External"/><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149F1-18F7-4983-AEA2-4D997FA92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83</Pages>
  <Words>23258</Words>
  <Characters>127921</Characters>
  <Application>Microsoft Office Word</Application>
  <DocSecurity>0</DocSecurity>
  <Lines>1066</Lines>
  <Paragraphs>301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Omar Chiroque Ruiz</dc:creator>
  <cp:lastModifiedBy>UIF</cp:lastModifiedBy>
  <cp:revision>3</cp:revision>
  <cp:lastPrinted>2022-08-09T17:42:00Z</cp:lastPrinted>
  <dcterms:created xsi:type="dcterms:W3CDTF">2022-09-09T20:28:00Z</dcterms:created>
  <dcterms:modified xsi:type="dcterms:W3CDTF">2022-09-12T15:18:00Z</dcterms:modified>
</cp:coreProperties>
</file>