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PROPERTY DEVELOPER PROFILE RESEARCH</w:t>
      </w:r>
    </w:p>
    <w:p>
      <w:pPr>
        <w:spacing w:after="100"/>
      </w:pPr>
      <w:r>
        <w:rPr>
          <w:rFonts w:ascii="Aptos Display" w:hAnsi="Aptos Display"/>
          <w:b/>
          <w:color w:val="1B2B3A"/>
          <w:sz w:val="70"/>
        </w:rPr>
        <w:t>GRAHAM</w:t>
        <w:br/>
        <w:t>FURTADO</w:t>
      </w:r>
    </w:p>
    <w:p>
      <w:pPr>
        <w:spacing w:after="240"/>
      </w:pPr>
      <w:r>
        <w:rPr>
          <w:b/>
          <w:color w:val="9D7740"/>
          <w:sz w:val="30"/>
        </w:rPr>
        <w:t>Background • Development Experience • Service Opportunities • Personal Brand Direction</w:t>
      </w:r>
    </w:p>
    <w:tbl>
      <w:tblPr>
        <w:tblW w:type="auto" w:w="0"/>
        <w:tblLayout w:type="fixed"/>
        <w:tblLook w:firstColumn="1" w:firstRow="1" w:lastColumn="0" w:lastRow="0" w:noHBand="0" w:noVBand="1" w:val="04A0"/>
      </w:tblPr>
      <w:tblGrid>
        <w:gridCol w:w="3168"/>
      </w:tblGrid>
      <w:tr>
        <w:tc>
          <w:tcPr>
            <w:tcW w:type="dxa" w:w="9994"/>
            <w:shd w:fill="9D7740"/>
          </w:tcPr>
          <w:p>
            <w:r/>
          </w:p>
        </w:tc>
      </w:tr>
    </w:tbl>
    <w:p/>
    <w:tbl>
      <w:tblPr>
        <w:tblW w:type="auto" w:w="0"/>
        <w:jc w:val="center"/>
        <w:tblLook w:firstColumn="1" w:firstRow="1" w:lastColumn="0" w:lastRow="0" w:noHBand="0" w:noVBand="1" w:val="04A0"/>
      </w:tblPr>
      <w:tblGrid>
        <w:gridCol w:w="9994"/>
      </w:tblGrid>
      <w:tr>
        <w:tc>
          <w:tcPr>
            <w:tcW w:type="dxa" w:w="9994"/>
            <w:shd w:fill="F3F4F2"/>
            <w:tcMar>
              <w:top w:w="150" w:type="dxa"/>
              <w:start w:w="170" w:type="dxa"/>
              <w:bottom w:w="150" w:type="dxa"/>
              <w:end w:w="170" w:type="dxa"/>
            </w:tcMar>
          </w:tcPr>
          <w:p>
            <w:pPr>
              <w:spacing w:after="80"/>
            </w:pPr>
            <w:r>
              <w:rPr>
                <w:b/>
                <w:color w:val="1B2B3A"/>
                <w:sz w:val="23"/>
              </w:rPr>
              <w:t>Purpose of this document</w:t>
            </w:r>
          </w:p>
          <w:p>
            <w:pPr>
              <w:spacing w:after="0"/>
            </w:pPr>
            <w:r>
              <w:rPr>
                <w:color w:val="2E3236"/>
                <w:sz w:val="21"/>
              </w:rPr>
              <w:t>To consolidate the publicly documented information about Graham Furtado and identify the professional services and positioning that could credibly support a personal property-development portfolio. This is a research document, not a website build or final marketing claim set.</w:t>
            </w:r>
          </w:p>
        </w:tc>
      </w:tr>
    </w:tbl>
    <w:p/>
    <w:p>
      <w:r>
        <w:rPr>
          <w:b/>
          <w:color w:val="1B2B3A"/>
        </w:rPr>
        <w:t xml:space="preserve">Research basis. </w:t>
      </w:r>
      <w:r>
        <w:t>Furtado Property, MIRA Living, Apartments.com.au, Brisbane Development, The Urban Developer and Furtado Property’s LinkedIn company profile. Current project facts were rechecked in September 2026.</w:t>
      </w:r>
    </w:p>
    <w:p>
      <w:r>
        <w:br w:type="page"/>
      </w:r>
    </w:p>
    <w:p>
      <w:pPr>
        <w:pStyle w:val="Heading1"/>
      </w:pPr>
      <w:r>
        <w:t>Executive Summary</w:t>
      </w:r>
    </w:p>
    <w:p>
      <w:r>
        <w:rPr>
          <w:b/>
        </w:rPr>
        <w:t xml:space="preserve">The strongest public positioning for Graham Furtado is “property developer + experienced real-estate professional,” not simply a conventional real-estate agent. </w:t>
      </w:r>
      <w:r>
        <w:t>Furtado Property publicly describes itself as a South-East Queensland residential developer with more than 20 years of property experience, while recent industry coverage describes Graham as a Brisbane real-estate agent of roughly 30 years’ standing.</w:t>
      </w:r>
    </w:p>
    <w:p>
      <w:r>
        <w:t>His current public development story is anchored by MIRA Living in Bargara and a newly lodged, substantially larger apartment proposal in West End, Brisbane. Together, these provide evidence for a personal brand focused on development strategy, residential development, site opportunity, project coordination and property-market knowledge.</w:t>
      </w:r>
    </w:p>
    <w:tbl>
      <w:tblPr>
        <w:tblW w:type="auto" w:w="0"/>
        <w:jc w:val="center"/>
        <w:tblLook w:firstColumn="1" w:firstRow="1" w:lastColumn="0" w:lastRow="0" w:noHBand="0" w:noVBand="1" w:val="04A0"/>
      </w:tblPr>
      <w:tblGrid>
        <w:gridCol w:w="9994"/>
      </w:tblGrid>
      <w:tr>
        <w:tc>
          <w:tcPr>
            <w:tcW w:type="dxa" w:w="9994"/>
            <w:shd w:fill="1B2B3A"/>
            <w:tcMar>
              <w:top w:w="150" w:type="dxa"/>
              <w:start w:w="170" w:type="dxa"/>
              <w:bottom w:w="150" w:type="dxa"/>
              <w:end w:w="170" w:type="dxa"/>
            </w:tcMar>
          </w:tcPr>
          <w:p>
            <w:pPr>
              <w:spacing w:after="80"/>
            </w:pPr>
            <w:r>
              <w:rPr>
                <w:b/>
                <w:color w:val="FFFFFF"/>
                <w:sz w:val="23"/>
              </w:rPr>
              <w:t>Recommended personal positioning</w:t>
            </w:r>
          </w:p>
          <w:p>
            <w:pPr>
              <w:spacing w:after="0"/>
            </w:pPr>
            <w:r>
              <w:rPr>
                <w:color w:val="FFFFFF"/>
                <w:sz w:val="21"/>
              </w:rPr>
              <w:t>GRAHAM FURTADO</w:t>
              <w:br/>
              <w:t>Property Developer • Real Estate Professional • Development Advisor</w:t>
            </w:r>
          </w:p>
        </w:tc>
      </w:tr>
    </w:tbl>
    <w:p>
      <w:pPr>
        <w:pStyle w:val="Heading2"/>
      </w:pPr>
      <w:r>
        <w:t>Key takeaways</w:t>
      </w:r>
    </w:p>
    <w:p>
      <w:pPr>
        <w:pStyle w:val="ListBullet"/>
        <w:spacing w:after="60"/>
      </w:pPr>
      <w:r>
        <w:t>Furtado Property is a residential property developer based in South-East Queensland and publicly states more than 20 years of property experience.</w:t>
      </w:r>
    </w:p>
    <w:p>
      <w:pPr>
        <w:pStyle w:val="ListBullet"/>
        <w:spacing w:after="60"/>
      </w:pPr>
      <w:r>
        <w:t>Recent development-industry reporting describes Graham as a long-time Brisbane real-estate agent with around 30 years of experience.</w:t>
      </w:r>
    </w:p>
    <w:p>
      <w:pPr>
        <w:pStyle w:val="ListBullet"/>
        <w:spacing w:after="60"/>
      </w:pPr>
      <w:r>
        <w:t>MIRA Living is a boutique oceanfront development in Bargara comprising 25 residences and is nearing completion in September 2026.</w:t>
      </w:r>
    </w:p>
    <w:p>
      <w:pPr>
        <w:pStyle w:val="ListBullet"/>
        <w:spacing w:after="60"/>
      </w:pPr>
      <w:r>
        <w:t>Furtado Property lodged a new 13-storey, 113-apartment proposal in West End, Brisbane in September 2026.</w:t>
      </w:r>
    </w:p>
    <w:p>
      <w:pPr>
        <w:pStyle w:val="ListBullet"/>
        <w:spacing w:after="60"/>
      </w:pPr>
      <w:r>
        <w:t>His strongest service story is the development lifecycle: opportunity/site identification, development strategy, consultant coordination, project delivery and market understanding.</w:t>
      </w:r>
    </w:p>
    <w:p>
      <w:pPr>
        <w:pStyle w:val="ListBullet"/>
        <w:spacing w:after="60"/>
      </w:pPr>
      <w:r>
        <w:t>Property management, rental management, commercial leasing, architecture, engineering and construction should not be advertised as Graham’s own services unless he confirms them.</w:t>
      </w:r>
    </w:p>
    <w:p>
      <w:pPr>
        <w:pStyle w:val="Heading1"/>
      </w:pPr>
      <w:r>
        <w:t>1. Professional Profile</w:t>
      </w:r>
    </w:p>
    <w:p>
      <w:pPr>
        <w:pStyle w:val="Heading2"/>
      </w:pPr>
      <w:r>
        <w:t>Who Graham Furtado is</w:t>
      </w:r>
    </w:p>
    <w:p>
      <w:r>
        <w:t>Graham Furtado is publicly associated with Furtado Property as the developer behind MIRA Living and as the leader of the company’s newer West End residential proposal. MIRA Living directly identifies him as “Graham Furtado, Developer, Furtado Property.”</w:t>
      </w:r>
    </w:p>
    <w:p>
      <w:r>
        <w:t>Independent 2026 development coverage describes Furtado Property as a Graham Furtado-led developer and characterises Graham as a long-time Brisbane real-estate agent. This combination supports a personal profile that connects deep property-market experience with active residential development.</w:t>
      </w:r>
    </w:p>
    <w:p>
      <w:pPr>
        <w:pStyle w:val="Heading2"/>
      </w:pPr>
      <w:r>
        <w:t>Most defensible professional identity</w:t>
      </w:r>
    </w:p>
    <w:p>
      <w:pPr>
        <w:pStyle w:val="ListBullet"/>
        <w:spacing w:after="60"/>
      </w:pPr>
      <w:r>
        <w:t>Queensland residential property developer</w:t>
      </w:r>
    </w:p>
    <w:p>
      <w:pPr>
        <w:pStyle w:val="ListBullet"/>
        <w:spacing w:after="60"/>
      </w:pPr>
      <w:r>
        <w:t>Experienced Brisbane real-estate professional</w:t>
      </w:r>
    </w:p>
    <w:p>
      <w:pPr>
        <w:pStyle w:val="ListBullet"/>
        <w:spacing w:after="60"/>
      </w:pPr>
      <w:r>
        <w:t>Development strategist and project coordinator</w:t>
      </w:r>
    </w:p>
    <w:p>
      <w:pPr>
        <w:pStyle w:val="ListBullet"/>
        <w:spacing w:after="60"/>
      </w:pPr>
      <w:r>
        <w:t>Residential market and site-opportunity evaluator</w:t>
      </w:r>
    </w:p>
    <w:p>
      <w:pPr>
        <w:pStyle w:val="ListBullet"/>
        <w:spacing w:after="60"/>
      </w:pPr>
      <w:r>
        <w:t>Founder/leader-facing personal brand for Furtado Property projects (final formal title should be confirmed directly with Graham)</w:t>
      </w:r>
    </w:p>
    <w:p>
      <w:pPr>
        <w:pStyle w:val="Heading2"/>
      </w:pPr>
      <w:r>
        <w:t>Geographic relevance</w:t>
      </w:r>
    </w:p>
    <w:p>
      <w:r>
        <w:t>The most defensible geographic positioning is Queensland, particularly Brisbane / South-East Queensland, with development experience extending to Bargara near Bundaberg. This creates a credible metropolitan-plus-regional Queensland narrative without overextending the claim.</w:t>
      </w:r>
    </w:p>
    <w:p>
      <w:pPr>
        <w:pStyle w:val="Heading1"/>
      </w:pPr>
      <w:r>
        <w:t>2. Furtado Property &amp; Development Philosophy</w:t>
      </w:r>
    </w:p>
    <w:p>
      <w:r>
        <w:t>Furtado Property describes itself as a residential property developer in South-East Queensland. Its public messaging emphasises quality, design, customer satisfaction, experienced architects and designers, and buildings intended to remain relevant over time.</w:t>
      </w:r>
    </w:p>
    <w:p>
      <w:r>
        <w:rPr>
          <w:b/>
          <w:color w:val="1B2B3A"/>
        </w:rPr>
        <w:t xml:space="preserve">Site selection: </w:t>
      </w:r>
      <w:r>
        <w:t>The company explicitly refers to the process of finding the right site before progressing a project.</w:t>
      </w:r>
    </w:p>
    <w:p>
      <w:r>
        <w:rPr>
          <w:b/>
          <w:color w:val="1B2B3A"/>
        </w:rPr>
        <w:t xml:space="preserve">Design quality: </w:t>
      </w:r>
      <w:r>
        <w:t>Furtado Property says it partners with experienced designers and architects and focuses on lasting workmanship and design.</w:t>
      </w:r>
    </w:p>
    <w:p>
      <w:r>
        <w:rPr>
          <w:b/>
          <w:color w:val="1B2B3A"/>
        </w:rPr>
        <w:t xml:space="preserve">Full development journey: </w:t>
      </w:r>
      <w:r>
        <w:t>Its process is framed from site identification through to handing over the keys.</w:t>
      </w:r>
    </w:p>
    <w:p>
      <w:r>
        <w:rPr>
          <w:b/>
          <w:color w:val="1B2B3A"/>
        </w:rPr>
        <w:t xml:space="preserve">Community contribution: </w:t>
      </w:r>
      <w:r>
        <w:t>The company refers to the architectural contribution of its projects to the local community.</w:t>
      </w:r>
    </w:p>
    <w:p>
      <w:r>
        <w:rPr>
          <w:b/>
          <w:color w:val="1B2B3A"/>
        </w:rPr>
        <w:t xml:space="preserve">Customer / occupier outcome: </w:t>
      </w:r>
      <w:r>
        <w:t>Public project material emphasises the quality of the finished home and how people will live in it, not only the building as an asset.</w:t>
      </w:r>
    </w:p>
    <w:p>
      <w:pPr>
        <w:pStyle w:val="Heading1"/>
      </w:pPr>
      <w:r>
        <w:t>3. Documented Development Experience</w:t>
      </w:r>
    </w:p>
    <w:p>
      <w:pPr>
        <w:pStyle w:val="Heading2"/>
      </w:pPr>
      <w:r>
        <w:t>MIRA Living — Bargara, Queensland</w:t>
      </w:r>
    </w:p>
    <w:p>
      <w:r>
        <w:t>MIRA Living is the clearest active project demonstrating Graham’s development role. The project is positioned as premium oceanfront residential living in Bargara and publicly identifies Graham as the developer from Furtado Property.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B2B3A"/>
            <w:tcMar>
              <w:top w:w="100" w:type="dxa"/>
              <w:start w:w="100" w:type="dxa"/>
              <w:bottom w:w="100" w:type="dxa"/>
              <w:end w:w="100" w:type="dxa"/>
            </w:tcMar>
          </w:tcPr>
          <w:p>
            <w:r>
              <w:rPr>
                <w:b/>
                <w:color w:val="FFFFFF"/>
                <w:sz w:val="19"/>
              </w:rPr>
              <w:t>Project item</w:t>
            </w:r>
          </w:p>
        </w:tc>
        <w:tc>
          <w:tcPr>
            <w:tcW w:type="dxa" w:w="4997"/>
            <w:shd w:fill="1B2B3A"/>
            <w:tcMar>
              <w:top w:w="100" w:type="dxa"/>
              <w:start w:w="100" w:type="dxa"/>
              <w:bottom w:w="100" w:type="dxa"/>
              <w:end w:w="100" w:type="dxa"/>
            </w:tcMar>
          </w:tcPr>
          <w:p>
            <w:r>
              <w:rPr>
                <w:b/>
                <w:color w:val="FFFFFF"/>
                <w:sz w:val="19"/>
              </w:rPr>
              <w:t>Detail</w:t>
            </w:r>
          </w:p>
        </w:tc>
      </w:tr>
      <w:tr>
        <w:tc>
          <w:tcPr>
            <w:tcW w:type="dxa" w:w="4997"/>
            <w:tcMar>
              <w:top w:w="95" w:type="dxa"/>
              <w:start w:w="100" w:type="dxa"/>
              <w:bottom w:w="95" w:type="dxa"/>
              <w:end w:w="100" w:type="dxa"/>
            </w:tcMar>
            <w:vAlign w:val="center"/>
          </w:tcPr>
          <w:p>
            <w:pPr>
              <w:spacing w:after="0"/>
            </w:pPr>
            <w:r>
              <w:rPr>
                <w:b/>
                <w:color w:val="1B2B3A"/>
                <w:sz w:val="18"/>
              </w:rPr>
              <w:t>Location</w:t>
            </w:r>
          </w:p>
        </w:tc>
        <w:tc>
          <w:tcPr>
            <w:tcW w:type="dxa" w:w="4997"/>
            <w:tcMar>
              <w:top w:w="95" w:type="dxa"/>
              <w:start w:w="100" w:type="dxa"/>
              <w:bottom w:w="95" w:type="dxa"/>
              <w:end w:w="100" w:type="dxa"/>
            </w:tcMar>
            <w:vAlign w:val="center"/>
          </w:tcPr>
          <w:p>
            <w:pPr>
              <w:spacing w:after="0"/>
            </w:pPr>
            <w:r>
              <w:rPr>
                <w:sz w:val="18"/>
              </w:rPr>
              <w:t>25–27 Esplanade, Bargara, Queensland</w:t>
            </w:r>
          </w:p>
        </w:tc>
      </w:tr>
      <w:tr>
        <w:tc>
          <w:tcPr>
            <w:tcW w:type="dxa" w:w="4997"/>
            <w:tcMar>
              <w:top w:w="95" w:type="dxa"/>
              <w:start w:w="100" w:type="dxa"/>
              <w:bottom w:w="95" w:type="dxa"/>
              <w:end w:w="100" w:type="dxa"/>
            </w:tcMar>
            <w:vAlign w:val="center"/>
          </w:tcPr>
          <w:p>
            <w:pPr>
              <w:spacing w:after="0"/>
            </w:pPr>
            <w:r>
              <w:rPr>
                <w:b/>
                <w:color w:val="1B2B3A"/>
                <w:sz w:val="18"/>
              </w:rPr>
              <w:t>Development type</w:t>
            </w:r>
          </w:p>
        </w:tc>
        <w:tc>
          <w:tcPr>
            <w:tcW w:type="dxa" w:w="4997"/>
            <w:tcMar>
              <w:top w:w="95" w:type="dxa"/>
              <w:start w:w="100" w:type="dxa"/>
              <w:bottom w:w="95" w:type="dxa"/>
              <w:end w:w="100" w:type="dxa"/>
            </w:tcMar>
            <w:vAlign w:val="center"/>
          </w:tcPr>
          <w:p>
            <w:pPr>
              <w:spacing w:after="0"/>
            </w:pPr>
            <w:r>
              <w:rPr>
                <w:sz w:val="18"/>
              </w:rPr>
              <w:t>Boutique oceanfront residential apartments</w:t>
            </w:r>
          </w:p>
        </w:tc>
      </w:tr>
      <w:tr>
        <w:tc>
          <w:tcPr>
            <w:tcW w:type="dxa" w:w="4997"/>
            <w:tcMar>
              <w:top w:w="95" w:type="dxa"/>
              <w:start w:w="100" w:type="dxa"/>
              <w:bottom w:w="95" w:type="dxa"/>
              <w:end w:w="100" w:type="dxa"/>
            </w:tcMar>
            <w:vAlign w:val="center"/>
          </w:tcPr>
          <w:p>
            <w:pPr>
              <w:spacing w:after="0"/>
            </w:pPr>
            <w:r>
              <w:rPr>
                <w:b/>
                <w:color w:val="1B2B3A"/>
                <w:sz w:val="18"/>
              </w:rPr>
              <w:t>Scale</w:t>
            </w:r>
          </w:p>
        </w:tc>
        <w:tc>
          <w:tcPr>
            <w:tcW w:type="dxa" w:w="4997"/>
            <w:tcMar>
              <w:top w:w="95" w:type="dxa"/>
              <w:start w:w="100" w:type="dxa"/>
              <w:bottom w:w="95" w:type="dxa"/>
              <w:end w:w="100" w:type="dxa"/>
            </w:tcMar>
            <w:vAlign w:val="center"/>
          </w:tcPr>
          <w:p>
            <w:pPr>
              <w:spacing w:after="0"/>
            </w:pPr>
            <w:r>
              <w:rPr>
                <w:sz w:val="18"/>
              </w:rPr>
              <w:t>25 residences</w:t>
            </w:r>
          </w:p>
        </w:tc>
      </w:tr>
      <w:tr>
        <w:tc>
          <w:tcPr>
            <w:tcW w:type="dxa" w:w="4997"/>
            <w:tcMar>
              <w:top w:w="95" w:type="dxa"/>
              <w:start w:w="100" w:type="dxa"/>
              <w:bottom w:w="95" w:type="dxa"/>
              <w:end w:w="100" w:type="dxa"/>
            </w:tcMar>
            <w:vAlign w:val="center"/>
          </w:tcPr>
          <w:p>
            <w:pPr>
              <w:spacing w:after="0"/>
            </w:pPr>
            <w:r>
              <w:rPr>
                <w:b/>
                <w:color w:val="1B2B3A"/>
                <w:sz w:val="18"/>
              </w:rPr>
              <w:t>Developer</w:t>
            </w:r>
          </w:p>
        </w:tc>
        <w:tc>
          <w:tcPr>
            <w:tcW w:type="dxa" w:w="4997"/>
            <w:tcMar>
              <w:top w:w="95" w:type="dxa"/>
              <w:start w:w="100" w:type="dxa"/>
              <w:bottom w:w="95" w:type="dxa"/>
              <w:end w:w="100" w:type="dxa"/>
            </w:tcMar>
            <w:vAlign w:val="center"/>
          </w:tcPr>
          <w:p>
            <w:pPr>
              <w:spacing w:after="0"/>
            </w:pPr>
            <w:r>
              <w:rPr>
                <w:sz w:val="18"/>
              </w:rPr>
              <w:t>Furtado Property</w:t>
            </w:r>
          </w:p>
        </w:tc>
      </w:tr>
      <w:tr>
        <w:tc>
          <w:tcPr>
            <w:tcW w:type="dxa" w:w="4997"/>
            <w:tcMar>
              <w:top w:w="95" w:type="dxa"/>
              <w:start w:w="100" w:type="dxa"/>
              <w:bottom w:w="95" w:type="dxa"/>
              <w:end w:w="100" w:type="dxa"/>
            </w:tcMar>
            <w:vAlign w:val="center"/>
          </w:tcPr>
          <w:p>
            <w:pPr>
              <w:spacing w:after="0"/>
            </w:pPr>
            <w:r>
              <w:rPr>
                <w:b/>
                <w:color w:val="1B2B3A"/>
                <w:sz w:val="18"/>
              </w:rPr>
              <w:t>Graham’s public role</w:t>
            </w:r>
          </w:p>
        </w:tc>
        <w:tc>
          <w:tcPr>
            <w:tcW w:type="dxa" w:w="4997"/>
            <w:tcMar>
              <w:top w:w="95" w:type="dxa"/>
              <w:start w:w="100" w:type="dxa"/>
              <w:bottom w:w="95" w:type="dxa"/>
              <w:end w:w="100" w:type="dxa"/>
            </w:tcMar>
            <w:vAlign w:val="center"/>
          </w:tcPr>
          <w:p>
            <w:pPr>
              <w:spacing w:after="0"/>
            </w:pPr>
            <w:r>
              <w:rPr>
                <w:sz w:val="18"/>
              </w:rPr>
              <w:t>Developer, Furtado Property</w:t>
            </w:r>
          </w:p>
        </w:tc>
      </w:tr>
      <w:tr>
        <w:tc>
          <w:tcPr>
            <w:tcW w:type="dxa" w:w="4997"/>
            <w:tcMar>
              <w:top w:w="95" w:type="dxa"/>
              <w:start w:w="100" w:type="dxa"/>
              <w:bottom w:w="95" w:type="dxa"/>
              <w:end w:w="100" w:type="dxa"/>
            </w:tcMar>
            <w:vAlign w:val="center"/>
          </w:tcPr>
          <w:p>
            <w:pPr>
              <w:spacing w:after="0"/>
            </w:pPr>
            <w:r>
              <w:rPr>
                <w:b/>
                <w:color w:val="1B2B3A"/>
                <w:sz w:val="18"/>
              </w:rPr>
              <w:t>Current status</w:t>
            </w:r>
          </w:p>
        </w:tc>
        <w:tc>
          <w:tcPr>
            <w:tcW w:type="dxa" w:w="4997"/>
            <w:tcMar>
              <w:top w:w="95" w:type="dxa"/>
              <w:start w:w="100" w:type="dxa"/>
              <w:bottom w:w="95" w:type="dxa"/>
              <w:end w:w="100" w:type="dxa"/>
            </w:tcMar>
            <w:vAlign w:val="center"/>
          </w:tcPr>
          <w:p>
            <w:pPr>
              <w:spacing w:after="0"/>
            </w:pPr>
            <w:r>
              <w:rPr>
                <w:sz w:val="18"/>
              </w:rPr>
              <w:t>Under construction; MIRA website showed 98% complete in September 2026</w:t>
            </w:r>
          </w:p>
        </w:tc>
      </w:tr>
      <w:tr>
        <w:tc>
          <w:tcPr>
            <w:tcW w:type="dxa" w:w="4997"/>
            <w:tcMar>
              <w:top w:w="95" w:type="dxa"/>
              <w:start w:w="100" w:type="dxa"/>
              <w:bottom w:w="95" w:type="dxa"/>
              <w:end w:w="100" w:type="dxa"/>
            </w:tcMar>
            <w:vAlign w:val="center"/>
          </w:tcPr>
          <w:p>
            <w:pPr>
              <w:spacing w:after="0"/>
            </w:pPr>
            <w:r>
              <w:rPr>
                <w:b/>
                <w:color w:val="1B2B3A"/>
                <w:sz w:val="18"/>
              </w:rPr>
              <w:t>Completion messaging</w:t>
            </w:r>
          </w:p>
        </w:tc>
        <w:tc>
          <w:tcPr>
            <w:tcW w:type="dxa" w:w="4997"/>
            <w:tcMar>
              <w:top w:w="95" w:type="dxa"/>
              <w:start w:w="100" w:type="dxa"/>
              <w:bottom w:w="95" w:type="dxa"/>
              <w:end w:w="100" w:type="dxa"/>
            </w:tcMar>
            <w:vAlign w:val="center"/>
          </w:tcPr>
          <w:p>
            <w:pPr>
              <w:spacing w:after="0"/>
            </w:pPr>
            <w:r>
              <w:rPr>
                <w:sz w:val="18"/>
              </w:rPr>
              <w:t>MIRA website states completion September 2026</w:t>
            </w:r>
          </w:p>
        </w:tc>
      </w:tr>
      <w:tr>
        <w:tc>
          <w:tcPr>
            <w:tcW w:type="dxa" w:w="4997"/>
            <w:tcMar>
              <w:top w:w="95" w:type="dxa"/>
              <w:start w:w="100" w:type="dxa"/>
              <w:bottom w:w="95" w:type="dxa"/>
              <w:end w:w="100" w:type="dxa"/>
            </w:tcMar>
            <w:vAlign w:val="center"/>
          </w:tcPr>
          <w:p>
            <w:pPr>
              <w:spacing w:after="0"/>
            </w:pPr>
            <w:r>
              <w:rPr>
                <w:b/>
                <w:color w:val="1B2B3A"/>
                <w:sz w:val="18"/>
              </w:rPr>
              <w:t>Positioning</w:t>
            </w:r>
          </w:p>
        </w:tc>
        <w:tc>
          <w:tcPr>
            <w:tcW w:type="dxa" w:w="4997"/>
            <w:tcMar>
              <w:top w:w="95" w:type="dxa"/>
              <w:start w:w="100" w:type="dxa"/>
              <w:bottom w:w="95" w:type="dxa"/>
              <w:end w:w="100" w:type="dxa"/>
            </w:tcMar>
            <w:vAlign w:val="center"/>
          </w:tcPr>
          <w:p>
            <w:pPr>
              <w:spacing w:after="0"/>
            </w:pPr>
            <w:r>
              <w:rPr>
                <w:sz w:val="18"/>
              </w:rPr>
              <w:t>Premium / owner-occupier oriented coastal living</w:t>
            </w:r>
          </w:p>
        </w:tc>
      </w:tr>
    </w:tbl>
    <w:p>
      <w:r>
        <w:rPr>
          <w:b/>
          <w:color w:val="9D7740"/>
        </w:rPr>
        <w:t xml:space="preserve">Why MIRA matters to Graham’s profile: </w:t>
      </w:r>
      <w:r>
        <w:t>it shows him operating beyond property sales, with a public role tied to site opportunity, product positioning, consultant coordination, development delivery and bringing a new residential product to market.</w:t>
      </w:r>
    </w:p>
    <w:p>
      <w:pPr>
        <w:pStyle w:val="Heading2"/>
      </w:pPr>
      <w:r>
        <w:t>West End Residential Proposal — Brisbane</w:t>
      </w:r>
    </w:p>
    <w:p>
      <w:r>
        <w:t>In September 2026, Furtado Property lodged plans for a substantially larger residential scheme at 5 Wolfe Street and 6–8 Greet Street, West End. Industry coverage describes the proposal as a major step up in scale from MIRA Living.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B2B3A"/>
            <w:tcMar>
              <w:top w:w="100" w:type="dxa"/>
              <w:start w:w="100" w:type="dxa"/>
              <w:bottom w:w="100" w:type="dxa"/>
              <w:end w:w="100" w:type="dxa"/>
            </w:tcMar>
          </w:tcPr>
          <w:p>
            <w:r>
              <w:rPr>
                <w:b/>
                <w:color w:val="FFFFFF"/>
                <w:sz w:val="19"/>
              </w:rPr>
              <w:t>Project item</w:t>
            </w:r>
          </w:p>
        </w:tc>
        <w:tc>
          <w:tcPr>
            <w:tcW w:type="dxa" w:w="4997"/>
            <w:shd w:fill="1B2B3A"/>
            <w:tcMar>
              <w:top w:w="100" w:type="dxa"/>
              <w:start w:w="100" w:type="dxa"/>
              <w:bottom w:w="100" w:type="dxa"/>
              <w:end w:w="100" w:type="dxa"/>
            </w:tcMar>
          </w:tcPr>
          <w:p>
            <w:r>
              <w:rPr>
                <w:b/>
                <w:color w:val="FFFFFF"/>
                <w:sz w:val="19"/>
              </w:rPr>
              <w:t>Detail</w:t>
            </w:r>
          </w:p>
        </w:tc>
      </w:tr>
      <w:tr>
        <w:tc>
          <w:tcPr>
            <w:tcW w:type="dxa" w:w="4997"/>
            <w:tcMar>
              <w:top w:w="95" w:type="dxa"/>
              <w:start w:w="100" w:type="dxa"/>
              <w:bottom w:w="95" w:type="dxa"/>
              <w:end w:w="100" w:type="dxa"/>
            </w:tcMar>
            <w:vAlign w:val="center"/>
          </w:tcPr>
          <w:p>
            <w:pPr>
              <w:spacing w:after="0"/>
            </w:pPr>
            <w:r>
              <w:rPr>
                <w:b/>
                <w:color w:val="1B2B3A"/>
                <w:sz w:val="18"/>
              </w:rPr>
              <w:t>Site</w:t>
            </w:r>
          </w:p>
        </w:tc>
        <w:tc>
          <w:tcPr>
            <w:tcW w:type="dxa" w:w="4997"/>
            <w:tcMar>
              <w:top w:w="95" w:type="dxa"/>
              <w:start w:w="100" w:type="dxa"/>
              <w:bottom w:w="95" w:type="dxa"/>
              <w:end w:w="100" w:type="dxa"/>
            </w:tcMar>
            <w:vAlign w:val="center"/>
          </w:tcPr>
          <w:p>
            <w:pPr>
              <w:spacing w:after="0"/>
            </w:pPr>
            <w:r>
              <w:rPr>
                <w:sz w:val="18"/>
              </w:rPr>
              <w:t>5 Wolfe Street and 6–8 Greet Street, West End, Brisbane</w:t>
            </w:r>
          </w:p>
        </w:tc>
      </w:tr>
      <w:tr>
        <w:tc>
          <w:tcPr>
            <w:tcW w:type="dxa" w:w="4997"/>
            <w:tcMar>
              <w:top w:w="95" w:type="dxa"/>
              <w:start w:w="100" w:type="dxa"/>
              <w:bottom w:w="95" w:type="dxa"/>
              <w:end w:w="100" w:type="dxa"/>
            </w:tcMar>
            <w:vAlign w:val="center"/>
          </w:tcPr>
          <w:p>
            <w:pPr>
              <w:spacing w:after="0"/>
            </w:pPr>
            <w:r>
              <w:rPr>
                <w:b/>
                <w:color w:val="1B2B3A"/>
                <w:sz w:val="18"/>
              </w:rPr>
              <w:t>Proposed scale</w:t>
            </w:r>
          </w:p>
        </w:tc>
        <w:tc>
          <w:tcPr>
            <w:tcW w:type="dxa" w:w="4997"/>
            <w:tcMar>
              <w:top w:w="95" w:type="dxa"/>
              <w:start w:w="100" w:type="dxa"/>
              <w:bottom w:w="95" w:type="dxa"/>
              <w:end w:w="100" w:type="dxa"/>
            </w:tcMar>
            <w:vAlign w:val="center"/>
          </w:tcPr>
          <w:p>
            <w:pPr>
              <w:spacing w:after="0"/>
            </w:pPr>
            <w:r>
              <w:rPr>
                <w:sz w:val="18"/>
              </w:rPr>
              <w:t>13 storeys</w:t>
            </w:r>
          </w:p>
        </w:tc>
      </w:tr>
      <w:tr>
        <w:tc>
          <w:tcPr>
            <w:tcW w:type="dxa" w:w="4997"/>
            <w:tcMar>
              <w:top w:w="95" w:type="dxa"/>
              <w:start w:w="100" w:type="dxa"/>
              <w:bottom w:w="95" w:type="dxa"/>
              <w:end w:w="100" w:type="dxa"/>
            </w:tcMar>
            <w:vAlign w:val="center"/>
          </w:tcPr>
          <w:p>
            <w:pPr>
              <w:spacing w:after="0"/>
            </w:pPr>
            <w:r>
              <w:rPr>
                <w:b/>
                <w:color w:val="1B2B3A"/>
                <w:sz w:val="18"/>
              </w:rPr>
              <w:t>Apartments</w:t>
            </w:r>
          </w:p>
        </w:tc>
        <w:tc>
          <w:tcPr>
            <w:tcW w:type="dxa" w:w="4997"/>
            <w:tcMar>
              <w:top w:w="95" w:type="dxa"/>
              <w:start w:w="100" w:type="dxa"/>
              <w:bottom w:w="95" w:type="dxa"/>
              <w:end w:w="100" w:type="dxa"/>
            </w:tcMar>
            <w:vAlign w:val="center"/>
          </w:tcPr>
          <w:p>
            <w:pPr>
              <w:spacing w:after="0"/>
            </w:pPr>
            <w:r>
              <w:rPr>
                <w:sz w:val="18"/>
              </w:rPr>
              <w:t>113 total</w:t>
            </w:r>
          </w:p>
        </w:tc>
      </w:tr>
      <w:tr>
        <w:tc>
          <w:tcPr>
            <w:tcW w:type="dxa" w:w="4997"/>
            <w:tcMar>
              <w:top w:w="95" w:type="dxa"/>
              <w:start w:w="100" w:type="dxa"/>
              <w:bottom w:w="95" w:type="dxa"/>
              <w:end w:w="100" w:type="dxa"/>
            </w:tcMar>
            <w:vAlign w:val="center"/>
          </w:tcPr>
          <w:p>
            <w:pPr>
              <w:spacing w:after="0"/>
            </w:pPr>
            <w:r>
              <w:rPr>
                <w:b/>
                <w:color w:val="1B2B3A"/>
                <w:sz w:val="18"/>
              </w:rPr>
              <w:t>Apartment mix</w:t>
            </w:r>
          </w:p>
        </w:tc>
        <w:tc>
          <w:tcPr>
            <w:tcW w:type="dxa" w:w="4997"/>
            <w:tcMar>
              <w:top w:w="95" w:type="dxa"/>
              <w:start w:w="100" w:type="dxa"/>
              <w:bottom w:w="95" w:type="dxa"/>
              <w:end w:w="100" w:type="dxa"/>
            </w:tcMar>
            <w:vAlign w:val="center"/>
          </w:tcPr>
          <w:p>
            <w:pPr>
              <w:spacing w:after="0"/>
            </w:pPr>
            <w:r>
              <w:rPr>
                <w:sz w:val="18"/>
              </w:rPr>
              <w:t>92 two-bedroom + 21 three-bedroom residences</w:t>
            </w:r>
          </w:p>
        </w:tc>
      </w:tr>
      <w:tr>
        <w:tc>
          <w:tcPr>
            <w:tcW w:type="dxa" w:w="4997"/>
            <w:tcMar>
              <w:top w:w="95" w:type="dxa"/>
              <w:start w:w="100" w:type="dxa"/>
              <w:bottom w:w="95" w:type="dxa"/>
              <w:end w:w="100" w:type="dxa"/>
            </w:tcMar>
            <w:vAlign w:val="center"/>
          </w:tcPr>
          <w:p>
            <w:pPr>
              <w:spacing w:after="0"/>
            </w:pPr>
            <w:r>
              <w:rPr>
                <w:b/>
                <w:color w:val="1B2B3A"/>
                <w:sz w:val="18"/>
              </w:rPr>
              <w:t>Developer / applicant</w:t>
            </w:r>
          </w:p>
        </w:tc>
        <w:tc>
          <w:tcPr>
            <w:tcW w:type="dxa" w:w="4997"/>
            <w:tcMar>
              <w:top w:w="95" w:type="dxa"/>
              <w:start w:w="100" w:type="dxa"/>
              <w:bottom w:w="95" w:type="dxa"/>
              <w:end w:w="100" w:type="dxa"/>
            </w:tcMar>
            <w:vAlign w:val="center"/>
          </w:tcPr>
          <w:p>
            <w:pPr>
              <w:spacing w:after="0"/>
            </w:pPr>
            <w:r>
              <w:rPr>
                <w:sz w:val="18"/>
              </w:rPr>
              <w:t>Furtado Property (FP Margate Pty Ltd)</w:t>
            </w:r>
          </w:p>
        </w:tc>
      </w:tr>
      <w:tr>
        <w:tc>
          <w:tcPr>
            <w:tcW w:type="dxa" w:w="4997"/>
            <w:tcMar>
              <w:top w:w="95" w:type="dxa"/>
              <w:start w:w="100" w:type="dxa"/>
              <w:bottom w:w="95" w:type="dxa"/>
              <w:end w:w="100" w:type="dxa"/>
            </w:tcMar>
            <w:vAlign w:val="center"/>
          </w:tcPr>
          <w:p>
            <w:pPr>
              <w:spacing w:after="0"/>
            </w:pPr>
            <w:r>
              <w:rPr>
                <w:b/>
                <w:color w:val="1B2B3A"/>
                <w:sz w:val="18"/>
              </w:rPr>
              <w:t>Architect</w:t>
            </w:r>
          </w:p>
        </w:tc>
        <w:tc>
          <w:tcPr>
            <w:tcW w:type="dxa" w:w="4997"/>
            <w:tcMar>
              <w:top w:w="95" w:type="dxa"/>
              <w:start w:w="100" w:type="dxa"/>
              <w:bottom w:w="95" w:type="dxa"/>
              <w:end w:w="100" w:type="dxa"/>
            </w:tcMar>
            <w:vAlign w:val="center"/>
          </w:tcPr>
          <w:p>
            <w:pPr>
              <w:spacing w:after="0"/>
            </w:pPr>
            <w:r>
              <w:rPr>
                <w:sz w:val="18"/>
              </w:rPr>
              <w:t>MAS Architecture</w:t>
            </w:r>
          </w:p>
        </w:tc>
      </w:tr>
      <w:tr>
        <w:tc>
          <w:tcPr>
            <w:tcW w:type="dxa" w:w="4997"/>
            <w:tcMar>
              <w:top w:w="95" w:type="dxa"/>
              <w:start w:w="100" w:type="dxa"/>
              <w:bottom w:w="95" w:type="dxa"/>
              <w:end w:w="100" w:type="dxa"/>
            </w:tcMar>
            <w:vAlign w:val="center"/>
          </w:tcPr>
          <w:p>
            <w:pPr>
              <w:spacing w:after="0"/>
            </w:pPr>
            <w:r>
              <w:rPr>
                <w:b/>
                <w:color w:val="1B2B3A"/>
                <w:sz w:val="18"/>
              </w:rPr>
              <w:t>Town planner</w:t>
            </w:r>
          </w:p>
        </w:tc>
        <w:tc>
          <w:tcPr>
            <w:tcW w:type="dxa" w:w="4997"/>
            <w:tcMar>
              <w:top w:w="95" w:type="dxa"/>
              <w:start w:w="100" w:type="dxa"/>
              <w:bottom w:w="95" w:type="dxa"/>
              <w:end w:w="100" w:type="dxa"/>
            </w:tcMar>
            <w:vAlign w:val="center"/>
          </w:tcPr>
          <w:p>
            <w:pPr>
              <w:spacing w:after="0"/>
            </w:pPr>
            <w:r>
              <w:rPr>
                <w:sz w:val="18"/>
              </w:rPr>
              <w:t>Urbicus</w:t>
            </w:r>
          </w:p>
        </w:tc>
      </w:tr>
      <w:tr>
        <w:tc>
          <w:tcPr>
            <w:tcW w:type="dxa" w:w="4997"/>
            <w:tcMar>
              <w:top w:w="95" w:type="dxa"/>
              <w:start w:w="100" w:type="dxa"/>
              <w:bottom w:w="95" w:type="dxa"/>
              <w:end w:w="100" w:type="dxa"/>
            </w:tcMar>
            <w:vAlign w:val="center"/>
          </w:tcPr>
          <w:p>
            <w:pPr>
              <w:spacing w:after="0"/>
            </w:pPr>
            <w:r>
              <w:rPr>
                <w:b/>
                <w:color w:val="1B2B3A"/>
                <w:sz w:val="18"/>
              </w:rPr>
              <w:t>Landscape architect</w:t>
            </w:r>
          </w:p>
        </w:tc>
        <w:tc>
          <w:tcPr>
            <w:tcW w:type="dxa" w:w="4997"/>
            <w:tcMar>
              <w:top w:w="95" w:type="dxa"/>
              <w:start w:w="100" w:type="dxa"/>
              <w:bottom w:w="95" w:type="dxa"/>
              <w:end w:w="100" w:type="dxa"/>
            </w:tcMar>
            <w:vAlign w:val="center"/>
          </w:tcPr>
          <w:p>
            <w:pPr>
              <w:spacing w:after="0"/>
            </w:pPr>
            <w:r>
              <w:rPr>
                <w:sz w:val="18"/>
              </w:rPr>
              <w:t>AS Design</w:t>
            </w:r>
          </w:p>
        </w:tc>
      </w:tr>
      <w:tr>
        <w:tc>
          <w:tcPr>
            <w:tcW w:type="dxa" w:w="4997"/>
            <w:tcMar>
              <w:top w:w="95" w:type="dxa"/>
              <w:start w:w="100" w:type="dxa"/>
              <w:bottom w:w="95" w:type="dxa"/>
              <w:end w:w="100" w:type="dxa"/>
            </w:tcMar>
            <w:vAlign w:val="center"/>
          </w:tcPr>
          <w:p>
            <w:pPr>
              <w:spacing w:after="0"/>
            </w:pPr>
            <w:r>
              <w:rPr>
                <w:b/>
                <w:color w:val="1B2B3A"/>
                <w:sz w:val="18"/>
              </w:rPr>
              <w:t>Traffic / waste</w:t>
            </w:r>
          </w:p>
        </w:tc>
        <w:tc>
          <w:tcPr>
            <w:tcW w:type="dxa" w:w="4997"/>
            <w:tcMar>
              <w:top w:w="95" w:type="dxa"/>
              <w:start w:w="100" w:type="dxa"/>
              <w:bottom w:w="95" w:type="dxa"/>
              <w:end w:w="100" w:type="dxa"/>
            </w:tcMar>
            <w:vAlign w:val="center"/>
          </w:tcPr>
          <w:p>
            <w:pPr>
              <w:spacing w:after="0"/>
            </w:pPr>
            <w:r>
              <w:rPr>
                <w:sz w:val="18"/>
              </w:rPr>
              <w:t>BMC Traffic</w:t>
            </w:r>
          </w:p>
        </w:tc>
      </w:tr>
      <w:tr>
        <w:tc>
          <w:tcPr>
            <w:tcW w:type="dxa" w:w="4997"/>
            <w:tcMar>
              <w:top w:w="95" w:type="dxa"/>
              <w:start w:w="100" w:type="dxa"/>
              <w:bottom w:w="95" w:type="dxa"/>
              <w:end w:w="100" w:type="dxa"/>
            </w:tcMar>
            <w:vAlign w:val="center"/>
          </w:tcPr>
          <w:p>
            <w:pPr>
              <w:spacing w:after="0"/>
            </w:pPr>
            <w:r>
              <w:rPr>
                <w:b/>
                <w:color w:val="1B2B3A"/>
                <w:sz w:val="18"/>
              </w:rPr>
              <w:t>Civil / stormwater / flood</w:t>
            </w:r>
          </w:p>
        </w:tc>
        <w:tc>
          <w:tcPr>
            <w:tcW w:type="dxa" w:w="4997"/>
            <w:tcMar>
              <w:top w:w="95" w:type="dxa"/>
              <w:start w:w="100" w:type="dxa"/>
              <w:bottom w:w="95" w:type="dxa"/>
              <w:end w:w="100" w:type="dxa"/>
            </w:tcMar>
            <w:vAlign w:val="center"/>
          </w:tcPr>
          <w:p>
            <w:pPr>
              <w:spacing w:after="0"/>
            </w:pPr>
            <w:r>
              <w:rPr>
                <w:sz w:val="18"/>
              </w:rPr>
              <w:t>CDS</w:t>
            </w:r>
          </w:p>
        </w:tc>
      </w:tr>
      <w:tr>
        <w:tc>
          <w:tcPr>
            <w:tcW w:type="dxa" w:w="4997"/>
            <w:tcMar>
              <w:top w:w="95" w:type="dxa"/>
              <w:start w:w="100" w:type="dxa"/>
              <w:bottom w:w="95" w:type="dxa"/>
              <w:end w:w="100" w:type="dxa"/>
            </w:tcMar>
            <w:vAlign w:val="center"/>
          </w:tcPr>
          <w:p>
            <w:pPr>
              <w:spacing w:after="0"/>
            </w:pPr>
            <w:r>
              <w:rPr>
                <w:b/>
                <w:color w:val="1B2B3A"/>
                <w:sz w:val="18"/>
              </w:rPr>
              <w:t>Status</w:t>
            </w:r>
          </w:p>
        </w:tc>
        <w:tc>
          <w:tcPr>
            <w:tcW w:type="dxa" w:w="4997"/>
            <w:tcMar>
              <w:top w:w="95" w:type="dxa"/>
              <w:start w:w="100" w:type="dxa"/>
              <w:bottom w:w="95" w:type="dxa"/>
              <w:end w:w="100" w:type="dxa"/>
            </w:tcMar>
            <w:vAlign w:val="center"/>
          </w:tcPr>
          <w:p>
            <w:pPr>
              <w:spacing w:after="0"/>
            </w:pPr>
            <w:r>
              <w:rPr>
                <w:sz w:val="18"/>
              </w:rPr>
              <w:t>Lodged with Brisbane City Council; received 9 September 2026</w:t>
            </w:r>
          </w:p>
        </w:tc>
      </w:tr>
      <w:tr>
        <w:tc>
          <w:tcPr>
            <w:tcW w:type="dxa" w:w="4997"/>
            <w:tcMar>
              <w:top w:w="95" w:type="dxa"/>
              <w:start w:w="100" w:type="dxa"/>
              <w:bottom w:w="95" w:type="dxa"/>
              <w:end w:w="100" w:type="dxa"/>
            </w:tcMar>
            <w:vAlign w:val="center"/>
          </w:tcPr>
          <w:p>
            <w:pPr>
              <w:spacing w:after="0"/>
            </w:pPr>
            <w:r>
              <w:rPr>
                <w:b/>
                <w:color w:val="1B2B3A"/>
                <w:sz w:val="18"/>
              </w:rPr>
              <w:t>Parking / mobility</w:t>
            </w:r>
          </w:p>
        </w:tc>
        <w:tc>
          <w:tcPr>
            <w:tcW w:type="dxa" w:w="4997"/>
            <w:tcMar>
              <w:top w:w="95" w:type="dxa"/>
              <w:start w:w="100" w:type="dxa"/>
              <w:bottom w:w="95" w:type="dxa"/>
              <w:end w:w="100" w:type="dxa"/>
            </w:tcMar>
            <w:vAlign w:val="center"/>
          </w:tcPr>
          <w:p>
            <w:pPr>
              <w:spacing w:after="0"/>
            </w:pPr>
            <w:r>
              <w:rPr>
                <w:sz w:val="18"/>
              </w:rPr>
              <w:t>116 car spaces, 5 motorcycle spaces and 142 bicycle spaces proposed</w:t>
            </w:r>
          </w:p>
        </w:tc>
      </w:tr>
    </w:tbl>
    <w:p>
      <w:r>
        <w:rPr>
          <w:b/>
          <w:color w:val="9D7740"/>
        </w:rPr>
        <w:t xml:space="preserve">Why West End matters: </w:t>
      </w:r>
      <w:r>
        <w:t>it demonstrates a move into a more complex inner-city development environment and materially strengthens the case for presenting Graham as an active residential developer rather than only a real-estate professional.</w:t>
      </w:r>
    </w:p>
    <w:p>
      <w:pPr>
        <w:pStyle w:val="Heading1"/>
      </w:pPr>
      <w:r>
        <w:t>4. Services Graham Could Credibly Offer</w:t>
      </w:r>
    </w:p>
    <w:p>
      <w:r>
        <w:t>The following areas are based on the work publicly associated with Graham and Furtado Property. They are best understood as a service/positioning framework for a future personal site, not as confirmation that he currently sells every service as a standalone engagement.</w:t>
      </w:r>
    </w:p>
    <w:p>
      <w:pPr>
        <w:pStyle w:val="Heading2"/>
      </w:pPr>
      <w:r>
        <w:t>Core service areas — strongly supported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B2B3A"/>
            <w:tcMar>
              <w:top w:w="100" w:type="dxa"/>
              <w:start w:w="100" w:type="dxa"/>
              <w:bottom w:w="100" w:type="dxa"/>
              <w:end w:w="100" w:type="dxa"/>
            </w:tcMar>
          </w:tcPr>
          <w:p>
            <w:r>
              <w:rPr>
                <w:b/>
                <w:color w:val="FFFFFF"/>
                <w:sz w:val="19"/>
              </w:rPr>
              <w:t>Service area</w:t>
            </w:r>
          </w:p>
        </w:tc>
        <w:tc>
          <w:tcPr>
            <w:tcW w:type="dxa" w:w="4997"/>
            <w:shd w:fill="1B2B3A"/>
            <w:tcMar>
              <w:top w:w="100" w:type="dxa"/>
              <w:start w:w="100" w:type="dxa"/>
              <w:bottom w:w="100" w:type="dxa"/>
              <w:end w:w="100" w:type="dxa"/>
            </w:tcMar>
          </w:tcPr>
          <w:p>
            <w:r>
              <w:rPr>
                <w:b/>
                <w:color w:val="FFFFFF"/>
                <w:sz w:val="19"/>
              </w:rPr>
              <w:t>Possible scope</w:t>
            </w:r>
          </w:p>
        </w:tc>
      </w:tr>
      <w:tr>
        <w:tc>
          <w:tcPr>
            <w:tcW w:type="dxa" w:w="4997"/>
            <w:tcMar>
              <w:top w:w="95" w:type="dxa"/>
              <w:start w:w="100" w:type="dxa"/>
              <w:bottom w:w="95" w:type="dxa"/>
              <w:end w:w="100" w:type="dxa"/>
            </w:tcMar>
            <w:vAlign w:val="center"/>
          </w:tcPr>
          <w:p>
            <w:pPr>
              <w:spacing w:after="0"/>
            </w:pPr>
            <w:r>
              <w:rPr>
                <w:b/>
                <w:color w:val="1B2B3A"/>
                <w:sz w:val="18"/>
              </w:rPr>
              <w:t>Property Development</w:t>
            </w:r>
          </w:p>
        </w:tc>
        <w:tc>
          <w:tcPr>
            <w:tcW w:type="dxa" w:w="4997"/>
            <w:tcMar>
              <w:top w:w="95" w:type="dxa"/>
              <w:start w:w="100" w:type="dxa"/>
              <w:bottom w:w="95" w:type="dxa"/>
              <w:end w:w="100" w:type="dxa"/>
            </w:tcMar>
            <w:vAlign w:val="center"/>
          </w:tcPr>
          <w:p>
            <w:pPr>
              <w:spacing w:after="0"/>
            </w:pPr>
            <w:r>
              <w:rPr>
                <w:sz w:val="18"/>
              </w:rPr>
              <w:t>Residential development from early opportunity and site stage through design coordination, delivery and market completion.</w:t>
            </w:r>
          </w:p>
        </w:tc>
      </w:tr>
      <w:tr>
        <w:tc>
          <w:tcPr>
            <w:tcW w:type="dxa" w:w="4997"/>
            <w:tcMar>
              <w:top w:w="95" w:type="dxa"/>
              <w:start w:w="100" w:type="dxa"/>
              <w:bottom w:w="95" w:type="dxa"/>
              <w:end w:w="100" w:type="dxa"/>
            </w:tcMar>
            <w:vAlign w:val="center"/>
          </w:tcPr>
          <w:p>
            <w:pPr>
              <w:spacing w:after="0"/>
            </w:pPr>
            <w:r>
              <w:rPr>
                <w:b/>
                <w:color w:val="1B2B3A"/>
                <w:sz w:val="18"/>
              </w:rPr>
              <w:t>Residential Development Strategy</w:t>
            </w:r>
          </w:p>
        </w:tc>
        <w:tc>
          <w:tcPr>
            <w:tcW w:type="dxa" w:w="4997"/>
            <w:tcMar>
              <w:top w:w="95" w:type="dxa"/>
              <w:start w:w="100" w:type="dxa"/>
              <w:bottom w:w="95" w:type="dxa"/>
              <w:end w:w="100" w:type="dxa"/>
            </w:tcMar>
            <w:vAlign w:val="center"/>
          </w:tcPr>
          <w:p>
            <w:pPr>
              <w:spacing w:after="0"/>
            </w:pPr>
            <w:r>
              <w:rPr>
                <w:sz w:val="18"/>
              </w:rPr>
              <w:t>Project direction, target market, product positioning, development priorities and residential offer.</w:t>
            </w:r>
          </w:p>
        </w:tc>
      </w:tr>
      <w:tr>
        <w:tc>
          <w:tcPr>
            <w:tcW w:type="dxa" w:w="4997"/>
            <w:tcMar>
              <w:top w:w="95" w:type="dxa"/>
              <w:start w:w="100" w:type="dxa"/>
              <w:bottom w:w="95" w:type="dxa"/>
              <w:end w:w="100" w:type="dxa"/>
            </w:tcMar>
            <w:vAlign w:val="center"/>
          </w:tcPr>
          <w:p>
            <w:pPr>
              <w:spacing w:after="0"/>
            </w:pPr>
            <w:r>
              <w:rPr>
                <w:b/>
                <w:color w:val="1B2B3A"/>
                <w:sz w:val="18"/>
              </w:rPr>
              <w:t>Site Identification &amp; Opportunity Assessment</w:t>
            </w:r>
          </w:p>
        </w:tc>
        <w:tc>
          <w:tcPr>
            <w:tcW w:type="dxa" w:w="4997"/>
            <w:tcMar>
              <w:top w:w="95" w:type="dxa"/>
              <w:start w:w="100" w:type="dxa"/>
              <w:bottom w:w="95" w:type="dxa"/>
              <w:end w:w="100" w:type="dxa"/>
            </w:tcMar>
            <w:vAlign w:val="center"/>
          </w:tcPr>
          <w:p>
            <w:pPr>
              <w:spacing w:after="0"/>
            </w:pPr>
            <w:r>
              <w:rPr>
                <w:sz w:val="18"/>
              </w:rPr>
              <w:t>Recognising locations and sites with potential and considering market gaps and development fit.</w:t>
            </w:r>
          </w:p>
        </w:tc>
      </w:tr>
      <w:tr>
        <w:tc>
          <w:tcPr>
            <w:tcW w:type="dxa" w:w="4997"/>
            <w:tcMar>
              <w:top w:w="95" w:type="dxa"/>
              <w:start w:w="100" w:type="dxa"/>
              <w:bottom w:w="95" w:type="dxa"/>
              <w:end w:w="100" w:type="dxa"/>
            </w:tcMar>
            <w:vAlign w:val="center"/>
          </w:tcPr>
          <w:p>
            <w:pPr>
              <w:spacing w:after="0"/>
            </w:pPr>
            <w:r>
              <w:rPr>
                <w:b/>
                <w:color w:val="1B2B3A"/>
                <w:sz w:val="18"/>
              </w:rPr>
              <w:t>Development Feasibility / Early-Stage Advisory</w:t>
            </w:r>
          </w:p>
        </w:tc>
        <w:tc>
          <w:tcPr>
            <w:tcW w:type="dxa" w:w="4997"/>
            <w:tcMar>
              <w:top w:w="95" w:type="dxa"/>
              <w:start w:w="100" w:type="dxa"/>
              <w:bottom w:w="95" w:type="dxa"/>
              <w:end w:w="100" w:type="dxa"/>
            </w:tcMar>
            <w:vAlign w:val="center"/>
          </w:tcPr>
          <w:p>
            <w:pPr>
              <w:spacing w:after="0"/>
            </w:pPr>
            <w:r>
              <w:rPr>
                <w:sz w:val="18"/>
              </w:rPr>
              <w:t>High-level assessment of market fit, site potential, product direction and development opportunity. Detailed financial or planning services should only be claimed if formally offered.</w:t>
            </w:r>
          </w:p>
        </w:tc>
      </w:tr>
      <w:tr>
        <w:tc>
          <w:tcPr>
            <w:tcW w:type="dxa" w:w="4997"/>
            <w:tcMar>
              <w:top w:w="95" w:type="dxa"/>
              <w:start w:w="100" w:type="dxa"/>
              <w:bottom w:w="95" w:type="dxa"/>
              <w:end w:w="100" w:type="dxa"/>
            </w:tcMar>
            <w:vAlign w:val="center"/>
          </w:tcPr>
          <w:p>
            <w:pPr>
              <w:spacing w:after="0"/>
            </w:pPr>
            <w:r>
              <w:rPr>
                <w:b/>
                <w:color w:val="1B2B3A"/>
                <w:sz w:val="18"/>
              </w:rPr>
              <w:t>Development Management</w:t>
            </w:r>
          </w:p>
        </w:tc>
        <w:tc>
          <w:tcPr>
            <w:tcW w:type="dxa" w:w="4997"/>
            <w:tcMar>
              <w:top w:w="95" w:type="dxa"/>
              <w:start w:w="100" w:type="dxa"/>
              <w:bottom w:w="95" w:type="dxa"/>
              <w:end w:w="100" w:type="dxa"/>
            </w:tcMar>
            <w:vAlign w:val="center"/>
          </w:tcPr>
          <w:p>
            <w:pPr>
              <w:spacing w:after="0"/>
            </w:pPr>
            <w:r>
              <w:rPr>
                <w:sz w:val="18"/>
              </w:rPr>
              <w:t>Coordinating architects, designers, planners, engineers, builders, sales teams and other project specialists.</w:t>
            </w:r>
          </w:p>
        </w:tc>
      </w:tr>
      <w:tr>
        <w:tc>
          <w:tcPr>
            <w:tcW w:type="dxa" w:w="4997"/>
            <w:tcMar>
              <w:top w:w="95" w:type="dxa"/>
              <w:start w:w="100" w:type="dxa"/>
              <w:bottom w:w="95" w:type="dxa"/>
              <w:end w:w="100" w:type="dxa"/>
            </w:tcMar>
            <w:vAlign w:val="center"/>
          </w:tcPr>
          <w:p>
            <w:pPr>
              <w:spacing w:after="0"/>
            </w:pPr>
            <w:r>
              <w:rPr>
                <w:b/>
                <w:color w:val="1B2B3A"/>
                <w:sz w:val="18"/>
              </w:rPr>
              <w:t>Design &amp; Consultant Coordination</w:t>
            </w:r>
          </w:p>
        </w:tc>
        <w:tc>
          <w:tcPr>
            <w:tcW w:type="dxa" w:w="4997"/>
            <w:tcMar>
              <w:top w:w="95" w:type="dxa"/>
              <w:start w:w="100" w:type="dxa"/>
              <w:bottom w:w="95" w:type="dxa"/>
              <w:end w:w="100" w:type="dxa"/>
            </w:tcMar>
            <w:vAlign w:val="center"/>
          </w:tcPr>
          <w:p>
            <w:pPr>
              <w:spacing w:after="0"/>
            </w:pPr>
            <w:r>
              <w:rPr>
                <w:sz w:val="18"/>
              </w:rPr>
              <w:t>Bringing together specialist teams while maintaining the development vision and end-user outcome.</w:t>
            </w:r>
          </w:p>
        </w:tc>
      </w:tr>
      <w:tr>
        <w:tc>
          <w:tcPr>
            <w:tcW w:type="dxa" w:w="4997"/>
            <w:tcMar>
              <w:top w:w="95" w:type="dxa"/>
              <w:start w:w="100" w:type="dxa"/>
              <w:bottom w:w="95" w:type="dxa"/>
              <w:end w:w="100" w:type="dxa"/>
            </w:tcMar>
            <w:vAlign w:val="center"/>
          </w:tcPr>
          <w:p>
            <w:pPr>
              <w:spacing w:after="0"/>
            </w:pPr>
            <w:r>
              <w:rPr>
                <w:b/>
                <w:color w:val="1B2B3A"/>
                <w:sz w:val="18"/>
              </w:rPr>
              <w:t>Property Market Advisory</w:t>
            </w:r>
          </w:p>
        </w:tc>
        <w:tc>
          <w:tcPr>
            <w:tcW w:type="dxa" w:w="4997"/>
            <w:tcMar>
              <w:top w:w="95" w:type="dxa"/>
              <w:start w:w="100" w:type="dxa"/>
              <w:bottom w:w="95" w:type="dxa"/>
              <w:end w:w="100" w:type="dxa"/>
            </w:tcMar>
            <w:vAlign w:val="center"/>
          </w:tcPr>
          <w:p>
            <w:pPr>
              <w:spacing w:after="0"/>
            </w:pPr>
            <w:r>
              <w:rPr>
                <w:sz w:val="18"/>
              </w:rPr>
              <w:t>Applying long-term real-estate experience to location, buyer, residential-market and product decisions.</w:t>
            </w:r>
          </w:p>
        </w:tc>
      </w:tr>
      <w:tr>
        <w:tc>
          <w:tcPr>
            <w:tcW w:type="dxa" w:w="4997"/>
            <w:tcMar>
              <w:top w:w="95" w:type="dxa"/>
              <w:start w:w="100" w:type="dxa"/>
              <w:bottom w:w="95" w:type="dxa"/>
              <w:end w:w="100" w:type="dxa"/>
            </w:tcMar>
            <w:vAlign w:val="center"/>
          </w:tcPr>
          <w:p>
            <w:pPr>
              <w:spacing w:after="0"/>
            </w:pPr>
            <w:r>
              <w:rPr>
                <w:b/>
                <w:color w:val="1B2B3A"/>
                <w:sz w:val="18"/>
              </w:rPr>
              <w:t>Residential Real Estate Advisory</w:t>
            </w:r>
          </w:p>
        </w:tc>
        <w:tc>
          <w:tcPr>
            <w:tcW w:type="dxa" w:w="4997"/>
            <w:tcMar>
              <w:top w:w="95" w:type="dxa"/>
              <w:start w:w="100" w:type="dxa"/>
              <w:bottom w:w="95" w:type="dxa"/>
              <w:end w:w="100" w:type="dxa"/>
            </w:tcMar>
            <w:vAlign w:val="center"/>
          </w:tcPr>
          <w:p>
            <w:pPr>
              <w:spacing w:after="0"/>
            </w:pPr>
            <w:r>
              <w:rPr>
                <w:sz w:val="18"/>
              </w:rPr>
              <w:t>Strategic property guidance informed by extensive real-estate experience, subject to Graham’s preferred current service model.</w:t>
            </w:r>
          </w:p>
        </w:tc>
      </w:tr>
    </w:tbl>
    <w:p>
      <w:pPr>
        <w:pStyle w:val="Heading2"/>
      </w:pPr>
      <w:r>
        <w:t>Potential service areas — confirm directly before marketing</w:t>
      </w:r>
    </w:p>
    <w:p>
      <w:pPr>
        <w:pStyle w:val="ListBullet"/>
        <w:spacing w:after="60"/>
      </w:pPr>
      <w:r>
        <w:t>Development partnerships and joint ventures</w:t>
      </w:r>
    </w:p>
    <w:p>
      <w:pPr>
        <w:pStyle w:val="ListBullet"/>
        <w:spacing w:after="60"/>
      </w:pPr>
      <w:r>
        <w:t>Owner / investor development representation</w:t>
      </w:r>
    </w:p>
    <w:p>
      <w:pPr>
        <w:pStyle w:val="ListBullet"/>
        <w:spacing w:after="60"/>
      </w:pPr>
      <w:r>
        <w:t>Off-the-plan sales strategy</w:t>
      </w:r>
    </w:p>
    <w:p>
      <w:pPr>
        <w:pStyle w:val="ListBullet"/>
        <w:spacing w:after="60"/>
      </w:pPr>
      <w:r>
        <w:t>Project marketing strategy</w:t>
      </w:r>
    </w:p>
    <w:p>
      <w:pPr>
        <w:pStyle w:val="ListBullet"/>
        <w:spacing w:after="60"/>
      </w:pPr>
      <w:r>
        <w:t>Direct buyer or seller representation</w:t>
      </w:r>
    </w:p>
    <w:p>
      <w:pPr>
        <w:pStyle w:val="ListBullet"/>
        <w:spacing w:after="60"/>
      </w:pPr>
      <w:r>
        <w:t>Development mentoring / consulting for other landowners or developers</w:t>
      </w:r>
    </w:p>
    <w:tbl>
      <w:tblPr>
        <w:tblW w:type="auto" w:w="0"/>
        <w:jc w:val="center"/>
        <w:tblLook w:firstColumn="1" w:firstRow="1" w:lastColumn="0" w:lastRow="0" w:noHBand="0" w:noVBand="1" w:val="04A0"/>
      </w:tblPr>
      <w:tblGrid>
        <w:gridCol w:w="9994"/>
      </w:tblGrid>
      <w:tr>
        <w:tc>
          <w:tcPr>
            <w:tcW w:type="dxa" w:w="9994"/>
            <w:shd w:fill="F3F4F2"/>
            <w:tcMar>
              <w:top w:w="150" w:type="dxa"/>
              <w:start w:w="170" w:type="dxa"/>
              <w:bottom w:w="150" w:type="dxa"/>
              <w:end w:w="170" w:type="dxa"/>
            </w:tcMar>
          </w:tcPr>
          <w:p>
            <w:pPr>
              <w:spacing w:after="80"/>
            </w:pPr>
            <w:r>
              <w:rPr>
                <w:b/>
                <w:color w:val="1B2B3A"/>
                <w:sz w:val="23"/>
              </w:rPr>
              <w:t>Do not overclaim</w:t>
            </w:r>
          </w:p>
          <w:p>
            <w:pPr>
              <w:spacing w:after="0"/>
            </w:pPr>
            <w:r>
              <w:rPr>
                <w:color w:val="2E3236"/>
                <w:sz w:val="21"/>
              </w:rPr>
              <w:t>Do not automatically advertise property management, rental management, commercial leasing, architecture, construction contracting, town planning or engineering as Graham’s own services. Public material shows Furtado Property working with specialist consultants in these areas rather than Graham personally providing them.</w:t>
            </w:r>
          </w:p>
        </w:tc>
      </w:tr>
    </w:tbl>
    <w:p>
      <w:pPr>
        <w:pStyle w:val="Heading1"/>
      </w:pPr>
      <w:r>
        <w:t>5. Recommended Personal Brand Direction</w:t>
      </w:r>
    </w:p>
    <w:p>
      <w:r>
        <w:t>A Graham Furtado personal profile can sit above the individual development brands. Furtado Property remains the development company; MIRA Living and future projects provide proof of delivery; Graham’s personal brand can explain the experience, thinking, approach and relationships behind those projects.</w:t>
      </w:r>
    </w:p>
    <w:p>
      <w:pPr>
        <w:pStyle w:val="Heading2"/>
      </w:pPr>
      <w:r>
        <w:t>Six practical brand pillars</w:t>
      </w:r>
    </w:p>
    <w:tbl>
      <w:tblPr>
        <w:tblW w:type="auto" w:w="0"/>
        <w:jc w:val="center"/>
        <w:tblLook w:firstColumn="1" w:firstRow="1" w:lastColumn="0" w:lastRow="0" w:noHBand="0" w:noVBand="1" w:val="04A0"/>
      </w:tblPr>
      <w:tblGrid>
        <w:gridCol w:w="4997"/>
        <w:gridCol w:w="4997"/>
      </w:tblGrid>
      <w:tr>
        <w:tc>
          <w:tcPr>
            <w:tcW w:type="dxa" w:w="4997"/>
            <w:shd w:fill="F3F4F2"/>
            <w:tcMar>
              <w:top w:w="140" w:type="dxa"/>
              <w:start w:w="150" w:type="dxa"/>
              <w:bottom w:w="140" w:type="dxa"/>
              <w:end w:w="150" w:type="dxa"/>
            </w:tcMar>
          </w:tcPr>
          <w:p>
            <w:pPr>
              <w:spacing w:after="0"/>
            </w:pPr>
            <w:r>
              <w:rPr>
                <w:b/>
                <w:color w:val="9D7740"/>
                <w:sz w:val="17"/>
              </w:rPr>
              <w:t>01</w:t>
              <w:br/>
            </w:r>
            <w:r>
              <w:rPr>
                <w:b/>
                <w:color w:val="1B2B3A"/>
                <w:sz w:val="23"/>
              </w:rPr>
              <w:t>Property Development</w:t>
            </w:r>
          </w:p>
        </w:tc>
        <w:tc>
          <w:tcPr>
            <w:tcW w:type="dxa" w:w="4997"/>
            <w:shd w:fill="F3F4F2"/>
            <w:tcMar>
              <w:top w:w="140" w:type="dxa"/>
              <w:start w:w="150" w:type="dxa"/>
              <w:bottom w:w="140" w:type="dxa"/>
              <w:end w:w="150" w:type="dxa"/>
            </w:tcMar>
          </w:tcPr>
          <w:p>
            <w:pPr>
              <w:spacing w:after="0"/>
            </w:pPr>
            <w:r>
              <w:rPr>
                <w:b/>
                <w:color w:val="9D7740"/>
                <w:sz w:val="17"/>
              </w:rPr>
              <w:t>02</w:t>
              <w:br/>
            </w:r>
            <w:r>
              <w:rPr>
                <w:b/>
                <w:color w:val="1B2B3A"/>
                <w:sz w:val="23"/>
              </w:rPr>
              <w:t>Development Advisory</w:t>
            </w:r>
          </w:p>
        </w:tc>
      </w:tr>
      <w:tr>
        <w:tc>
          <w:tcPr>
            <w:tcW w:type="dxa" w:w="4997"/>
            <w:shd w:fill="F3F4F2"/>
            <w:tcMar>
              <w:top w:w="140" w:type="dxa"/>
              <w:start w:w="150" w:type="dxa"/>
              <w:bottom w:w="140" w:type="dxa"/>
              <w:end w:w="150" w:type="dxa"/>
            </w:tcMar>
          </w:tcPr>
          <w:p>
            <w:pPr>
              <w:spacing w:after="0"/>
            </w:pPr>
            <w:r>
              <w:rPr>
                <w:b/>
                <w:color w:val="9D7740"/>
                <w:sz w:val="17"/>
              </w:rPr>
              <w:t>03</w:t>
              <w:br/>
            </w:r>
            <w:r>
              <w:rPr>
                <w:b/>
                <w:color w:val="1B2B3A"/>
                <w:sz w:val="23"/>
              </w:rPr>
              <w:t>Site Acquisition &amp; Feasibility</w:t>
            </w:r>
          </w:p>
        </w:tc>
        <w:tc>
          <w:tcPr>
            <w:tcW w:type="dxa" w:w="4997"/>
            <w:shd w:fill="F3F4F2"/>
            <w:tcMar>
              <w:top w:w="140" w:type="dxa"/>
              <w:start w:w="150" w:type="dxa"/>
              <w:bottom w:w="140" w:type="dxa"/>
              <w:end w:w="150" w:type="dxa"/>
            </w:tcMar>
          </w:tcPr>
          <w:p>
            <w:pPr>
              <w:spacing w:after="0"/>
            </w:pPr>
            <w:r>
              <w:rPr>
                <w:b/>
                <w:color w:val="9D7740"/>
                <w:sz w:val="17"/>
              </w:rPr>
              <w:t>04</w:t>
              <w:br/>
            </w:r>
            <w:r>
              <w:rPr>
                <w:b/>
                <w:color w:val="1B2B3A"/>
                <w:sz w:val="23"/>
              </w:rPr>
              <w:t>Real Estate Advisory</w:t>
            </w:r>
          </w:p>
        </w:tc>
      </w:tr>
      <w:tr>
        <w:tc>
          <w:tcPr>
            <w:tcW w:type="dxa" w:w="4997"/>
            <w:shd w:fill="F3F4F2"/>
            <w:tcMar>
              <w:top w:w="140" w:type="dxa"/>
              <w:start w:w="150" w:type="dxa"/>
              <w:bottom w:w="140" w:type="dxa"/>
              <w:end w:w="150" w:type="dxa"/>
            </w:tcMar>
          </w:tcPr>
          <w:p>
            <w:pPr>
              <w:spacing w:after="0"/>
            </w:pPr>
            <w:r>
              <w:rPr>
                <w:b/>
                <w:color w:val="9D7740"/>
                <w:sz w:val="17"/>
              </w:rPr>
              <w:t>05</w:t>
              <w:br/>
            </w:r>
            <w:r>
              <w:rPr>
                <w:b/>
                <w:color w:val="1B2B3A"/>
                <w:sz w:val="23"/>
              </w:rPr>
              <w:t>Project Strategy &amp; Delivery</w:t>
            </w:r>
          </w:p>
        </w:tc>
        <w:tc>
          <w:tcPr>
            <w:tcW w:type="dxa" w:w="4997"/>
            <w:shd w:fill="F3F4F2"/>
            <w:tcMar>
              <w:top w:w="140" w:type="dxa"/>
              <w:start w:w="150" w:type="dxa"/>
              <w:bottom w:w="140" w:type="dxa"/>
              <w:end w:w="150" w:type="dxa"/>
            </w:tcMar>
          </w:tcPr>
          <w:p>
            <w:pPr>
              <w:spacing w:after="0"/>
            </w:pPr>
            <w:r>
              <w:rPr>
                <w:b/>
                <w:color w:val="9D7740"/>
                <w:sz w:val="17"/>
              </w:rPr>
              <w:t>06</w:t>
              <w:br/>
            </w:r>
            <w:r>
              <w:rPr>
                <w:b/>
                <w:color w:val="1B2B3A"/>
                <w:sz w:val="23"/>
              </w:rPr>
              <w:t>Development Partnerships</w:t>
            </w:r>
          </w:p>
        </w:tc>
      </w:tr>
    </w:tbl>
    <w:p>
      <w:pPr>
        <w:pStyle w:val="Heading2"/>
      </w:pPr>
      <w:r>
        <w:t>Possible descriptor lines</w:t>
      </w:r>
    </w:p>
    <w:p>
      <w:pPr>
        <w:pStyle w:val="ListBullet"/>
        <w:spacing w:after="60"/>
      </w:pPr>
      <w:r>
        <w:t>Property Developer &amp; Real Estate Professional</w:t>
      </w:r>
    </w:p>
    <w:p>
      <w:pPr>
        <w:pStyle w:val="ListBullet"/>
        <w:spacing w:after="60"/>
      </w:pPr>
      <w:r>
        <w:t>Residential Property Developer | Development Advisory | Real Estate</w:t>
      </w:r>
    </w:p>
    <w:p>
      <w:pPr>
        <w:pStyle w:val="ListBullet"/>
        <w:spacing w:after="60"/>
      </w:pPr>
      <w:r>
        <w:t>Queensland Property Developer &amp; Development Advisor</w:t>
      </w:r>
    </w:p>
    <w:p>
      <w:pPr>
        <w:pStyle w:val="ListBullet"/>
        <w:spacing w:after="60"/>
      </w:pPr>
      <w:r>
        <w:t>Property Development | Real Estate | Project Strategy</w:t>
      </w:r>
    </w:p>
    <w:p>
      <w:pPr>
        <w:pStyle w:val="Heading1"/>
      </w:pPr>
      <w:r>
        <w:t>6. Suggested Profile Summary</w:t>
      </w:r>
    </w:p>
    <w:tbl>
      <w:tblPr>
        <w:tblW w:type="auto" w:w="0"/>
        <w:jc w:val="center"/>
        <w:tblLook w:firstColumn="1" w:firstRow="1" w:lastColumn="0" w:lastRow="0" w:noHBand="0" w:noVBand="1" w:val="04A0"/>
      </w:tblPr>
      <w:tblGrid>
        <w:gridCol w:w="9994"/>
      </w:tblGrid>
      <w:tr>
        <w:tc>
          <w:tcPr>
            <w:tcW w:type="dxa" w:w="9994"/>
            <w:shd w:fill="F3F4F2"/>
            <w:tcMar>
              <w:top w:w="150" w:type="dxa"/>
              <w:start w:w="170" w:type="dxa"/>
              <w:bottom w:w="150" w:type="dxa"/>
              <w:end w:w="170" w:type="dxa"/>
            </w:tcMar>
          </w:tcPr>
          <w:p>
            <w:pPr>
              <w:spacing w:after="80"/>
            </w:pPr>
            <w:r>
              <w:rPr>
                <w:b/>
                <w:color w:val="1B2B3A"/>
                <w:sz w:val="23"/>
              </w:rPr>
              <w:t>Draft profile copy</w:t>
            </w:r>
          </w:p>
          <w:p>
            <w:pPr>
              <w:spacing w:after="0"/>
            </w:pPr>
            <w:r>
              <w:rPr>
                <w:color w:val="2E3236"/>
                <w:sz w:val="21"/>
              </w:rPr>
              <w:t>Graham Furtado is a Queensland property developer and experienced real-estate professional with around three decades of industry experience. Through Furtado Property, he combines deep market knowledge with residential development experience, guiding projects from site opportunity and early development strategy through design, consultant coordination, construction and market delivery.</w:t>
              <w:br/>
              <w:br/>
              <w:t>His current development story includes MIRA Living, a boutique 25-residence oceanfront project in Bargara, and Furtado Property’s recently lodged 113-apartment residential proposal in West End, Brisbane. His public development approach places strong emphasis on location, enduring design, quality delivery and the experience of the people who will ultimately live in each project.</w:t>
            </w:r>
          </w:p>
        </w:tc>
      </w:tr>
    </w:tbl>
    <w:p>
      <w:r>
        <w:rPr>
          <w:b/>
          <w:color w:val="9D7740"/>
        </w:rPr>
        <w:t xml:space="preserve">Note: </w:t>
      </w:r>
      <w:r>
        <w:t>This summary is suitable as a working draft. Graham should approve exact titles, years of experience, service offerings and any legal/licensing language before publication.</w:t>
      </w:r>
    </w:p>
    <w:p>
      <w:pPr>
        <w:pStyle w:val="Heading1"/>
      </w:pPr>
      <w:r>
        <w:t>7. Information to Confirm Directly with Graham</w:t>
      </w:r>
    </w:p>
    <w:p>
      <w:pPr>
        <w:pStyle w:val="ListBullet"/>
        <w:spacing w:after="60"/>
      </w:pPr>
      <w:r>
        <w:t>Preferred current professional title: Developer, Property Developer, Development Advisor, Real Estate Professional, or a combination.</w:t>
      </w:r>
    </w:p>
    <w:p>
      <w:pPr>
        <w:pStyle w:val="ListBullet"/>
        <w:spacing w:after="60"/>
      </w:pPr>
      <w:r>
        <w:t>Whether he wants to personally accept advisory/consulting engagements or only showcase his development work.</w:t>
      </w:r>
    </w:p>
    <w:p>
      <w:pPr>
        <w:pStyle w:val="ListBullet"/>
        <w:spacing w:after="60"/>
      </w:pPr>
      <w:r>
        <w:t>Exact real-estate licensing status and whether buyer/seller representation should be actively offered.</w:t>
      </w:r>
    </w:p>
    <w:p>
      <w:pPr>
        <w:pStyle w:val="ListBullet"/>
        <w:spacing w:after="60"/>
      </w:pPr>
      <w:r>
        <w:t>Whether joint ventures, development partnerships or landowner partnerships are services he wants to advertise.</w:t>
      </w:r>
    </w:p>
    <w:p>
      <w:pPr>
        <w:pStyle w:val="ListBullet"/>
        <w:spacing w:after="60"/>
      </w:pPr>
      <w:r>
        <w:t>Any completed or past developments beyond MIRA Living that should be included in the portfolio.</w:t>
      </w:r>
    </w:p>
    <w:p>
      <w:pPr>
        <w:pStyle w:val="ListBullet"/>
        <w:spacing w:after="60"/>
      </w:pPr>
      <w:r>
        <w:t>Exact founding story and preferred founding year wording for Furtado Property.</w:t>
      </w:r>
    </w:p>
    <w:p>
      <w:pPr>
        <w:pStyle w:val="ListBullet"/>
        <w:spacing w:after="60"/>
      </w:pPr>
      <w:r>
        <w:t>Preferred geographic focus: Brisbane, South-East Queensland, wider Queensland, or Australia.</w:t>
      </w:r>
    </w:p>
    <w:p>
      <w:pPr>
        <w:pStyle w:val="ListBullet"/>
        <w:spacing w:after="60"/>
      </w:pPr>
      <w:r>
        <w:t>Any investment, acquisition, feasibility or development-management services that he formally provides to third parties.</w:t>
      </w:r>
    </w:p>
    <w:p>
      <w:pPr>
        <w:pStyle w:val="ListBullet"/>
        <w:spacing w:after="60"/>
      </w:pPr>
      <w:r>
        <w:t>Awards, memberships, qualifications, associations or media coverage he wants included.</w:t>
      </w:r>
    </w:p>
    <w:p>
      <w:pPr>
        <w:pStyle w:val="ListBullet"/>
        <w:spacing w:after="60"/>
      </w:pPr>
      <w:r>
        <w:t>Approved portrait, project imagery, project renders and contact details for public use.</w:t>
      </w:r>
    </w:p>
    <w:p>
      <w:pPr>
        <w:pStyle w:val="Heading1"/>
      </w:pPr>
      <w:r>
        <w:t>8. Public Sources Used</w:t>
      </w:r>
    </w:p>
    <w:p>
      <w:r>
        <w:t>These links are included so the underlying public information can be checked when preparing final website content.</w:t>
      </w:r>
    </w:p>
    <w:p>
      <w:pPr>
        <w:spacing w:after="80"/>
      </w:pPr>
      <w:r>
        <w:rPr>
          <w:b/>
          <w:color w:val="1B2B3A"/>
          <w:sz w:val="19"/>
        </w:rPr>
        <w:t>Furtado Property — official website</w:t>
        <w:br/>
      </w:r>
      <w:r>
        <w:rPr>
          <w:color w:val="9D7740"/>
          <w:sz w:val="18"/>
        </w:rPr>
        <w:t>https://www.furtadoproperty.com.au/</w:t>
      </w:r>
    </w:p>
    <w:p>
      <w:pPr>
        <w:spacing w:after="80"/>
      </w:pPr>
      <w:r>
        <w:rPr>
          <w:b/>
          <w:color w:val="1B2B3A"/>
          <w:sz w:val="19"/>
        </w:rPr>
        <w:t>MIRA Living — official development website</w:t>
        <w:br/>
      </w:r>
      <w:r>
        <w:rPr>
          <w:color w:val="9D7740"/>
          <w:sz w:val="18"/>
        </w:rPr>
        <w:t>https://miraliving.com.au/</w:t>
      </w:r>
    </w:p>
    <w:p>
      <w:pPr>
        <w:spacing w:after="80"/>
      </w:pPr>
      <w:r>
        <w:rPr>
          <w:b/>
          <w:color w:val="1B2B3A"/>
          <w:sz w:val="19"/>
        </w:rPr>
        <w:t>Apartments.com.au — Furtado Property files West End apartment plans</w:t>
        <w:br/>
      </w:r>
      <w:r>
        <w:rPr>
          <w:color w:val="9D7740"/>
          <w:sz w:val="18"/>
        </w:rPr>
        <w:t>https://www.apartments.com.au/news/qld/first-look-furtado-property-files-west-end-apartment-plans</w:t>
      </w:r>
    </w:p>
    <w:p>
      <w:pPr>
        <w:spacing w:after="80"/>
      </w:pPr>
      <w:r>
        <w:rPr>
          <w:b/>
          <w:color w:val="1B2B3A"/>
          <w:sz w:val="19"/>
        </w:rPr>
        <w:t>Brisbane Development — Wolfe Street / West End proposal</w:t>
        <w:br/>
      </w:r>
      <w:r>
        <w:rPr>
          <w:color w:val="9D7740"/>
          <w:sz w:val="18"/>
        </w:rPr>
        <w:t>https://brisbanedevelopment.com.au/furtado-property-13-storey-mas-architecture-113-apartments-wolfe-street-west-end/</w:t>
      </w:r>
    </w:p>
    <w:p>
      <w:pPr>
        <w:spacing w:after="80"/>
      </w:pPr>
      <w:r>
        <w:rPr>
          <w:b/>
          <w:color w:val="1B2B3A"/>
          <w:sz w:val="19"/>
        </w:rPr>
        <w:t>The Urban Developer — Furtado West End residential scheme</w:t>
        <w:br/>
      </w:r>
      <w:r>
        <w:rPr>
          <w:color w:val="9D7740"/>
          <w:sz w:val="18"/>
        </w:rPr>
        <w:t>https://www.theurbandeveloper.com/articles/furtado-13-storey-residential-scheme-for-west-end-brisbane</w:t>
      </w:r>
    </w:p>
    <w:p>
      <w:pPr>
        <w:spacing w:after="80"/>
      </w:pPr>
      <w:r>
        <w:rPr>
          <w:b/>
          <w:color w:val="1B2B3A"/>
          <w:sz w:val="19"/>
        </w:rPr>
        <w:t>Furtado Property — LinkedIn company profile</w:t>
        <w:br/>
      </w:r>
      <w:r>
        <w:rPr>
          <w:color w:val="9D7740"/>
          <w:sz w:val="18"/>
        </w:rPr>
        <w:t>https://au.linkedin.com/company/furtado-property</w:t>
      </w:r>
    </w:p>
    <w:p>
      <w:pPr>
        <w:spacing w:after="80"/>
      </w:pPr>
      <w:r>
        <w:rPr>
          <w:b/>
          <w:color w:val="1B2B3A"/>
          <w:sz w:val="19"/>
        </w:rPr>
        <w:t>Apartments.com.au — Furtado Property developer profile</w:t>
        <w:br/>
      </w:r>
      <w:r>
        <w:rPr>
          <w:color w:val="9D7740"/>
          <w:sz w:val="18"/>
        </w:rPr>
        <w:t>https://www.apartments.com.au/developers/furtado-property</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B71"/>
        <w:sz w:val="15"/>
      </w:rPr>
      <w:t>Public-source research summary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B71"/>
        <w:sz w:val="15"/>
      </w:rPr>
      <w:t>GRAHAM FURTADO  |  PROPERTY &amp; DEVELOPMENT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E32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B2B3A"/>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9D774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B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B2B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olor w:val="9D77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