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60" w:before="0"/>
        <w:jc w:val="center"/>
      </w:pPr>
      <w:r>
        <w:rPr>
          <w:rFonts w:ascii="Arial" w:cs="Arial" w:eastAsia="Arial" w:hAnsi="Arial"/>
          <w:b/>
          <w:bCs/>
          <w:color w:val="2A72CC"/>
          <w:sz w:val="52"/>
          <w:szCs w:val="52"/>
        </w:rPr>
        <w:t xml:space="preserve">AI IN MY FIELD</w:t>
      </w:r>
    </w:p>
    <w:p>
      <w:pPr>
        <w:spacing w:after="60" w:before="0"/>
        <w:jc w:val="center"/>
      </w:pPr>
      <w:r>
        <w:rPr>
          <w:rFonts w:ascii="Arial" w:cs="Arial" w:eastAsia="Arial" w:hAnsi="Arial"/>
          <w:color w:val="4A5580"/>
          <w:sz w:val="24"/>
          <w:szCs w:val="24"/>
        </w:rPr>
        <w:t xml:space="preserve">AI Innovation Center  •  Hillsborough Community College</w:t>
      </w:r>
    </w:p>
    <w:p>
      <w:pPr>
        <w:spacing w:after="60" w:before="0"/>
        <w:jc w:val="center"/>
      </w:pPr>
      <w:r>
        <w:rPr>
          <w:rFonts w:ascii="Arial" w:cs="Arial" w:eastAsia="Arial" w:hAnsi="Arial"/>
          <w:i/>
          <w:iCs/>
          <w:color w:val="4A5580"/>
          <w:sz w:val="22"/>
          <w:szCs w:val="22"/>
        </w:rPr>
        <w:t xml:space="preserve">Technical Documentation &amp; Project Overview</w:t>
      </w:r>
    </w:p>
    <w:p>
      <w:pPr>
        <w:spacing w:after="60" w:before="0"/>
        <w:jc w:val="center"/>
      </w:pPr>
      <w:r>
        <w:rPr>
          <w:rFonts w:ascii="Arial" w:cs="Arial" w:eastAsia="Arial" w:hAnsi="Arial"/>
          <w:color w:val="4A5580"/>
          <w:sz w:val="20"/>
          <w:szCs w:val="20"/>
        </w:rPr>
        <w:t xml:space="preserve">Version 7.0  •  March 2026</w:t>
      </w:r>
    </w:p>
    <w:p>
      <w:pPr>
        <w:spacing w:after="60" w:before="0"/>
        <w:jc w:val="center"/>
      </w:pPr>
      <w:r>
        <w:rPr>
          <w:rFonts w:ascii="Arial" w:cs="Arial" w:eastAsia="Arial" w:hAnsi="Arial"/>
          <w:b/>
          <w:bCs/>
          <w:color w:val="1A1F36"/>
          <w:sz w:val="20"/>
          <w:szCs w:val="20"/>
        </w:rPr>
        <w:t xml:space="preserve">Created by Deshjuana Bagley, Associate Dean</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A72CC"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FIPSE GRANT</w:t>
            </w:r>
          </w:p>
        </w:tc>
        <w:tc>
          <w:tcPr>
            <w:tcW w:type="dxa" w:w="8160"/>
            <w:tcBorders>
              <w:top w:val="none" w:color="FFFFFF" w:sz="0"/>
              <w:left w:val="single" w:color="2A72CC" w:sz="4"/>
              <w:bottom w:val="none" w:color="FFFFFF" w:sz="0"/>
              <w:right w:val="none" w:color="FFFFFF" w:sz="0"/>
            </w:tcBorders>
            <w:shd w:fill="EBF3FF" w:val="clear"/>
            <w:tcMar>
              <w:top w:type="dxa" w:w="100"/>
              <w:left w:type="dxa" w:w="180"/>
              <w:bottom w:type="dxa" w:w="100"/>
              <w:right w:type="dxa" w:w="160"/>
            </w:tcMar>
          </w:tcPr>
          <w:p>
            <w:r>
              <w:rPr>
                <w:rFonts w:ascii="Arial" w:cs="Arial" w:eastAsia="Arial" w:hAnsi="Arial"/>
                <w:color w:val="1A1F36"/>
                <w:sz w:val="20"/>
                <w:szCs w:val="20"/>
              </w:rPr>
              <w:t xml:space="preserve">This project is supported by a $1.293M, four-year FIPSE (Fund for the Improvement of Postsecondary Education) grant awarded to Hillsborough Community College to establish the AI Innovation Center at the Dale Mabry campus under the AI PREP4WORK initiative.</w:t>
            </w:r>
          </w:p>
        </w:tc>
      </w:tr>
    </w:tbl>
    <w:p>
      <w:pPr>
        <w:spacing w:after="320" w:before="0"/>
      </w:pPr>
      <w:r>
        <w:t xml:space="preserve"/>
      </w:r>
    </w:p>
    <w:p>
      <w:pPr>
        <w:pStyle w:val="Heading1"/>
        <w:pBdr>
          <w:bottom w:val="single" w:color="2A72CC" w:sz="6" w:space="4"/>
        </w:pBdr>
        <w:spacing w:after="120" w:before="360"/>
      </w:pPr>
      <w:r>
        <w:rPr>
          <w:rFonts w:ascii="Arial" w:cs="Arial" w:eastAsia="Arial" w:hAnsi="Arial"/>
          <w:b/>
          <w:bCs/>
          <w:color w:val="1A1F36"/>
          <w:sz w:val="32"/>
          <w:szCs w:val="32"/>
        </w:rPr>
        <w:t xml:space="preserve">1.  Project Overview</w:t>
      </w:r>
    </w:p>
    <w:p>
      <w:pPr>
        <w:spacing w:after="80" w:before="60"/>
      </w:pPr>
      <w:r>
        <w:rPr>
          <w:rFonts w:ascii="Arial" w:cs="Arial" w:eastAsia="Arial" w:hAnsi="Arial"/>
          <w:b w:val="false"/>
          <w:bCs w:val="false"/>
          <w:i w:val="false"/>
          <w:iCs w:val="false"/>
          <w:color w:val="1A1F36"/>
          <w:sz w:val="22"/>
          <w:szCs w:val="22"/>
        </w:rPr>
        <w:t xml:space="preserve">AI in My Field is an interactive, AI-powered student simulation platform developed as a core deliverable of the AI PREP4WORK initiative. The platform is designed to prepare community college students for AI-integrated workplaces by providing immersive, major-specific learning experiences through conversational AI, live avatar guidance, and intelligent document analysis.</w:t>
      </w:r>
    </w:p>
    <w:p>
      <w:pPr>
        <w:spacing w:after="80" w:before="0"/>
      </w:pPr>
      <w:r>
        <w:t xml:space="preserve"/>
      </w:r>
    </w:p>
    <w:p>
      <w:pPr>
        <w:spacing w:after="80" w:before="60"/>
      </w:pPr>
      <w:r>
        <w:rPr>
          <w:rFonts w:ascii="Arial" w:cs="Arial" w:eastAsia="Arial" w:hAnsi="Arial"/>
          <w:b w:val="false"/>
          <w:bCs w:val="false"/>
          <w:i w:val="false"/>
          <w:iCs w:val="false"/>
          <w:color w:val="1A1F36"/>
          <w:sz w:val="22"/>
          <w:szCs w:val="22"/>
        </w:rPr>
        <w:t xml:space="preserve">The application runs entirely in a web browser and is hosted at:</w:t>
      </w:r>
    </w:p>
    <w:p>
      <w:pPr>
        <w:spacing w:after="80" w:before="60"/>
      </w:pPr>
      <w:r>
        <w:rPr>
          <w:rFonts w:ascii="Courier New" w:cs="Courier New" w:eastAsia="Courier New" w:hAnsi="Courier New"/>
          <w:b/>
          <w:bCs/>
          <w:color w:val="2A72CC"/>
          <w:sz w:val="20"/>
          <w:szCs w:val="20"/>
        </w:rPr>
        <w:t xml:space="preserve">    techplayzone.github.io/TPZ-AI-Field-Guide</w:t>
      </w:r>
    </w:p>
    <w:p>
      <w:pPr>
        <w:spacing w:after="80" w:before="0"/>
      </w:pPr>
      <w:r>
        <w:t xml:space="preserve"/>
      </w:r>
    </w:p>
    <w:p>
      <w:pPr>
        <w:pStyle w:val="Heading2"/>
        <w:spacing w:after="80" w:before="280"/>
      </w:pPr>
      <w:r>
        <w:rPr>
          <w:rFonts w:ascii="Arial" w:cs="Arial" w:eastAsia="Arial" w:hAnsi="Arial"/>
          <w:b/>
          <w:bCs/>
          <w:color w:val="2A72CC"/>
          <w:sz w:val="26"/>
          <w:szCs w:val="26"/>
        </w:rPr>
        <w:t xml:space="preserve">1.1  Mission Alignment</w:t>
      </w:r>
    </w:p>
    <w:p>
      <w:pPr>
        <w:spacing w:after="80" w:before="60"/>
      </w:pPr>
      <w:r>
        <w:rPr>
          <w:rFonts w:ascii="Arial" w:cs="Arial" w:eastAsia="Arial" w:hAnsi="Arial"/>
          <w:b w:val="false"/>
          <w:bCs w:val="false"/>
          <w:i w:val="false"/>
          <w:iCs w:val="false"/>
          <w:color w:val="1A1F36"/>
          <w:sz w:val="22"/>
          <w:szCs w:val="22"/>
        </w:rPr>
        <w:t xml:space="preserve">AI in My Field directly addresses documented workforce readiness gaps by:</w:t>
      </w:r>
    </w:p>
    <w:p>
      <w:pPr>
        <w:pStyle w:val="ListParagraph"/>
        <w:numPr>
          <w:ilvl w:val="0"/>
          <w:numId w:val="2"/>
        </w:numPr>
        <w:spacing w:after="40" w:before="40"/>
      </w:pPr>
      <w:r>
        <w:rPr>
          <w:rFonts w:ascii="Arial" w:cs="Arial" w:eastAsia="Arial" w:hAnsi="Arial"/>
          <w:color w:val="1A1F36"/>
          <w:sz w:val="22"/>
          <w:szCs w:val="22"/>
        </w:rPr>
        <w:t xml:space="preserve">Exposing students to real-world AI tools used in their chosen field of study</w:t>
      </w:r>
    </w:p>
    <w:p>
      <w:pPr>
        <w:pStyle w:val="ListParagraph"/>
        <w:numPr>
          <w:ilvl w:val="0"/>
          <w:numId w:val="2"/>
        </w:numPr>
        <w:spacing w:after="40" w:before="40"/>
      </w:pPr>
      <w:r>
        <w:rPr>
          <w:rFonts w:ascii="Arial" w:cs="Arial" w:eastAsia="Arial" w:hAnsi="Arial"/>
          <w:color w:val="1A1F36"/>
          <w:sz w:val="22"/>
          <w:szCs w:val="22"/>
        </w:rPr>
        <w:t xml:space="preserve">Simulating authentic workplace AI interactions within a safe, guided environment</w:t>
      </w:r>
    </w:p>
    <w:p>
      <w:pPr>
        <w:pStyle w:val="ListParagraph"/>
        <w:numPr>
          <w:ilvl w:val="0"/>
          <w:numId w:val="2"/>
        </w:numPr>
        <w:spacing w:after="40" w:before="40"/>
      </w:pPr>
      <w:r>
        <w:rPr>
          <w:rFonts w:ascii="Arial" w:cs="Arial" w:eastAsia="Arial" w:hAnsi="Arial"/>
          <w:color w:val="1A1F36"/>
          <w:sz w:val="22"/>
          <w:szCs w:val="22"/>
        </w:rPr>
        <w:t xml:space="preserve">Providing personalized, major-specific context through an intelligent AI guide named Wayne</w:t>
      </w:r>
    </w:p>
    <w:p>
      <w:pPr>
        <w:pStyle w:val="ListParagraph"/>
        <w:numPr>
          <w:ilvl w:val="0"/>
          <w:numId w:val="2"/>
        </w:numPr>
        <w:spacing w:after="40" w:before="40"/>
      </w:pPr>
      <w:r>
        <w:rPr>
          <w:rFonts w:ascii="Arial" w:cs="Arial" w:eastAsia="Arial" w:hAnsi="Arial"/>
          <w:color w:val="1A1F36"/>
          <w:sz w:val="22"/>
          <w:szCs w:val="22"/>
        </w:rPr>
        <w:t xml:space="preserve">Supporting faculty in demonstrating AI literacy concepts without requiring deep technical expertise</w:t>
      </w:r>
    </w:p>
    <w:p>
      <w:pPr>
        <w:spacing w:after="80" w:before="0"/>
      </w:pPr>
      <w:r>
        <w:t xml:space="preserve"/>
      </w:r>
    </w:p>
    <w:p>
      <w:pPr>
        <w:pStyle w:val="Heading2"/>
        <w:spacing w:after="80" w:before="280"/>
      </w:pPr>
      <w:r>
        <w:rPr>
          <w:rFonts w:ascii="Arial" w:cs="Arial" w:eastAsia="Arial" w:hAnsi="Arial"/>
          <w:b/>
          <w:bCs/>
          <w:color w:val="2A72CC"/>
          <w:sz w:val="26"/>
          <w:szCs w:val="26"/>
        </w:rPr>
        <w:t xml:space="preserve">1.2  Target Users</w:t>
      </w:r>
    </w:p>
    <w:p>
      <w:pPr>
        <w:pStyle w:val="ListParagraph"/>
        <w:numPr>
          <w:ilvl w:val="0"/>
          <w:numId w:val="2"/>
        </w:numPr>
        <w:spacing w:after="40" w:before="40"/>
      </w:pPr>
      <w:r>
        <w:rPr>
          <w:rFonts w:ascii="Arial" w:cs="Arial" w:eastAsia="Arial" w:hAnsi="Arial"/>
          <w:color w:val="1A1F36"/>
          <w:sz w:val="22"/>
          <w:szCs w:val="22"/>
        </w:rPr>
        <w:t xml:space="preserve">Students enrolled in HCC programs across eight supported majors</w:t>
      </w:r>
    </w:p>
    <w:p>
      <w:pPr>
        <w:pStyle w:val="ListParagraph"/>
        <w:numPr>
          <w:ilvl w:val="0"/>
          <w:numId w:val="2"/>
        </w:numPr>
        <w:spacing w:after="40" w:before="40"/>
      </w:pPr>
      <w:r>
        <w:rPr>
          <w:rFonts w:ascii="Arial" w:cs="Arial" w:eastAsia="Arial" w:hAnsi="Arial"/>
          <w:color w:val="1A1F36"/>
          <w:sz w:val="22"/>
          <w:szCs w:val="22"/>
        </w:rPr>
        <w:t xml:space="preserve">Faculty and instructors incorporating AI literacy into coursework</w:t>
      </w:r>
    </w:p>
    <w:p>
      <w:pPr>
        <w:pStyle w:val="ListParagraph"/>
        <w:numPr>
          <w:ilvl w:val="0"/>
          <w:numId w:val="2"/>
        </w:numPr>
        <w:spacing w:after="40" w:before="40"/>
      </w:pPr>
      <w:r>
        <w:rPr>
          <w:rFonts w:ascii="Arial" w:cs="Arial" w:eastAsia="Arial" w:hAnsi="Arial"/>
          <w:color w:val="1A1F36"/>
          <w:sz w:val="22"/>
          <w:szCs w:val="22"/>
        </w:rPr>
        <w:t xml:space="preserve">Administrators and grant reviewers evaluating AI workforce readiness initiatives</w:t>
      </w:r>
    </w:p>
    <w:p>
      <w:pPr>
        <w:spacing w:after="200" w:before="0"/>
      </w:pPr>
      <w:r>
        <w:t xml:space="preserve"/>
      </w:r>
    </w:p>
    <w:p>
      <w:pPr>
        <w:pStyle w:val="Heading1"/>
        <w:pBdr>
          <w:bottom w:val="single" w:color="2A72CC" w:sz="6" w:space="4"/>
        </w:pBdr>
        <w:spacing w:after="120" w:before="360"/>
      </w:pPr>
      <w:r>
        <w:rPr>
          <w:rFonts w:ascii="Arial" w:cs="Arial" w:eastAsia="Arial" w:hAnsi="Arial"/>
          <w:b/>
          <w:bCs/>
          <w:color w:val="1A1F36"/>
          <w:sz w:val="32"/>
          <w:szCs w:val="32"/>
        </w:rPr>
        <w:t xml:space="preserve">2.  Feature Walkthrough</w:t>
      </w:r>
    </w:p>
    <w:p>
      <w:pPr>
        <w:pStyle w:val="Heading2"/>
        <w:spacing w:after="80" w:before="280"/>
      </w:pPr>
      <w:r>
        <w:rPr>
          <w:rFonts w:ascii="Arial" w:cs="Arial" w:eastAsia="Arial" w:hAnsi="Arial"/>
          <w:b/>
          <w:bCs/>
          <w:color w:val="2A72CC"/>
          <w:sz w:val="26"/>
          <w:szCs w:val="26"/>
        </w:rPr>
        <w:t xml:space="preserve">2.1  Major Selection &amp; Personalization</w:t>
      </w:r>
    </w:p>
    <w:p>
      <w:pPr>
        <w:spacing w:after="80" w:before="60"/>
      </w:pPr>
      <w:r>
        <w:rPr>
          <w:rFonts w:ascii="Arial" w:cs="Arial" w:eastAsia="Arial" w:hAnsi="Arial"/>
          <w:b w:val="false"/>
          <w:bCs w:val="false"/>
          <w:i w:val="false"/>
          <w:iCs w:val="false"/>
          <w:color w:val="1A1F36"/>
          <w:sz w:val="22"/>
          <w:szCs w:val="22"/>
        </w:rPr>
        <w:t xml:space="preserve">Upon launching the application, students select their academic major from a dropdown menu. The platform currently supports eight major pathways: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E" w:sz="1"/>
              <w:left w:val="single" w:color="D0D8EE" w:sz="1"/>
              <w:bottom w:val="single" w:color="D0D8EE" w:sz="1"/>
              <w:right w:val="single" w:color="D0D8EE" w:sz="1"/>
            </w:tcBorders>
            <w:shd w:fill="EBF3FF" w:val="clear"/>
            <w:tcMar>
              <w:top w:type="dxa" w:w="80"/>
              <w:left w:type="dxa" w:w="160"/>
              <w:bottom w:type="dxa" w:w="80"/>
              <w:right w:type="dxa" w:w="160"/>
            </w:tcMar>
          </w:tcPr>
          <w:p>
            <w:r>
              <w:rPr>
                <w:rFonts w:ascii="Arial" w:cs="Arial" w:eastAsia="Arial" w:hAnsi="Arial"/>
                <w:color w:val="1A1F36"/>
                <w:sz w:val="20"/>
                <w:szCs w:val="20"/>
              </w:rPr>
              <w:t xml:space="preserve">General / Exploring</w:t>
            </w:r>
          </w:p>
        </w:tc>
        <w:tc>
          <w:tcPr>
            <w:tcW w:type="dxa" w:w="4680"/>
            <w:tcBorders>
              <w:top w:val="single" w:color="D0D8EE" w:sz="1"/>
              <w:left w:val="single" w:color="D0D8EE" w:sz="1"/>
              <w:bottom w:val="single" w:color="D0D8EE" w:sz="1"/>
              <w:right w:val="single" w:color="D0D8EE" w:sz="1"/>
            </w:tcBorders>
            <w:shd w:fill="EBF3FF" w:val="clear"/>
            <w:tcMar>
              <w:top w:type="dxa" w:w="80"/>
              <w:left w:type="dxa" w:w="160"/>
              <w:bottom w:type="dxa" w:w="80"/>
              <w:right w:type="dxa" w:w="160"/>
            </w:tcMar>
          </w:tcPr>
          <w:p>
            <w:r>
              <w:rPr>
                <w:rFonts w:ascii="Arial" w:cs="Arial" w:eastAsia="Arial" w:hAnsi="Arial"/>
                <w:color w:val="1A1F36"/>
                <w:sz w:val="20"/>
                <w:szCs w:val="20"/>
              </w:rPr>
              <w:t xml:space="preserve">Cloud Computing</w:t>
            </w:r>
          </w:p>
        </w:tc>
        <w:tc>
          <w:tcPr>
            <w:tcW w:type="dxa" w:w="4680"/>
            <w:tcBorders>
              <w:top w:val="single" w:color="D0D8EE" w:sz="1"/>
              <w:left w:val="single" w:color="D0D8EE" w:sz="1"/>
              <w:bottom w:val="single" w:color="D0D8EE" w:sz="1"/>
              <w:right w:val="single" w:color="D0D8EE" w:sz="1"/>
            </w:tcBorders>
            <w:shd w:fill="F5F6FA" w:val="clear"/>
            <w:tcMar>
              <w:top w:type="dxa" w:w="80"/>
              <w:left w:type="dxa" w:w="160"/>
              <w:bottom w:type="dxa" w:w="80"/>
              <w:right w:type="dxa" w:w="160"/>
            </w:tcMar>
          </w:tcPr>
          <w:p>
            <w:r>
              <w:rPr>
                <w:rFonts w:ascii="Arial" w:cs="Arial" w:eastAsia="Arial" w:hAnsi="Arial"/>
                <w:color w:val="1A1F36"/>
                <w:sz w:val="20"/>
                <w:szCs w:val="20"/>
              </w:rPr>
              <w:t xml:space="preserve">Construction Management</w:t>
            </w:r>
          </w:p>
        </w:tc>
        <w:tc>
          <w:tcPr>
            <w:tcW w:type="dxa" w:w="4680"/>
            <w:tcBorders>
              <w:top w:val="single" w:color="D0D8EE" w:sz="1"/>
              <w:left w:val="single" w:color="D0D8EE" w:sz="1"/>
              <w:bottom w:val="single" w:color="D0D8EE" w:sz="1"/>
              <w:right w:val="single" w:color="D0D8EE" w:sz="1"/>
            </w:tcBorders>
            <w:shd w:fill="F5F6FA" w:val="clear"/>
            <w:tcMar>
              <w:top w:type="dxa" w:w="80"/>
              <w:left w:type="dxa" w:w="160"/>
              <w:bottom w:type="dxa" w:w="80"/>
              <w:right w:type="dxa" w:w="160"/>
            </w:tcMar>
          </w:tcPr>
          <w:p>
            <w:r>
              <w:rPr>
                <w:rFonts w:ascii="Arial" w:cs="Arial" w:eastAsia="Arial" w:hAnsi="Arial"/>
                <w:color w:val="1A1F36"/>
                <w:sz w:val="20"/>
                <w:szCs w:val="20"/>
              </w:rPr>
              <w:t xml:space="preserve">Architecture</w:t>
            </w:r>
          </w:p>
        </w:tc>
      </w:tr>
      <w:tr>
        <w:tc>
          <w:tcPr>
            <w:tcW w:type="dxa" w:w="4680"/>
            <w:tcBorders>
              <w:top w:val="single" w:color="D0D8EE" w:sz="1"/>
              <w:left w:val="single" w:color="D0D8EE" w:sz="1"/>
              <w:bottom w:val="single" w:color="D0D8EE" w:sz="1"/>
              <w:right w:val="single" w:color="D0D8EE" w:sz="1"/>
            </w:tcBorders>
            <w:shd w:fill="F5F6FA" w:val="clear"/>
            <w:tcMar>
              <w:top w:type="dxa" w:w="80"/>
              <w:left w:type="dxa" w:w="160"/>
              <w:bottom w:type="dxa" w:w="80"/>
              <w:right w:type="dxa" w:w="160"/>
            </w:tcMar>
          </w:tcPr>
          <w:p>
            <w:r>
              <w:rPr>
                <w:rFonts w:ascii="Arial" w:cs="Arial" w:eastAsia="Arial" w:hAnsi="Arial"/>
                <w:color w:val="1A1F36"/>
                <w:sz w:val="20"/>
                <w:szCs w:val="20"/>
              </w:rPr>
              <w:t xml:space="preserve">Construction Management</w:t>
            </w:r>
          </w:p>
        </w:tc>
        <w:tc>
          <w:tcPr>
            <w:tcW w:type="dxa" w:w="4680"/>
            <w:tcBorders>
              <w:top w:val="single" w:color="D0D8EE" w:sz="1"/>
              <w:left w:val="single" w:color="D0D8EE" w:sz="1"/>
              <w:bottom w:val="single" w:color="D0D8EE" w:sz="1"/>
              <w:right w:val="single" w:color="D0D8EE" w:sz="1"/>
            </w:tcBorders>
            <w:shd w:fill="F5F6FA" w:val="clear"/>
            <w:tcMar>
              <w:top w:type="dxa" w:w="80"/>
              <w:left w:type="dxa" w:w="160"/>
              <w:bottom w:type="dxa" w:w="80"/>
              <w:right w:type="dxa" w:w="160"/>
            </w:tcMar>
          </w:tcPr>
          <w:p>
            <w:r>
              <w:rPr>
                <w:rFonts w:ascii="Arial" w:cs="Arial" w:eastAsia="Arial" w:hAnsi="Arial"/>
                <w:color w:val="1A1F36"/>
                <w:sz w:val="20"/>
                <w:szCs w:val="20"/>
              </w:rPr>
              <w:t xml:space="preserve">Architecture</w:t>
            </w:r>
          </w:p>
        </w:tc>
      </w:tr>
      <w:tr>
        <w:tc>
          <w:tcPr>
            <w:tcW w:type="dxa" w:w="4680"/>
            <w:tcBorders>
              <w:top w:val="single" w:color="D0D8EE" w:sz="1"/>
              <w:left w:val="single" w:color="D0D8EE" w:sz="1"/>
              <w:bottom w:val="single" w:color="D0D8EE" w:sz="1"/>
              <w:right w:val="single" w:color="D0D8EE" w:sz="1"/>
            </w:tcBorders>
            <w:shd w:fill="EBF3FF" w:val="clear"/>
            <w:tcMar>
              <w:top w:type="dxa" w:w="80"/>
              <w:left w:type="dxa" w:w="160"/>
              <w:bottom w:type="dxa" w:w="80"/>
              <w:right w:type="dxa" w:w="160"/>
            </w:tcMar>
          </w:tcPr>
          <w:p>
            <w:r>
              <w:rPr>
                <w:rFonts w:ascii="Arial" w:cs="Arial" w:eastAsia="Arial" w:hAnsi="Arial"/>
                <w:color w:val="1A1F36"/>
                <w:sz w:val="20"/>
                <w:szCs w:val="20"/>
              </w:rPr>
              <w:t xml:space="preserve">Electronics Engineering Technology</w:t>
            </w:r>
          </w:p>
        </w:tc>
        <w:tc>
          <w:tcPr>
            <w:tcW w:type="dxa" w:w="4680"/>
            <w:tcBorders>
              <w:top w:val="single" w:color="D0D8EE" w:sz="1"/>
              <w:left w:val="single" w:color="D0D8EE" w:sz="1"/>
              <w:bottom w:val="single" w:color="D0D8EE" w:sz="1"/>
              <w:right w:val="single" w:color="D0D8EE" w:sz="1"/>
            </w:tcBorders>
            <w:shd w:fill="EBF3FF" w:val="clear"/>
            <w:tcMar>
              <w:top w:type="dxa" w:w="80"/>
              <w:left w:type="dxa" w:w="160"/>
              <w:bottom w:type="dxa" w:w="80"/>
              <w:right w:type="dxa" w:w="160"/>
            </w:tcMar>
          </w:tcPr>
          <w:p>
            <w:r>
              <w:rPr>
                <w:rFonts w:ascii="Arial" w:cs="Arial" w:eastAsia="Arial" w:hAnsi="Arial"/>
                <w:color w:val="1A1F36"/>
                <w:sz w:val="20"/>
                <w:szCs w:val="20"/>
              </w:rPr>
              <w:t xml:space="preserve">Accounting</w:t>
            </w:r>
          </w:p>
        </w:tc>
      </w:tr>
      <w:tr>
        <w:tc>
          <w:tcPr>
            <w:tcW w:type="dxa" w:w="4680"/>
            <w:tcBorders>
              <w:top w:val="single" w:color="D0D8EE" w:sz="1"/>
              <w:left w:val="single" w:color="D0D8EE" w:sz="1"/>
              <w:bottom w:val="single" w:color="D0D8EE" w:sz="1"/>
              <w:right w:val="single" w:color="D0D8EE" w:sz="1"/>
            </w:tcBorders>
            <w:shd w:fill="F5F6FA" w:val="clear"/>
            <w:tcMar>
              <w:top w:type="dxa" w:w="80"/>
              <w:left w:type="dxa" w:w="160"/>
              <w:bottom w:type="dxa" w:w="80"/>
              <w:right w:type="dxa" w:w="160"/>
            </w:tcMar>
          </w:tcPr>
          <w:p>
            <w:r>
              <w:rPr>
                <w:rFonts w:ascii="Arial" w:cs="Arial" w:eastAsia="Arial" w:hAnsi="Arial"/>
                <w:color w:val="1A1F36"/>
                <w:sz w:val="20"/>
                <w:szCs w:val="20"/>
              </w:rPr>
              <w:t xml:space="preserve">Business &amp; Entrepreneurship</w:t>
            </w:r>
          </w:p>
        </w:tc>
        <w:tc>
          <w:tcPr>
            <w:tcW w:type="dxa" w:w="4680"/>
            <w:tcBorders>
              <w:top w:val="single" w:color="D0D8EE" w:sz="1"/>
              <w:left w:val="single" w:color="D0D8EE" w:sz="1"/>
              <w:bottom w:val="single" w:color="D0D8EE" w:sz="1"/>
              <w:right w:val="single" w:color="D0D8EE" w:sz="1"/>
            </w:tcBorders>
            <w:shd w:fill="F5F6FA" w:val="clear"/>
            <w:tcMar>
              <w:top w:type="dxa" w:w="80"/>
              <w:left w:type="dxa" w:w="160"/>
              <w:bottom w:type="dxa" w:w="80"/>
              <w:right w:type="dxa" w:w="160"/>
            </w:tcMar>
          </w:tcPr>
          <w:p>
            <w:r>
              <w:rPr>
                <w:rFonts w:ascii="Arial" w:cs="Arial" w:eastAsia="Arial" w:hAnsi="Arial"/>
                <w:color w:val="1A1F36"/>
                <w:sz w:val="20"/>
                <w:szCs w:val="20"/>
              </w:rPr>
              <w:t xml:space="preserve">Cybersecurity</w:t>
            </w:r>
          </w:p>
        </w:tc>
      </w:tr>
    </w:tbl>
    <w:p>
      <w:pPr>
        <w:spacing w:after="80" w:before="0"/>
      </w:pPr>
      <w:r>
        <w:t xml:space="preserve"/>
      </w:r>
    </w:p>
    <w:p>
      <w:pPr>
        <w:spacing w:after="80" w:before="60"/>
      </w:pPr>
      <w:r>
        <w:rPr>
          <w:rFonts w:ascii="Arial" w:cs="Arial" w:eastAsia="Arial" w:hAnsi="Arial"/>
          <w:b w:val="false"/>
          <w:bCs w:val="false"/>
          <w:i w:val="false"/>
          <w:iCs w:val="false"/>
          <w:color w:val="1A1F36"/>
          <w:sz w:val="22"/>
          <w:szCs w:val="22"/>
        </w:rPr>
        <w:t xml:space="preserve">Major selection dynamically updates the AI Tools icon grid in the left sidebar and populates the Ask Wayne suggested questions with field-relevant prompts.</w:t>
      </w:r>
    </w:p>
    <w:p>
      <w:pPr>
        <w:spacing w:after="80" w:before="0"/>
      </w:pPr>
      <w:r>
        <w:t xml:space="preserve"/>
      </w:r>
    </w:p>
    <w:p>
      <w:pPr>
        <w:pStyle w:val="Heading2"/>
        <w:spacing w:after="80" w:before="280"/>
      </w:pPr>
      <w:r>
        <w:rPr>
          <w:rFonts w:ascii="Arial" w:cs="Arial" w:eastAsia="Arial" w:hAnsi="Arial"/>
          <w:b/>
          <w:bCs/>
          <w:color w:val="2A72CC"/>
          <w:sz w:val="26"/>
          <w:szCs w:val="26"/>
        </w:rPr>
        <w:t xml:space="preserve">2.2  Wayne — AI Field Guide (Live Avatar)</w:t>
      </w:r>
    </w:p>
    <w:p>
      <w:pPr>
        <w:spacing w:after="80" w:before="60"/>
      </w:pPr>
      <w:r>
        <w:rPr>
          <w:rFonts w:ascii="Arial" w:cs="Arial" w:eastAsia="Arial" w:hAnsi="Arial"/>
          <w:b w:val="false"/>
          <w:bCs w:val="false"/>
          <w:i w:val="false"/>
          <w:iCs w:val="false"/>
          <w:color w:val="1A1F36"/>
          <w:sz w:val="22"/>
          <w:szCs w:val="22"/>
        </w:rPr>
        <w:t xml:space="preserve">Wayne is a live, lip-synced AI avatar powered by HeyGen and ElevenLabs. He serves as a conversational guide who answers student questions in real time using voice synthesis and retrieval-augmented generation (RAG) tied to major-specific knowledge bases.</w:t>
      </w:r>
    </w:p>
    <w:p>
      <w:pPr>
        <w:pStyle w:val="ListParagraph"/>
        <w:numPr>
          <w:ilvl w:val="0"/>
          <w:numId w:val="2"/>
        </w:numPr>
        <w:spacing w:after="40" w:before="40"/>
      </w:pPr>
      <w:r>
        <w:rPr>
          <w:rFonts w:ascii="Arial" w:cs="Arial" w:eastAsia="Arial" w:hAnsi="Arial"/>
          <w:color w:val="1A1F36"/>
          <w:sz w:val="22"/>
          <w:szCs w:val="22"/>
        </w:rPr>
        <w:t xml:space="preserve">Students can start and end sessions using the top navigation bar</w:t>
      </w:r>
    </w:p>
    <w:p>
      <w:pPr>
        <w:pStyle w:val="ListParagraph"/>
        <w:numPr>
          <w:ilvl w:val="0"/>
          <w:numId w:val="2"/>
        </w:numPr>
        <w:spacing w:after="40" w:before="40"/>
      </w:pPr>
      <w:r>
        <w:rPr>
          <w:rFonts w:ascii="Arial" w:cs="Arial" w:eastAsia="Arial" w:hAnsi="Arial"/>
          <w:color w:val="1A1F36"/>
          <w:sz w:val="22"/>
          <w:szCs w:val="22"/>
        </w:rPr>
        <w:t xml:space="preserve">A microphone toggle allows students to mute/unmute themselves during the session</w:t>
      </w:r>
    </w:p>
    <w:p>
      <w:pPr>
        <w:pStyle w:val="ListParagraph"/>
        <w:numPr>
          <w:ilvl w:val="0"/>
          <w:numId w:val="2"/>
        </w:numPr>
        <w:spacing w:after="40" w:before="40"/>
      </w:pPr>
      <w:r>
        <w:rPr>
          <w:rFonts w:ascii="Arial" w:cs="Arial" w:eastAsia="Arial" w:hAnsi="Arial"/>
          <w:color w:val="1A1F36"/>
          <w:sz w:val="22"/>
          <w:szCs w:val="22"/>
        </w:rPr>
        <w:t xml:space="preserve">All spoken exchanges are captured in a live scrollable transcript</w:t>
      </w:r>
    </w:p>
    <w:p>
      <w:pPr>
        <w:pStyle w:val="ListParagraph"/>
        <w:numPr>
          <w:ilvl w:val="0"/>
          <w:numId w:val="2"/>
        </w:numPr>
        <w:spacing w:after="40" w:before="40"/>
      </w:pPr>
      <w:r>
        <w:rPr>
          <w:rFonts w:ascii="Arial" w:cs="Arial" w:eastAsia="Arial" w:hAnsi="Arial"/>
          <w:color w:val="1A1F36"/>
          <w:sz w:val="22"/>
          <w:szCs w:val="22"/>
        </w:rPr>
        <w:t xml:space="preserve">Transcripts can be exported for student reflection or faculty review</w:t>
      </w:r>
    </w:p>
    <w:p>
      <w:pPr>
        <w:spacing w:after="80" w:before="0"/>
      </w:pPr>
      <w:r>
        <w:t xml:space="preserve"/>
      </w:r>
    </w:p>
    <w:p>
      <w:pPr>
        <w:pStyle w:val="Heading2"/>
        <w:spacing w:after="80" w:before="280"/>
      </w:pPr>
      <w:r>
        <w:rPr>
          <w:rFonts w:ascii="Arial" w:cs="Arial" w:eastAsia="Arial" w:hAnsi="Arial"/>
          <w:b/>
          <w:bCs/>
          <w:color w:val="2A72CC"/>
          <w:sz w:val="26"/>
          <w:szCs w:val="26"/>
        </w:rPr>
        <w:t xml:space="preserve">2.3  Ask Claude — AI Chat Panel</w:t>
      </w:r>
    </w:p>
    <w:p>
      <w:pPr>
        <w:spacing w:after="80" w:before="60"/>
      </w:pPr>
      <w:r>
        <w:rPr>
          <w:rFonts w:ascii="Arial" w:cs="Arial" w:eastAsia="Arial" w:hAnsi="Arial"/>
          <w:b w:val="false"/>
          <w:bCs w:val="false"/>
          <w:i w:val="false"/>
          <w:iCs w:val="false"/>
          <w:color w:val="1A1F36"/>
          <w:sz w:val="22"/>
          <w:szCs w:val="22"/>
        </w:rPr>
        <w:t xml:space="preserve">The center panel provides direct access to Claude (Anthropic), allowing students to engage in document analysis, career planning, and open-ended AI-assisted inquiry.</w:t>
      </w:r>
    </w:p>
    <w:p>
      <w:pPr>
        <w:pStyle w:val="ListParagraph"/>
        <w:numPr>
          <w:ilvl w:val="0"/>
          <w:numId w:val="2"/>
        </w:numPr>
        <w:spacing w:after="40" w:before="40"/>
      </w:pPr>
      <w:r>
        <w:rPr>
          <w:rFonts w:ascii="Arial" w:cs="Arial" w:eastAsia="Arial" w:hAnsi="Arial"/>
          <w:color w:val="1A1F36"/>
          <w:sz w:val="22"/>
          <w:szCs w:val="22"/>
        </w:rPr>
        <w:t xml:space="preserve">Supports file uploads including PDF, Word, Excel, PowerPoint, CSV, and image formats</w:t>
      </w:r>
    </w:p>
    <w:p>
      <w:pPr>
        <w:pStyle w:val="ListParagraph"/>
        <w:numPr>
          <w:ilvl w:val="0"/>
          <w:numId w:val="2"/>
        </w:numPr>
        <w:spacing w:after="40" w:before="40"/>
      </w:pPr>
      <w:r>
        <w:rPr>
          <w:rFonts w:ascii="Arial" w:cs="Arial" w:eastAsia="Arial" w:hAnsi="Arial"/>
          <w:color w:val="1A1F36"/>
          <w:sz w:val="22"/>
          <w:szCs w:val="22"/>
        </w:rPr>
        <w:t xml:space="preserve">Maintains a full chat history within the session</w:t>
      </w:r>
    </w:p>
    <w:p>
      <w:pPr>
        <w:pStyle w:val="ListParagraph"/>
        <w:numPr>
          <w:ilvl w:val="0"/>
          <w:numId w:val="2"/>
        </w:numPr>
        <w:spacing w:after="40" w:before="40"/>
      </w:pPr>
      <w:r>
        <w:rPr>
          <w:rFonts w:ascii="Arial" w:cs="Arial" w:eastAsia="Arial" w:hAnsi="Arial"/>
          <w:color w:val="1A1F36"/>
          <w:sz w:val="22"/>
          <w:szCs w:val="22"/>
        </w:rPr>
        <w:t xml:space="preserve">Chat responses are contextually aware of the student's selected major</w:t>
      </w:r>
    </w:p>
    <w:p>
      <w:pPr>
        <w:pStyle w:val="ListParagraph"/>
        <w:numPr>
          <w:ilvl w:val="0"/>
          <w:numId w:val="2"/>
        </w:numPr>
        <w:spacing w:after="40" w:before="40"/>
      </w:pPr>
      <w:r>
        <w:rPr>
          <w:rFonts w:ascii="Arial" w:cs="Arial" w:eastAsia="Arial" w:hAnsi="Arial"/>
          <w:color w:val="1A1F36"/>
          <w:sz w:val="22"/>
          <w:szCs w:val="22"/>
        </w:rPr>
        <w:t xml:space="preserve">Uploaded files are previewed as interactive chips before submission</w:t>
      </w:r>
    </w:p>
    <w:p>
      <w:pPr>
        <w:spacing w:after="80" w:before="0"/>
      </w:pPr>
      <w:r>
        <w:t xml:space="preserve"/>
      </w:r>
    </w:p>
    <w:p>
      <w:pPr>
        <w:pStyle w:val="Heading2"/>
        <w:spacing w:after="80" w:before="280"/>
      </w:pPr>
      <w:r>
        <w:rPr>
          <w:rFonts w:ascii="Arial" w:cs="Arial" w:eastAsia="Arial" w:hAnsi="Arial"/>
          <w:b/>
          <w:bCs/>
          <w:color w:val="2A72CC"/>
          <w:sz w:val="26"/>
          <w:szCs w:val="26"/>
        </w:rPr>
        <w:t xml:space="preserve">2.4  AI Tools Sidebar</w:t>
      </w:r>
    </w:p>
    <w:p>
      <w:pPr>
        <w:spacing w:after="80" w:before="60"/>
      </w:pPr>
      <w:r>
        <w:rPr>
          <w:rFonts w:ascii="Arial" w:cs="Arial" w:eastAsia="Arial" w:hAnsi="Arial"/>
          <w:b w:val="false"/>
          <w:bCs w:val="false"/>
          <w:i w:val="false"/>
          <w:iCs w:val="false"/>
          <w:color w:val="1A1F36"/>
          <w:sz w:val="22"/>
          <w:szCs w:val="22"/>
        </w:rPr>
        <w:t xml:space="preserve">The left sidebar displays a major-specific icon grid of AI tools relevant to the student's field. Each tile shows an emoji icon and a short tool name, with a descriptive tooltip on hover. This feature is designed to build awareness of field-specific AI tooling rather than simply listing generic AI applications.</w:t>
      </w:r>
    </w:p>
    <w:p>
      <w:pPr>
        <w:spacing w:after="80" w:before="0"/>
      </w:pPr>
      <w:r>
        <w:t xml:space="preserve"/>
      </w:r>
    </w:p>
    <w:p>
      <w:pPr>
        <w:pStyle w:val="Heading2"/>
        <w:spacing w:after="80" w:before="280"/>
      </w:pPr>
      <w:r>
        <w:rPr>
          <w:rFonts w:ascii="Arial" w:cs="Arial" w:eastAsia="Arial" w:hAnsi="Arial"/>
          <w:b/>
          <w:bCs/>
          <w:color w:val="2A72CC"/>
          <w:sz w:val="26"/>
          <w:szCs w:val="26"/>
        </w:rPr>
        <w:t xml:space="preserve">2.5  Suggested Questions</w:t>
      </w:r>
    </w:p>
    <w:p>
      <w:pPr>
        <w:spacing w:after="80" w:before="60"/>
      </w:pPr>
      <w:r>
        <w:rPr>
          <w:rFonts w:ascii="Arial" w:cs="Arial" w:eastAsia="Arial" w:hAnsi="Arial"/>
          <w:b w:val="false"/>
          <w:bCs w:val="false"/>
          <w:i w:val="false"/>
          <w:iCs w:val="false"/>
          <w:color w:val="1A1F36"/>
          <w:sz w:val="22"/>
          <w:szCs w:val="22"/>
        </w:rPr>
        <w:t xml:space="preserve">Below the AI Tools grid, the Ask Wayne section presents three curated, field-specific questions students can speak directly to Wayne. Questions are disabled until a session is active, reinforcing the structured flow of the learning experience.</w:t>
      </w:r>
    </w:p>
    <w:p>
      <w:pPr>
        <w:spacing w:after="200" w:before="0"/>
      </w:pPr>
      <w:r>
        <w:t xml:space="preserve"/>
      </w:r>
    </w:p>
    <w:p>
      <w:pPr>
        <w:pStyle w:val="Heading1"/>
        <w:pBdr>
          <w:bottom w:val="single" w:color="2A72CC" w:sz="6" w:space="4"/>
        </w:pBdr>
        <w:spacing w:after="120" w:before="360"/>
      </w:pPr>
      <w:r>
        <w:rPr>
          <w:rFonts w:ascii="Arial" w:cs="Arial" w:eastAsia="Arial" w:hAnsi="Arial"/>
          <w:b/>
          <w:bCs/>
          <w:color w:val="1A1F36"/>
          <w:sz w:val="32"/>
          <w:szCs w:val="32"/>
        </w:rPr>
        <w:t xml:space="preserve">3.  Technology Stack &amp; Architecture</w:t>
      </w:r>
    </w:p>
    <w:p>
      <w:pPr>
        <w:spacing w:after="80" w:before="60"/>
      </w:pPr>
      <w:r>
        <w:rPr>
          <w:rFonts w:ascii="Arial" w:cs="Arial" w:eastAsia="Arial" w:hAnsi="Arial"/>
          <w:b w:val="false"/>
          <w:bCs w:val="false"/>
          <w:i w:val="false"/>
          <w:iCs w:val="false"/>
          <w:color w:val="1A1F36"/>
          <w:sz w:val="22"/>
          <w:szCs w:val="22"/>
        </w:rPr>
        <w:t xml:space="preserve">AI in My Field is a client-side web application with no traditional backend server. All AI interactions are handled via third-party API calls made directly from the browser. Firebase Cloud Functions serve as a lightweight proxy layer for secure API key management.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D0D8EE" w:sz="1"/>
              <w:left w:val="single" w:color="D0D8EE" w:sz="1"/>
              <w:bottom w:val="single" w:color="D0D8EE" w:sz="1"/>
              <w:right w:val="single" w:color="D0D8EE" w:sz="1"/>
            </w:tcBorders>
            <w:shd w:fill="2A72CC"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080"/>
            <w:tcBorders>
              <w:top w:val="single" w:color="D0D8EE" w:sz="1"/>
              <w:left w:val="single" w:color="D0D8EE" w:sz="1"/>
              <w:bottom w:val="single" w:color="D0D8EE" w:sz="1"/>
              <w:right w:val="single" w:color="D0D8EE" w:sz="1"/>
            </w:tcBorders>
            <w:shd w:fill="2A72CC"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080"/>
            <w:tcBorders>
              <w:top w:val="single" w:color="D0D8EE" w:sz="1"/>
              <w:left w:val="single" w:color="D0D8EE" w:sz="1"/>
              <w:bottom w:val="single" w:color="D0D8EE" w:sz="1"/>
              <w:right w:val="single" w:color="D0D8EE" w:sz="1"/>
            </w:tcBorders>
            <w:shd w:fill="2A72CC"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20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color w:val="1A1F36"/>
                <w:sz w:val="20"/>
                <w:szCs w:val="20"/>
              </w:rPr>
              <w:t xml:space="preserve">Live Avatar</w:t>
            </w:r>
          </w:p>
        </w:tc>
        <w:tc>
          <w:tcPr>
            <w:tcW w:type="dxa" w:w="308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color w:val="1A1F36"/>
                <w:sz w:val="20"/>
                <w:szCs w:val="20"/>
              </w:rPr>
              <w:t xml:space="preserve">HeyGen LiveAvatar</w:t>
            </w:r>
          </w:p>
        </w:tc>
        <w:tc>
          <w:tcPr>
            <w:tcW w:type="dxa" w:w="408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color w:val="1A1F36"/>
                <w:sz w:val="20"/>
                <w:szCs w:val="20"/>
              </w:rPr>
              <w:t xml:space="preserve">Real-time lip-synced video avatar streaming</w:t>
            </w:r>
          </w:p>
        </w:tc>
      </w:tr>
      <w:tr>
        <w:tc>
          <w:tcPr>
            <w:tcW w:type="dxa" w:w="220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Arial" w:cs="Arial" w:eastAsia="Arial" w:hAnsi="Arial"/>
                <w:color w:val="1A1F36"/>
                <w:sz w:val="20"/>
                <w:szCs w:val="20"/>
              </w:rPr>
              <w:t xml:space="preserve">Voice Synthesis</w:t>
            </w:r>
          </w:p>
        </w:tc>
        <w:tc>
          <w:tcPr>
            <w:tcW w:type="dxa" w:w="308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Arial" w:cs="Arial" w:eastAsia="Arial" w:hAnsi="Arial"/>
                <w:color w:val="1A1F36"/>
                <w:sz w:val="20"/>
                <w:szCs w:val="20"/>
              </w:rPr>
              <w:t xml:space="preserve">ElevenLabs (Agent API)</w:t>
            </w:r>
          </w:p>
        </w:tc>
        <w:tc>
          <w:tcPr>
            <w:tcW w:type="dxa" w:w="408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Arial" w:cs="Arial" w:eastAsia="Arial" w:hAnsi="Arial"/>
                <w:color w:val="1A1F36"/>
                <w:sz w:val="20"/>
                <w:szCs w:val="20"/>
              </w:rPr>
              <w:t xml:space="preserve">Text-to-speech and conversational RAG</w:t>
            </w:r>
          </w:p>
        </w:tc>
      </w:tr>
      <w:tr>
        <w:tc>
          <w:tcPr>
            <w:tcW w:type="dxa" w:w="220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color w:val="1A1F36"/>
                <w:sz w:val="20"/>
                <w:szCs w:val="20"/>
              </w:rPr>
              <w:t xml:space="preserve">AI Chatbot</w:t>
            </w:r>
          </w:p>
        </w:tc>
        <w:tc>
          <w:tcPr>
            <w:tcW w:type="dxa" w:w="308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color w:val="1A1F36"/>
                <w:sz w:val="20"/>
                <w:szCs w:val="20"/>
              </w:rPr>
              <w:t xml:space="preserve">Anthropic Claude API</w:t>
            </w:r>
          </w:p>
        </w:tc>
        <w:tc>
          <w:tcPr>
            <w:tcW w:type="dxa" w:w="408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color w:val="1A1F36"/>
                <w:sz w:val="20"/>
                <w:szCs w:val="20"/>
              </w:rPr>
              <w:t xml:space="preserve">Document analysis, Q&amp;A, career guidance</w:t>
            </w:r>
          </w:p>
        </w:tc>
      </w:tr>
      <w:tr>
        <w:tc>
          <w:tcPr>
            <w:tcW w:type="dxa" w:w="220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Arial" w:cs="Arial" w:eastAsia="Arial" w:hAnsi="Arial"/>
                <w:color w:val="1A1F36"/>
                <w:sz w:val="20"/>
                <w:szCs w:val="20"/>
              </w:rPr>
              <w:t xml:space="preserve">Voice Recognition</w:t>
            </w:r>
          </w:p>
        </w:tc>
        <w:tc>
          <w:tcPr>
            <w:tcW w:type="dxa" w:w="308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Arial" w:cs="Arial" w:eastAsia="Arial" w:hAnsi="Arial"/>
                <w:color w:val="1A1F36"/>
                <w:sz w:val="20"/>
                <w:szCs w:val="20"/>
              </w:rPr>
              <w:t xml:space="preserve">ElevenLabs WebSocket STT</w:t>
            </w:r>
          </w:p>
        </w:tc>
        <w:tc>
          <w:tcPr>
            <w:tcW w:type="dxa" w:w="408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Arial" w:cs="Arial" w:eastAsia="Arial" w:hAnsi="Arial"/>
                <w:color w:val="1A1F36"/>
                <w:sz w:val="20"/>
                <w:szCs w:val="20"/>
              </w:rPr>
              <w:t xml:space="preserve">Real-time speech-to-text for Wayne sessions</w:t>
            </w:r>
          </w:p>
        </w:tc>
      </w:tr>
      <w:tr>
        <w:tc>
          <w:tcPr>
            <w:tcW w:type="dxa" w:w="220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color w:val="1A1F36"/>
                <w:sz w:val="20"/>
                <w:szCs w:val="20"/>
              </w:rPr>
              <w:t xml:space="preserve">Backend Proxy</w:t>
            </w:r>
          </w:p>
        </w:tc>
        <w:tc>
          <w:tcPr>
            <w:tcW w:type="dxa" w:w="308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color w:val="1A1F36"/>
                <w:sz w:val="20"/>
                <w:szCs w:val="20"/>
              </w:rPr>
              <w:t xml:space="preserve">Firebase Cloud Functions</w:t>
            </w:r>
          </w:p>
        </w:tc>
        <w:tc>
          <w:tcPr>
            <w:tcW w:type="dxa" w:w="408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color w:val="1A1F36"/>
                <w:sz w:val="20"/>
                <w:szCs w:val="20"/>
              </w:rPr>
              <w:t xml:space="preserve">Secure API key relay; deployed via Firebase CLI</w:t>
            </w:r>
          </w:p>
        </w:tc>
      </w:tr>
      <w:tr>
        <w:tc>
          <w:tcPr>
            <w:tcW w:type="dxa" w:w="220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Arial" w:cs="Arial" w:eastAsia="Arial" w:hAnsi="Arial"/>
                <w:color w:val="1A1F36"/>
                <w:sz w:val="20"/>
                <w:szCs w:val="20"/>
              </w:rPr>
              <w:t xml:space="preserve">Hosting</w:t>
            </w:r>
          </w:p>
        </w:tc>
        <w:tc>
          <w:tcPr>
            <w:tcW w:type="dxa" w:w="308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Arial" w:cs="Arial" w:eastAsia="Arial" w:hAnsi="Arial"/>
                <w:color w:val="1A1F36"/>
                <w:sz w:val="20"/>
                <w:szCs w:val="20"/>
              </w:rPr>
              <w:t xml:space="preserve">GitHub Pages</w:t>
            </w:r>
          </w:p>
        </w:tc>
        <w:tc>
          <w:tcPr>
            <w:tcW w:type="dxa" w:w="408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Arial" w:cs="Arial" w:eastAsia="Arial" w:hAnsi="Arial"/>
                <w:color w:val="1A1F36"/>
                <w:sz w:val="20"/>
                <w:szCs w:val="20"/>
              </w:rPr>
              <w:t xml:space="preserve">Static site hosting at techplayzone.github.io</w:t>
            </w:r>
          </w:p>
        </w:tc>
      </w:tr>
      <w:tr>
        <w:tc>
          <w:tcPr>
            <w:tcW w:type="dxa" w:w="220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color w:val="1A1F36"/>
                <w:sz w:val="20"/>
                <w:szCs w:val="20"/>
              </w:rPr>
              <w:t xml:space="preserve">Embeddings / RAG</w:t>
            </w:r>
          </w:p>
        </w:tc>
        <w:tc>
          <w:tcPr>
            <w:tcW w:type="dxa" w:w="308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color w:val="1A1F36"/>
                <w:sz w:val="20"/>
                <w:szCs w:val="20"/>
              </w:rPr>
              <w:t xml:space="preserve">ElevenLabs Knowledge Base</w:t>
            </w:r>
          </w:p>
        </w:tc>
        <w:tc>
          <w:tcPr>
            <w:tcW w:type="dxa" w:w="408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color w:val="1A1F36"/>
                <w:sz w:val="20"/>
                <w:szCs w:val="20"/>
              </w:rPr>
              <w:t xml:space="preserve">Major-specific retrieval-augmented generation</w:t>
            </w:r>
          </w:p>
        </w:tc>
      </w:tr>
      <w:tr>
        <w:tc>
          <w:tcPr>
            <w:tcW w:type="dxa" w:w="220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Arial" w:cs="Arial" w:eastAsia="Arial" w:hAnsi="Arial"/>
                <w:color w:val="1A1F36"/>
                <w:sz w:val="20"/>
                <w:szCs w:val="20"/>
              </w:rPr>
              <w:t xml:space="preserve">Frontend</w:t>
            </w:r>
          </w:p>
        </w:tc>
        <w:tc>
          <w:tcPr>
            <w:tcW w:type="dxa" w:w="308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Arial" w:cs="Arial" w:eastAsia="Arial" w:hAnsi="Arial"/>
                <w:color w:val="1A1F36"/>
                <w:sz w:val="20"/>
                <w:szCs w:val="20"/>
              </w:rPr>
              <w:t xml:space="preserve">Vanilla JS (ES Modules)</w:t>
            </w:r>
          </w:p>
        </w:tc>
        <w:tc>
          <w:tcPr>
            <w:tcW w:type="dxa" w:w="408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Arial" w:cs="Arial" w:eastAsia="Arial" w:hAnsi="Arial"/>
                <w:color w:val="1A1F36"/>
                <w:sz w:val="20"/>
                <w:szCs w:val="20"/>
              </w:rPr>
              <w:t xml:space="preserve">No framework dependency; modular app.js structure</w:t>
            </w:r>
          </w:p>
        </w:tc>
      </w:tr>
      <w:tr>
        <w:tc>
          <w:tcPr>
            <w:tcW w:type="dxa" w:w="220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color w:val="1A1F36"/>
                <w:sz w:val="20"/>
                <w:szCs w:val="20"/>
              </w:rPr>
              <w:t xml:space="preserve">Styling</w:t>
            </w:r>
          </w:p>
        </w:tc>
        <w:tc>
          <w:tcPr>
            <w:tcW w:type="dxa" w:w="308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color w:val="1A1F36"/>
                <w:sz w:val="20"/>
                <w:szCs w:val="20"/>
              </w:rPr>
              <w:t xml:space="preserve">Custom CSS (v7.0)</w:t>
            </w:r>
          </w:p>
        </w:tc>
        <w:tc>
          <w:tcPr>
            <w:tcW w:type="dxa" w:w="408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color w:val="1A1F36"/>
                <w:sz w:val="20"/>
                <w:szCs w:val="20"/>
              </w:rPr>
              <w:t xml:space="preserve">Plus Jakarta Sans, glassmorphism, sky/violet palette</w:t>
            </w:r>
          </w:p>
        </w:tc>
      </w:tr>
    </w:tbl>
    <w:p>
      <w:pPr>
        <w:spacing w:after="100" w:before="0"/>
      </w:pPr>
      <w:r>
        <w:t xml:space="preserve"/>
      </w:r>
    </w:p>
    <w:p>
      <w:pPr>
        <w:pStyle w:val="Heading2"/>
        <w:spacing w:after="80" w:before="280"/>
      </w:pPr>
      <w:r>
        <w:rPr>
          <w:rFonts w:ascii="Arial" w:cs="Arial" w:eastAsia="Arial" w:hAnsi="Arial"/>
          <w:b/>
          <w:bCs/>
          <w:color w:val="2A72CC"/>
          <w:sz w:val="26"/>
          <w:szCs w:val="26"/>
        </w:rPr>
        <w:t xml:space="preserve">3.1  Architecture Overview</w:t>
      </w:r>
    </w:p>
    <w:p>
      <w:pPr>
        <w:spacing w:after="80" w:before="60"/>
      </w:pPr>
      <w:r>
        <w:rPr>
          <w:rFonts w:ascii="Arial" w:cs="Arial" w:eastAsia="Arial" w:hAnsi="Arial"/>
          <w:b w:val="false"/>
          <w:bCs w:val="false"/>
          <w:i w:val="false"/>
          <w:iCs w:val="false"/>
          <w:color w:val="1A1F36"/>
          <w:sz w:val="22"/>
          <w:szCs w:val="22"/>
        </w:rPr>
        <w:t xml:space="preserve">The application follows a thin-client architecture:</w:t>
      </w:r>
    </w:p>
    <w:p>
      <w:pPr>
        <w:pStyle w:val="ListParagraph"/>
        <w:numPr>
          <w:ilvl w:val="0"/>
          <w:numId w:val="2"/>
        </w:numPr>
        <w:spacing w:after="40" w:before="40"/>
      </w:pPr>
      <w:r>
        <w:rPr>
          <w:rFonts w:ascii="Arial" w:cs="Arial" w:eastAsia="Arial" w:hAnsi="Arial"/>
          <w:color w:val="1A1F36"/>
          <w:sz w:val="22"/>
          <w:szCs w:val="22"/>
        </w:rPr>
        <w:t xml:space="preserve">The browser loads a static HTML/CSS/JS bundle from GitHub Pages</w:t>
      </w:r>
    </w:p>
    <w:p>
      <w:pPr>
        <w:pStyle w:val="ListParagraph"/>
        <w:numPr>
          <w:ilvl w:val="0"/>
          <w:numId w:val="2"/>
        </w:numPr>
        <w:spacing w:after="40" w:before="40"/>
      </w:pPr>
      <w:r>
        <w:rPr>
          <w:rFonts w:ascii="Arial" w:cs="Arial" w:eastAsia="Arial" w:hAnsi="Arial"/>
          <w:color w:val="1A1F36"/>
          <w:sz w:val="22"/>
          <w:szCs w:val="22"/>
        </w:rPr>
        <w:t xml:space="preserve">On session start, the browser opens a WebSocket connection to ElevenLabs for live voice communication</w:t>
      </w:r>
    </w:p>
    <w:p>
      <w:pPr>
        <w:pStyle w:val="ListParagraph"/>
        <w:numPr>
          <w:ilvl w:val="0"/>
          <w:numId w:val="2"/>
        </w:numPr>
        <w:spacing w:after="40" w:before="40"/>
      </w:pPr>
      <w:r>
        <w:rPr>
          <w:rFonts w:ascii="Arial" w:cs="Arial" w:eastAsia="Arial" w:hAnsi="Arial"/>
          <w:color w:val="1A1F36"/>
          <w:sz w:val="22"/>
          <w:szCs w:val="22"/>
        </w:rPr>
        <w:t xml:space="preserve">HeyGen's LiveAvatar SDK streams a lip-synced video feed into the right panel</w:t>
      </w:r>
    </w:p>
    <w:p>
      <w:pPr>
        <w:pStyle w:val="ListParagraph"/>
        <w:numPr>
          <w:ilvl w:val="0"/>
          <w:numId w:val="2"/>
        </w:numPr>
        <w:spacing w:after="40" w:before="40"/>
      </w:pPr>
      <w:r>
        <w:rPr>
          <w:rFonts w:ascii="Arial" w:cs="Arial" w:eastAsia="Arial" w:hAnsi="Arial"/>
          <w:color w:val="1A1F36"/>
          <w:sz w:val="22"/>
          <w:szCs w:val="22"/>
        </w:rPr>
        <w:t xml:space="preserve">Claude API calls are routed through a Firebase Cloud Function to avoid exposing API keys client-side</w:t>
      </w:r>
    </w:p>
    <w:p>
      <w:pPr>
        <w:pStyle w:val="ListParagraph"/>
        <w:numPr>
          <w:ilvl w:val="0"/>
          <w:numId w:val="2"/>
        </w:numPr>
        <w:spacing w:after="40" w:before="40"/>
      </w:pPr>
      <w:r>
        <w:rPr>
          <w:rFonts w:ascii="Arial" w:cs="Arial" w:eastAsia="Arial" w:hAnsi="Arial"/>
          <w:color w:val="1A1F36"/>
          <w:sz w:val="22"/>
          <w:szCs w:val="22"/>
        </w:rPr>
        <w:t xml:space="preserve">Major context is injected into the ElevenLabs WebSocket payload via conversation_config_override within 500ms of connection open</w:t>
      </w:r>
    </w:p>
    <w:p>
      <w:pPr>
        <w:spacing w:after="80" w:before="0"/>
      </w:pPr>
      <w:r>
        <w:t xml:space="preserve"/>
      </w:r>
    </w:p>
    <w:p>
      <w:pPr>
        <w:pStyle w:val="Heading2"/>
        <w:spacing w:after="80" w:before="280"/>
      </w:pPr>
      <w:r>
        <w:rPr>
          <w:rFonts w:ascii="Arial" w:cs="Arial" w:eastAsia="Arial" w:hAnsi="Arial"/>
          <w:b/>
          <w:bCs/>
          <w:color w:val="2A72CC"/>
          <w:sz w:val="26"/>
          <w:szCs w:val="26"/>
        </w:rPr>
        <w:t xml:space="preserve">3.2  Key Configuration Values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8EE" w:sz="1"/>
              <w:left w:val="single" w:color="D0D8EE" w:sz="1"/>
              <w:bottom w:val="single" w:color="D0D8EE" w:sz="1"/>
              <w:right w:val="single" w:color="D0D8EE" w:sz="1"/>
            </w:tcBorders>
            <w:shd w:fill="1A1F36"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6160"/>
            <w:tcBorders>
              <w:top w:val="single" w:color="D0D8EE" w:sz="1"/>
              <w:left w:val="single" w:color="D0D8EE" w:sz="1"/>
              <w:bottom w:val="single" w:color="D0D8EE" w:sz="1"/>
              <w:right w:val="single" w:color="D0D8EE" w:sz="1"/>
            </w:tcBorders>
            <w:shd w:fill="1A1F36" w:val="clear"/>
            <w:tcMar>
              <w:top w:type="dxa" w:w="100"/>
              <w:left w:type="dxa" w:w="140"/>
              <w:bottom w:type="dxa" w:w="100"/>
              <w:right w:type="dxa" w:w="140"/>
            </w:tcMar>
          </w:tcPr>
          <w:p>
            <w:r>
              <w:rPr>
                <w:rFonts w:ascii="Arial" w:cs="Arial" w:eastAsia="Arial" w:hAnsi="Arial"/>
                <w:b/>
                <w:bCs/>
                <w:color w:val="FFFFFF"/>
                <w:sz w:val="20"/>
                <w:szCs w:val="20"/>
              </w:rPr>
              <w:t xml:space="preserve">Value / Location</w:t>
            </w:r>
          </w:p>
        </w:tc>
      </w:tr>
      <w:tr>
        <w:tc>
          <w:tcPr>
            <w:tcW w:type="dxa" w:w="320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Courier New" w:cs="Courier New" w:eastAsia="Courier New" w:hAnsi="Courier New"/>
                <w:color w:val="1A1F36"/>
                <w:sz w:val="18"/>
                <w:szCs w:val="18"/>
              </w:rPr>
              <w:t xml:space="preserve">Firebase Project</w:t>
            </w:r>
          </w:p>
        </w:tc>
        <w:tc>
          <w:tcPr>
            <w:tcW w:type="dxa" w:w="616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Courier New" w:cs="Courier New" w:eastAsia="Courier New" w:hAnsi="Courier New"/>
                <w:color w:val="1A1F36"/>
                <w:sz w:val="18"/>
                <w:szCs w:val="18"/>
              </w:rPr>
              <w:t xml:space="preserve">ai-field-agent-80585</w:t>
            </w:r>
          </w:p>
        </w:tc>
      </w:tr>
      <w:tr>
        <w:tc>
          <w:tcPr>
            <w:tcW w:type="dxa" w:w="320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Courier New" w:cs="Courier New" w:eastAsia="Courier New" w:hAnsi="Courier New"/>
                <w:color w:val="1A1F36"/>
                <w:sz w:val="18"/>
                <w:szCs w:val="18"/>
              </w:rPr>
              <w:t xml:space="preserve">ElevenLabs Agent ID</w:t>
            </w:r>
          </w:p>
        </w:tc>
        <w:tc>
          <w:tcPr>
            <w:tcW w:type="dxa" w:w="616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Courier New" w:cs="Courier New" w:eastAsia="Courier New" w:hAnsi="Courier New"/>
                <w:color w:val="1A1F36"/>
                <w:sz w:val="18"/>
                <w:szCs w:val="18"/>
              </w:rPr>
              <w:t xml:space="preserve">agent_5801khhgn69gfg6b9zga764yhhv9</w:t>
            </w:r>
          </w:p>
        </w:tc>
      </w:tr>
      <w:tr>
        <w:tc>
          <w:tcPr>
            <w:tcW w:type="dxa" w:w="320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Courier New" w:cs="Courier New" w:eastAsia="Courier New" w:hAnsi="Courier New"/>
                <w:color w:val="1A1F36"/>
                <w:sz w:val="18"/>
                <w:szCs w:val="18"/>
              </w:rPr>
              <w:t xml:space="preserve">Wayne Avatar ID (HeyGen)</w:t>
            </w:r>
          </w:p>
        </w:tc>
        <w:tc>
          <w:tcPr>
            <w:tcW w:type="dxa" w:w="616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Courier New" w:cs="Courier New" w:eastAsia="Courier New" w:hAnsi="Courier New"/>
                <w:color w:val="1A1F36"/>
                <w:sz w:val="18"/>
                <w:szCs w:val="18"/>
              </w:rPr>
              <w:t xml:space="preserve">dd73ea75-1218-4ef3-92ce-606d5f7fbc0a</w:t>
            </w:r>
          </w:p>
        </w:tc>
      </w:tr>
      <w:tr>
        <w:tc>
          <w:tcPr>
            <w:tcW w:type="dxa" w:w="320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Courier New" w:cs="Courier New" w:eastAsia="Courier New" w:hAnsi="Courier New"/>
                <w:color w:val="1A1F36"/>
                <w:sz w:val="18"/>
                <w:szCs w:val="18"/>
              </w:rPr>
              <w:t xml:space="preserve">ElevenLabs Voice</w:t>
            </w:r>
          </w:p>
        </w:tc>
        <w:tc>
          <w:tcPr>
            <w:tcW w:type="dxa" w:w="616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Courier New" w:cs="Courier New" w:eastAsia="Courier New" w:hAnsi="Courier New"/>
                <w:color w:val="1A1F36"/>
                <w:sz w:val="18"/>
                <w:szCs w:val="18"/>
              </w:rPr>
              <w:t xml:space="preserve">Jeff (male, ElevenLabs default)</w:t>
            </w:r>
          </w:p>
        </w:tc>
      </w:tr>
      <w:tr>
        <w:tc>
          <w:tcPr>
            <w:tcW w:type="dxa" w:w="320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Courier New" w:cs="Courier New" w:eastAsia="Courier New" w:hAnsi="Courier New"/>
                <w:color w:val="1A1F36"/>
                <w:sz w:val="18"/>
                <w:szCs w:val="18"/>
              </w:rPr>
              <w:t xml:space="preserve">Firebase Deploy Command</w:t>
            </w:r>
          </w:p>
        </w:tc>
        <w:tc>
          <w:tcPr>
            <w:tcW w:type="dxa" w:w="616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Courier New" w:cs="Courier New" w:eastAsia="Courier New" w:hAnsi="Courier New"/>
                <w:color w:val="1A1F36"/>
                <w:sz w:val="18"/>
                <w:szCs w:val="18"/>
              </w:rPr>
              <w:t xml:space="preserve">firebase deploy --only functions --project ai-field-agent-80585</w:t>
            </w:r>
          </w:p>
        </w:tc>
      </w:tr>
      <w:tr>
        <w:tc>
          <w:tcPr>
            <w:tcW w:type="dxa" w:w="320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Courier New" w:cs="Courier New" w:eastAsia="Courier New" w:hAnsi="Courier New"/>
                <w:color w:val="1A1F36"/>
                <w:sz w:val="18"/>
                <w:szCs w:val="18"/>
              </w:rPr>
              <w:t xml:space="preserve">Deploy Directory</w:t>
            </w:r>
          </w:p>
        </w:tc>
        <w:tc>
          <w:tcPr>
            <w:tcW w:type="dxa" w:w="616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Courier New" w:cs="Courier New" w:eastAsia="Courier New" w:hAnsi="Courier New"/>
                <w:color w:val="1A1F36"/>
                <w:sz w:val="18"/>
                <w:szCs w:val="18"/>
              </w:rPr>
              <w:t xml:space="preserve">Run from /Backend folder (not /functions subfolder)</w:t>
            </w:r>
          </w:p>
        </w:tc>
      </w:tr>
      <w:tr>
        <w:tc>
          <w:tcPr>
            <w:tcW w:type="dxa" w:w="320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Courier New" w:cs="Courier New" w:eastAsia="Courier New" w:hAnsi="Courier New"/>
                <w:color w:val="1A1F36"/>
                <w:sz w:val="18"/>
                <w:szCs w:val="18"/>
              </w:rPr>
              <w:t xml:space="preserve">SDK Import</w:t>
            </w:r>
          </w:p>
        </w:tc>
        <w:tc>
          <w:tcPr>
            <w:tcW w:type="dxa" w:w="616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Courier New" w:cs="Courier New" w:eastAsia="Courier New" w:hAnsi="Courier New"/>
                <w:color w:val="1A1F36"/>
                <w:sz w:val="18"/>
                <w:szCs w:val="18"/>
              </w:rPr>
              <w:t xml:space="preserve">Unpinned (not @1) — package is at 0.x</w:t>
            </w:r>
          </w:p>
        </w:tc>
      </w:tr>
    </w:tbl>
    <w:p>
      <w:pPr>
        <w:spacing w:after="200" w:before="0"/>
      </w:pPr>
      <w:r>
        <w:t xml:space="preserve"/>
      </w:r>
    </w:p>
    <w:p>
      <w:pPr>
        <w:pStyle w:val="Heading1"/>
        <w:pBdr>
          <w:bottom w:val="single" w:color="2A72CC" w:sz="6" w:space="4"/>
        </w:pBdr>
        <w:spacing w:after="120" w:before="360"/>
      </w:pPr>
      <w:r>
        <w:rPr>
          <w:rFonts w:ascii="Arial" w:cs="Arial" w:eastAsia="Arial" w:hAnsi="Arial"/>
          <w:b/>
          <w:bCs/>
          <w:color w:val="1A1F36"/>
          <w:sz w:val="32"/>
          <w:szCs w:val="32"/>
        </w:rPr>
        <w:t xml:space="preserve">4.  Setup &amp; Installation</w:t>
      </w:r>
    </w:p>
    <w:p>
      <w:pPr>
        <w:spacing w:after="80" w:before="60"/>
      </w:pPr>
      <w:r>
        <w:rPr>
          <w:rFonts w:ascii="Arial" w:cs="Arial" w:eastAsia="Arial" w:hAnsi="Arial"/>
          <w:b w:val="false"/>
          <w:bCs w:val="false"/>
          <w:i w:val="false"/>
          <w:iCs w:val="false"/>
          <w:color w:val="1A1F36"/>
          <w:sz w:val="22"/>
          <w:szCs w:val="22"/>
        </w:rPr>
        <w:t xml:space="preserve">The following steps assume access to the project repository and valid API credentials for Anthropic, ElevenLabs, HeyGen, and Firebase.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60"/>
        <w:gridCol w:w="4600"/>
      </w:tblGrid>
      <w:tr>
        <w:trPr>
          <w:tblHeader/>
        </w:trPr>
        <w:tc>
          <w:tcPr>
            <w:tcW w:type="dxa" w:w="1200"/>
            <w:tcBorders>
              <w:top w:val="single" w:color="D0D8EE" w:sz="1"/>
              <w:left w:val="single" w:color="D0D8EE" w:sz="1"/>
              <w:bottom w:val="single" w:color="D0D8EE" w:sz="1"/>
              <w:right w:val="single" w:color="D0D8EE" w:sz="1"/>
            </w:tcBorders>
            <w:shd w:fill="1A1F36"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560"/>
            <w:tcBorders>
              <w:top w:val="single" w:color="D0D8EE" w:sz="1"/>
              <w:left w:val="single" w:color="D0D8EE" w:sz="1"/>
              <w:bottom w:val="single" w:color="D0D8EE" w:sz="1"/>
              <w:right w:val="single" w:color="D0D8EE" w:sz="1"/>
            </w:tcBorders>
            <w:shd w:fill="1A1F36"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4600"/>
            <w:tcBorders>
              <w:top w:val="single" w:color="D0D8EE" w:sz="1"/>
              <w:left w:val="single" w:color="D0D8EE" w:sz="1"/>
              <w:bottom w:val="single" w:color="D0D8EE" w:sz="1"/>
              <w:right w:val="single" w:color="D0D8EE" w:sz="1"/>
            </w:tcBorders>
            <w:shd w:fill="1A1F36"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20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b/>
                <w:bCs/>
                <w:color w:val="1A1F36"/>
                <w:sz w:val="20"/>
                <w:szCs w:val="20"/>
              </w:rPr>
              <w:t xml:space="preserve">1</w:t>
            </w:r>
          </w:p>
        </w:tc>
        <w:tc>
          <w:tcPr>
            <w:tcW w:type="dxa" w:w="356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b w:val="false"/>
                <w:bCs w:val="false"/>
                <w:color w:val="1A1F36"/>
                <w:sz w:val="20"/>
                <w:szCs w:val="20"/>
              </w:rPr>
              <w:t xml:space="preserve">Clone the repository</w:t>
            </w:r>
          </w:p>
        </w:tc>
        <w:tc>
          <w:tcPr>
            <w:tcW w:type="dxa" w:w="460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b w:val="false"/>
                <w:bCs w:val="false"/>
                <w:color w:val="1A1F36"/>
                <w:sz w:val="20"/>
                <w:szCs w:val="20"/>
              </w:rPr>
              <w:t xml:space="preserve">git clone https://github.com/techplayzone/TPZ-AI-Field-Guide</w:t>
            </w:r>
          </w:p>
        </w:tc>
      </w:tr>
      <w:tr>
        <w:tc>
          <w:tcPr>
            <w:tcW w:type="dxa" w:w="120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Arial" w:cs="Arial" w:eastAsia="Arial" w:hAnsi="Arial"/>
                <w:b/>
                <w:bCs/>
                <w:color w:val="1A1F36"/>
                <w:sz w:val="20"/>
                <w:szCs w:val="20"/>
              </w:rPr>
              <w:t xml:space="preserve">2</w:t>
            </w:r>
          </w:p>
        </w:tc>
        <w:tc>
          <w:tcPr>
            <w:tcW w:type="dxa" w:w="356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Arial" w:cs="Arial" w:eastAsia="Arial" w:hAnsi="Arial"/>
                <w:b w:val="false"/>
                <w:bCs w:val="false"/>
                <w:color w:val="1A1F36"/>
                <w:sz w:val="20"/>
                <w:szCs w:val="20"/>
              </w:rPr>
              <w:t xml:space="preserve">Install Firebase CLI</w:t>
            </w:r>
          </w:p>
        </w:tc>
        <w:tc>
          <w:tcPr>
            <w:tcW w:type="dxa" w:w="460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Arial" w:cs="Arial" w:eastAsia="Arial" w:hAnsi="Arial"/>
                <w:b w:val="false"/>
                <w:bCs w:val="false"/>
                <w:color w:val="1A1F36"/>
                <w:sz w:val="20"/>
                <w:szCs w:val="20"/>
              </w:rPr>
              <w:t xml:space="preserve">npm install -g firebase-tools, then firebase login</w:t>
            </w:r>
          </w:p>
        </w:tc>
      </w:tr>
      <w:tr>
        <w:tc>
          <w:tcPr>
            <w:tcW w:type="dxa" w:w="120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b/>
                <w:bCs/>
                <w:color w:val="1A1F36"/>
                <w:sz w:val="20"/>
                <w:szCs w:val="20"/>
              </w:rPr>
              <w:t xml:space="preserve">3</w:t>
            </w:r>
          </w:p>
        </w:tc>
        <w:tc>
          <w:tcPr>
            <w:tcW w:type="dxa" w:w="356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b w:val="false"/>
                <w:bCs w:val="false"/>
                <w:color w:val="1A1F36"/>
                <w:sz w:val="20"/>
                <w:szCs w:val="20"/>
              </w:rPr>
              <w:t xml:space="preserve">Configure API keys</w:t>
            </w:r>
          </w:p>
        </w:tc>
        <w:tc>
          <w:tcPr>
            <w:tcW w:type="dxa" w:w="460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b w:val="false"/>
                <w:bCs w:val="false"/>
                <w:color w:val="1A1F36"/>
                <w:sz w:val="20"/>
                <w:szCs w:val="20"/>
              </w:rPr>
              <w:t xml:space="preserve">Add keys to Backend/functions/.env (never commit this file)</w:t>
            </w:r>
          </w:p>
        </w:tc>
      </w:tr>
      <w:tr>
        <w:tc>
          <w:tcPr>
            <w:tcW w:type="dxa" w:w="120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Arial" w:cs="Arial" w:eastAsia="Arial" w:hAnsi="Arial"/>
                <w:b/>
                <w:bCs/>
                <w:color w:val="1A1F36"/>
                <w:sz w:val="20"/>
                <w:szCs w:val="20"/>
              </w:rPr>
              <w:t xml:space="preserve">4</w:t>
            </w:r>
          </w:p>
        </w:tc>
        <w:tc>
          <w:tcPr>
            <w:tcW w:type="dxa" w:w="356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Arial" w:cs="Arial" w:eastAsia="Arial" w:hAnsi="Arial"/>
                <w:b w:val="false"/>
                <w:bCs w:val="false"/>
                <w:color w:val="1A1F36"/>
                <w:sz w:val="20"/>
                <w:szCs w:val="20"/>
              </w:rPr>
              <w:t xml:space="preserve">Deploy Cloud Functions</w:t>
            </w:r>
          </w:p>
        </w:tc>
        <w:tc>
          <w:tcPr>
            <w:tcW w:type="dxa" w:w="460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Arial" w:cs="Arial" w:eastAsia="Arial" w:hAnsi="Arial"/>
                <w:b w:val="false"/>
                <w:bCs w:val="false"/>
                <w:color w:val="1A1F36"/>
                <w:sz w:val="20"/>
                <w:szCs w:val="20"/>
              </w:rPr>
              <w:t xml:space="preserve">cd Backend &amp;&amp; firebase deploy --only functions --project ai-field-agent-80585</w:t>
            </w:r>
          </w:p>
        </w:tc>
      </w:tr>
      <w:tr>
        <w:tc>
          <w:tcPr>
            <w:tcW w:type="dxa" w:w="120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b/>
                <w:bCs/>
                <w:color w:val="1A1F36"/>
                <w:sz w:val="20"/>
                <w:szCs w:val="20"/>
              </w:rPr>
              <w:t xml:space="preserve">5</w:t>
            </w:r>
          </w:p>
        </w:tc>
        <w:tc>
          <w:tcPr>
            <w:tcW w:type="dxa" w:w="356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b w:val="false"/>
                <w:bCs w:val="false"/>
                <w:color w:val="1A1F36"/>
                <w:sz w:val="20"/>
                <w:szCs w:val="20"/>
              </w:rPr>
              <w:t xml:space="preserve">Configure ElevenLabs</w:t>
            </w:r>
          </w:p>
        </w:tc>
        <w:tc>
          <w:tcPr>
            <w:tcW w:type="dxa" w:w="460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b w:val="false"/>
                <w:bCs w:val="false"/>
                <w:color w:val="1A1F36"/>
                <w:sz w:val="20"/>
                <w:szCs w:val="20"/>
              </w:rPr>
              <w:t xml:space="preserve">Enable conversation_config_override permissions in ElevenLabs agent dashboard</w:t>
            </w:r>
          </w:p>
        </w:tc>
      </w:tr>
      <w:tr>
        <w:tc>
          <w:tcPr>
            <w:tcW w:type="dxa" w:w="120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Arial" w:cs="Arial" w:eastAsia="Arial" w:hAnsi="Arial"/>
                <w:b/>
                <w:bCs/>
                <w:color w:val="1A1F36"/>
                <w:sz w:val="20"/>
                <w:szCs w:val="20"/>
              </w:rPr>
              <w:t xml:space="preserve">6</w:t>
            </w:r>
          </w:p>
        </w:tc>
        <w:tc>
          <w:tcPr>
            <w:tcW w:type="dxa" w:w="356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Arial" w:cs="Arial" w:eastAsia="Arial" w:hAnsi="Arial"/>
                <w:b w:val="false"/>
                <w:bCs w:val="false"/>
                <w:color w:val="1A1F36"/>
                <w:sz w:val="20"/>
                <w:szCs w:val="20"/>
              </w:rPr>
              <w:t xml:space="preserve">Configure HeyGen</w:t>
            </w:r>
          </w:p>
        </w:tc>
        <w:tc>
          <w:tcPr>
            <w:tcW w:type="dxa" w:w="460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Arial" w:cs="Arial" w:eastAsia="Arial" w:hAnsi="Arial"/>
                <w:b w:val="false"/>
                <w:bCs w:val="false"/>
                <w:color w:val="1A1F36"/>
                <w:sz w:val="20"/>
                <w:szCs w:val="20"/>
              </w:rPr>
              <w:t xml:space="preserve">Set Wayne avatar ID in js/app.js — see Key Configuration Values table</w:t>
            </w:r>
          </w:p>
        </w:tc>
      </w:tr>
      <w:tr>
        <w:tc>
          <w:tcPr>
            <w:tcW w:type="dxa" w:w="120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b/>
                <w:bCs/>
                <w:color w:val="1A1F36"/>
                <w:sz w:val="20"/>
                <w:szCs w:val="20"/>
              </w:rPr>
              <w:t xml:space="preserve">7</w:t>
            </w:r>
          </w:p>
        </w:tc>
        <w:tc>
          <w:tcPr>
            <w:tcW w:type="dxa" w:w="356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b w:val="false"/>
                <w:bCs w:val="false"/>
                <w:color w:val="1A1F36"/>
                <w:sz w:val="20"/>
                <w:szCs w:val="20"/>
              </w:rPr>
              <w:t xml:space="preserve">Deploy frontend</w:t>
            </w:r>
          </w:p>
        </w:tc>
        <w:tc>
          <w:tcPr>
            <w:tcW w:type="dxa" w:w="4600"/>
            <w:tcBorders>
              <w:top w:val="single" w:color="D0D8EE" w:sz="1"/>
              <w:left w:val="single" w:color="D0D8EE" w:sz="1"/>
              <w:bottom w:val="single" w:color="D0D8EE" w:sz="1"/>
              <w:right w:val="single" w:color="D0D8EE" w:sz="1"/>
            </w:tcBorders>
            <w:shd w:fill="FFFFFF" w:val="clear"/>
            <w:tcMar>
              <w:top w:type="dxa" w:w="80"/>
              <w:left w:type="dxa" w:w="140"/>
              <w:bottom w:type="dxa" w:w="80"/>
              <w:right w:type="dxa" w:w="140"/>
            </w:tcMar>
          </w:tcPr>
          <w:p>
            <w:r>
              <w:rPr>
                <w:rFonts w:ascii="Arial" w:cs="Arial" w:eastAsia="Arial" w:hAnsi="Arial"/>
                <w:b w:val="false"/>
                <w:bCs w:val="false"/>
                <w:color w:val="1A1F36"/>
                <w:sz w:val="20"/>
                <w:szCs w:val="20"/>
              </w:rPr>
              <w:t xml:space="preserve">Push to GitHub Pages branch or serve locally with any static file server</w:t>
            </w:r>
          </w:p>
        </w:tc>
      </w:tr>
      <w:tr>
        <w:tc>
          <w:tcPr>
            <w:tcW w:type="dxa" w:w="120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Arial" w:cs="Arial" w:eastAsia="Arial" w:hAnsi="Arial"/>
                <w:b/>
                <w:bCs/>
                <w:color w:val="1A1F36"/>
                <w:sz w:val="20"/>
                <w:szCs w:val="20"/>
              </w:rPr>
              <w:t xml:space="preserve">8</w:t>
            </w:r>
          </w:p>
        </w:tc>
        <w:tc>
          <w:tcPr>
            <w:tcW w:type="dxa" w:w="356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Arial" w:cs="Arial" w:eastAsia="Arial" w:hAnsi="Arial"/>
                <w:b w:val="false"/>
                <w:bCs w:val="false"/>
                <w:color w:val="1A1F36"/>
                <w:sz w:val="20"/>
                <w:szCs w:val="20"/>
              </w:rPr>
              <w:t xml:space="preserve">Verify session flow</w:t>
            </w:r>
          </w:p>
        </w:tc>
        <w:tc>
          <w:tcPr>
            <w:tcW w:type="dxa" w:w="4600"/>
            <w:tcBorders>
              <w:top w:val="single" w:color="D0D8EE" w:sz="1"/>
              <w:left w:val="single" w:color="D0D8EE" w:sz="1"/>
              <w:bottom w:val="single" w:color="D0D8EE" w:sz="1"/>
              <w:right w:val="single" w:color="D0D8EE" w:sz="1"/>
            </w:tcBorders>
            <w:shd w:fill="F5F6FA" w:val="clear"/>
            <w:tcMar>
              <w:top w:type="dxa" w:w="80"/>
              <w:left w:type="dxa" w:w="140"/>
              <w:bottom w:type="dxa" w:w="80"/>
              <w:right w:type="dxa" w:w="140"/>
            </w:tcMar>
          </w:tcPr>
          <w:p>
            <w:r>
              <w:rPr>
                <w:rFonts w:ascii="Arial" w:cs="Arial" w:eastAsia="Arial" w:hAnsi="Arial"/>
                <w:b w:val="false"/>
                <w:bCs w:val="false"/>
                <w:color w:val="1A1F36"/>
                <w:sz w:val="20"/>
                <w:szCs w:val="20"/>
              </w:rPr>
              <w:t xml:space="preserve">Select a major, click Start Session, confirm Wayne loads and mic is active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A72CC"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NOTE</w:t>
            </w:r>
          </w:p>
        </w:tc>
        <w:tc>
          <w:tcPr>
            <w:tcW w:type="dxa" w:w="8160"/>
            <w:tcBorders>
              <w:top w:val="none" w:color="FFFFFF" w:sz="0"/>
              <w:left w:val="single" w:color="2A72CC" w:sz="4"/>
              <w:bottom w:val="none" w:color="FFFFFF" w:sz="0"/>
              <w:right w:val="none" w:color="FFFFFF" w:sz="0"/>
            </w:tcBorders>
            <w:shd w:fill="EBF3FF" w:val="clear"/>
            <w:tcMar>
              <w:top w:type="dxa" w:w="100"/>
              <w:left w:type="dxa" w:w="180"/>
              <w:bottom w:type="dxa" w:w="100"/>
              <w:right w:type="dxa" w:w="160"/>
            </w:tcMar>
          </w:tcPr>
          <w:p>
            <w:r>
              <w:rPr>
                <w:rFonts w:ascii="Arial" w:cs="Arial" w:eastAsia="Arial" w:hAnsi="Arial"/>
                <w:color w:val="1A1F36"/>
                <w:sz w:val="20"/>
                <w:szCs w:val="20"/>
              </w:rPr>
              <w:t xml:space="preserve">The Firebase deploy command must be run from the /Backend folder, not the /functions subfolder. Running from /functions will fail to include the correct project configuration.</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A72CC"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NOTE</w:t>
            </w:r>
          </w:p>
        </w:tc>
        <w:tc>
          <w:tcPr>
            <w:tcW w:type="dxa" w:w="8160"/>
            <w:tcBorders>
              <w:top w:val="none" w:color="FFFFFF" w:sz="0"/>
              <w:left w:val="single" w:color="2A72CC" w:sz="4"/>
              <w:bottom w:val="none" w:color="FFFFFF" w:sz="0"/>
              <w:right w:val="none" w:color="FFFFFF" w:sz="0"/>
            </w:tcBorders>
            <w:shd w:fill="EBF3FF" w:val="clear"/>
            <w:tcMar>
              <w:top w:type="dxa" w:w="100"/>
              <w:left w:type="dxa" w:w="180"/>
              <w:bottom w:type="dxa" w:w="100"/>
              <w:right w:type="dxa" w:w="160"/>
            </w:tcMar>
          </w:tcPr>
          <w:p>
            <w:r>
              <w:rPr>
                <w:rFonts w:ascii="Arial" w:cs="Arial" w:eastAsia="Arial" w:hAnsi="Arial"/>
                <w:color w:val="1A1F36"/>
                <w:sz w:val="20"/>
                <w:szCs w:val="20"/>
              </w:rPr>
              <w:t xml:space="preserve">The ElevenLabs SDK import must remain unpinned (do not pin to @1). The package is currently at version 0.x and pinning to a major version will break the import.</w:t>
            </w:r>
          </w:p>
        </w:tc>
      </w:tr>
    </w:tbl>
    <w:p>
      <w:pPr>
        <w:spacing w:after="200" w:before="0"/>
      </w:pPr>
      <w:r>
        <w:t xml:space="preserve"/>
      </w:r>
    </w:p>
    <w:p>
      <w:pPr>
        <w:pStyle w:val="Heading1"/>
        <w:pBdr>
          <w:bottom w:val="single" w:color="2A72CC" w:sz="6" w:space="4"/>
        </w:pBdr>
        <w:spacing w:after="120" w:before="360"/>
      </w:pPr>
      <w:r>
        <w:rPr>
          <w:rFonts w:ascii="Arial" w:cs="Arial" w:eastAsia="Arial" w:hAnsi="Arial"/>
          <w:b/>
          <w:bCs/>
          <w:color w:val="1A1F36"/>
          <w:sz w:val="32"/>
          <w:szCs w:val="32"/>
        </w:rPr>
        <w:t xml:space="preserve">5.  Credits &amp; Grant Information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E" w:sz="1"/>
              <w:left w:val="single" w:color="D0D8EE" w:sz="1"/>
              <w:bottom w:val="single" w:color="D0D8EE" w:sz="1"/>
              <w:right w:val="single" w:color="D0D8EE" w:sz="1"/>
            </w:tcBorders>
            <w:shd w:fill="EBF3FF" w:val="clear"/>
            <w:tcMar>
              <w:top w:type="dxa" w:w="90"/>
              <w:left w:type="dxa" w:w="160"/>
              <w:bottom w:type="dxa" w:w="90"/>
              <w:right w:type="dxa" w:w="160"/>
            </w:tcMar>
          </w:tcPr>
          <w:p>
            <w:r>
              <w:rPr>
                <w:rFonts w:ascii="Arial" w:cs="Arial" w:eastAsia="Arial" w:hAnsi="Arial"/>
                <w:b/>
                <w:bCs/>
                <w:color w:val="2A72CC"/>
                <w:sz w:val="20"/>
                <w:szCs w:val="20"/>
              </w:rPr>
              <w:t xml:space="preserve">Project Lead</w:t>
            </w:r>
          </w:p>
        </w:tc>
        <w:tc>
          <w:tcPr>
            <w:tcW w:type="dxa" w:w="6560"/>
            <w:tcBorders>
              <w:top w:val="single" w:color="D0D8EE" w:sz="1"/>
              <w:left w:val="single" w:color="D0D8EE" w:sz="1"/>
              <w:bottom w:val="single" w:color="D0D8EE" w:sz="1"/>
              <w:right w:val="single" w:color="D0D8EE" w:sz="1"/>
            </w:tcBorders>
            <w:shd w:fill="FFFFFF" w:val="clear"/>
            <w:tcMar>
              <w:top w:type="dxa" w:w="90"/>
              <w:left w:type="dxa" w:w="160"/>
              <w:bottom w:type="dxa" w:w="90"/>
              <w:right w:type="dxa" w:w="160"/>
            </w:tcMar>
          </w:tcPr>
          <w:p>
            <w:r>
              <w:rPr>
                <w:rFonts w:ascii="Arial" w:cs="Arial" w:eastAsia="Arial" w:hAnsi="Arial"/>
                <w:b w:val="false"/>
                <w:bCs w:val="false"/>
                <w:color w:val="1A1F36"/>
                <w:sz w:val="20"/>
                <w:szCs w:val="20"/>
              </w:rPr>
              <w:t xml:space="preserve">Deshjuana Bagley, Associate Dean, HCC Dale Mabry Campus</w:t>
            </w:r>
          </w:p>
        </w:tc>
      </w:tr>
      <w:tr>
        <w:tc>
          <w:tcPr>
            <w:tcW w:type="dxa" w:w="2800"/>
            <w:tcBorders>
              <w:top w:val="single" w:color="D0D8EE" w:sz="1"/>
              <w:left w:val="single" w:color="D0D8EE" w:sz="1"/>
              <w:bottom w:val="single" w:color="D0D8EE" w:sz="1"/>
              <w:right w:val="single" w:color="D0D8EE" w:sz="1"/>
            </w:tcBorders>
            <w:shd w:fill="EBF3FF" w:val="clear"/>
            <w:tcMar>
              <w:top w:type="dxa" w:w="90"/>
              <w:left w:type="dxa" w:w="160"/>
              <w:bottom w:type="dxa" w:w="90"/>
              <w:right w:type="dxa" w:w="160"/>
            </w:tcMar>
          </w:tcPr>
          <w:p>
            <w:r>
              <w:rPr>
                <w:rFonts w:ascii="Arial" w:cs="Arial" w:eastAsia="Arial" w:hAnsi="Arial"/>
                <w:b/>
                <w:bCs/>
                <w:color w:val="2A72CC"/>
                <w:sz w:val="20"/>
                <w:szCs w:val="20"/>
              </w:rPr>
              <w:t xml:space="preserve">Initiative</w:t>
            </w:r>
          </w:p>
        </w:tc>
        <w:tc>
          <w:tcPr>
            <w:tcW w:type="dxa" w:w="6560"/>
            <w:tcBorders>
              <w:top w:val="single" w:color="D0D8EE" w:sz="1"/>
              <w:left w:val="single" w:color="D0D8EE" w:sz="1"/>
              <w:bottom w:val="single" w:color="D0D8EE" w:sz="1"/>
              <w:right w:val="single" w:color="D0D8EE" w:sz="1"/>
            </w:tcBorders>
            <w:shd w:fill="F5F6FA" w:val="clear"/>
            <w:tcMar>
              <w:top w:type="dxa" w:w="90"/>
              <w:left w:type="dxa" w:w="160"/>
              <w:bottom w:type="dxa" w:w="90"/>
              <w:right w:type="dxa" w:w="160"/>
            </w:tcMar>
          </w:tcPr>
          <w:p>
            <w:r>
              <w:rPr>
                <w:rFonts w:ascii="Arial" w:cs="Arial" w:eastAsia="Arial" w:hAnsi="Arial"/>
                <w:b w:val="false"/>
                <w:bCs w:val="false"/>
                <w:color w:val="1A1F36"/>
                <w:sz w:val="20"/>
                <w:szCs w:val="20"/>
              </w:rPr>
              <w:t xml:space="preserve">AI PREP4WORK — AI Innovation Center at Hillsborough Community College</w:t>
            </w:r>
          </w:p>
        </w:tc>
      </w:tr>
      <w:tr>
        <w:tc>
          <w:tcPr>
            <w:tcW w:type="dxa" w:w="2800"/>
            <w:tcBorders>
              <w:top w:val="single" w:color="D0D8EE" w:sz="1"/>
              <w:left w:val="single" w:color="D0D8EE" w:sz="1"/>
              <w:bottom w:val="single" w:color="D0D8EE" w:sz="1"/>
              <w:right w:val="single" w:color="D0D8EE" w:sz="1"/>
            </w:tcBorders>
            <w:shd w:fill="EBF3FF" w:val="clear"/>
            <w:tcMar>
              <w:top w:type="dxa" w:w="90"/>
              <w:left w:type="dxa" w:w="160"/>
              <w:bottom w:type="dxa" w:w="90"/>
              <w:right w:type="dxa" w:w="160"/>
            </w:tcMar>
          </w:tcPr>
          <w:p>
            <w:r>
              <w:rPr>
                <w:rFonts w:ascii="Arial" w:cs="Arial" w:eastAsia="Arial" w:hAnsi="Arial"/>
                <w:b/>
                <w:bCs/>
                <w:color w:val="2A72CC"/>
                <w:sz w:val="20"/>
                <w:szCs w:val="20"/>
              </w:rPr>
              <w:t xml:space="preserve">Funding</w:t>
            </w:r>
          </w:p>
        </w:tc>
        <w:tc>
          <w:tcPr>
            <w:tcW w:type="dxa" w:w="6560"/>
            <w:tcBorders>
              <w:top w:val="single" w:color="D0D8EE" w:sz="1"/>
              <w:left w:val="single" w:color="D0D8EE" w:sz="1"/>
              <w:bottom w:val="single" w:color="D0D8EE" w:sz="1"/>
              <w:right w:val="single" w:color="D0D8EE" w:sz="1"/>
            </w:tcBorders>
            <w:shd w:fill="FFFFFF" w:val="clear"/>
            <w:tcMar>
              <w:top w:type="dxa" w:w="90"/>
              <w:left w:type="dxa" w:w="160"/>
              <w:bottom w:type="dxa" w:w="90"/>
              <w:right w:type="dxa" w:w="160"/>
            </w:tcMar>
          </w:tcPr>
          <w:p>
            <w:r>
              <w:rPr>
                <w:rFonts w:ascii="Arial" w:cs="Arial" w:eastAsia="Arial" w:hAnsi="Arial"/>
                <w:b w:val="false"/>
                <w:bCs w:val="false"/>
                <w:color w:val="1A1F36"/>
                <w:sz w:val="20"/>
                <w:szCs w:val="20"/>
              </w:rPr>
              <w:t xml:space="preserve">FIPSE Grant — $1.293M, four-year award</w:t>
            </w:r>
          </w:p>
        </w:tc>
      </w:tr>
      <w:tr>
        <w:tc>
          <w:tcPr>
            <w:tcW w:type="dxa" w:w="2800"/>
            <w:tcBorders>
              <w:top w:val="single" w:color="D0D8EE" w:sz="1"/>
              <w:left w:val="single" w:color="D0D8EE" w:sz="1"/>
              <w:bottom w:val="single" w:color="D0D8EE" w:sz="1"/>
              <w:right w:val="single" w:color="D0D8EE" w:sz="1"/>
            </w:tcBorders>
            <w:shd w:fill="EBF3FF" w:val="clear"/>
            <w:tcMar>
              <w:top w:type="dxa" w:w="90"/>
              <w:left w:type="dxa" w:w="160"/>
              <w:bottom w:type="dxa" w:w="90"/>
              <w:right w:type="dxa" w:w="160"/>
            </w:tcMar>
          </w:tcPr>
          <w:p>
            <w:r>
              <w:rPr>
                <w:rFonts w:ascii="Arial" w:cs="Arial" w:eastAsia="Arial" w:hAnsi="Arial"/>
                <w:b/>
                <w:bCs/>
                <w:color w:val="2A72CC"/>
                <w:sz w:val="20"/>
                <w:szCs w:val="20"/>
              </w:rPr>
              <w:t xml:space="preserve">Grant Program</w:t>
            </w:r>
          </w:p>
        </w:tc>
        <w:tc>
          <w:tcPr>
            <w:tcW w:type="dxa" w:w="6560"/>
            <w:tcBorders>
              <w:top w:val="single" w:color="D0D8EE" w:sz="1"/>
              <w:left w:val="single" w:color="D0D8EE" w:sz="1"/>
              <w:bottom w:val="single" w:color="D0D8EE" w:sz="1"/>
              <w:right w:val="single" w:color="D0D8EE" w:sz="1"/>
            </w:tcBorders>
            <w:shd w:fill="F5F6FA" w:val="clear"/>
            <w:tcMar>
              <w:top w:type="dxa" w:w="90"/>
              <w:left w:type="dxa" w:w="160"/>
              <w:bottom w:type="dxa" w:w="90"/>
              <w:right w:type="dxa" w:w="160"/>
            </w:tcMar>
          </w:tcPr>
          <w:p>
            <w:r>
              <w:rPr>
                <w:rFonts w:ascii="Arial" w:cs="Arial" w:eastAsia="Arial" w:hAnsi="Arial"/>
                <w:b w:val="false"/>
                <w:bCs w:val="false"/>
                <w:color w:val="1A1F36"/>
                <w:sz w:val="20"/>
                <w:szCs w:val="20"/>
              </w:rPr>
              <w:t xml:space="preserve">Fund for the Improvement of Postsecondary Education (U.S. Dept. of Education)</w:t>
            </w:r>
          </w:p>
        </w:tc>
      </w:tr>
      <w:tr>
        <w:tc>
          <w:tcPr>
            <w:tcW w:type="dxa" w:w="2800"/>
            <w:tcBorders>
              <w:top w:val="single" w:color="D0D8EE" w:sz="1"/>
              <w:left w:val="single" w:color="D0D8EE" w:sz="1"/>
              <w:bottom w:val="single" w:color="D0D8EE" w:sz="1"/>
              <w:right w:val="single" w:color="D0D8EE" w:sz="1"/>
            </w:tcBorders>
            <w:shd w:fill="EBF3FF" w:val="clear"/>
            <w:tcMar>
              <w:top w:type="dxa" w:w="90"/>
              <w:left w:type="dxa" w:w="160"/>
              <w:bottom w:type="dxa" w:w="90"/>
              <w:right w:type="dxa" w:w="160"/>
            </w:tcMar>
          </w:tcPr>
          <w:p>
            <w:r>
              <w:rPr>
                <w:rFonts w:ascii="Arial" w:cs="Arial" w:eastAsia="Arial" w:hAnsi="Arial"/>
                <w:b/>
                <w:bCs/>
                <w:color w:val="2A72CC"/>
                <w:sz w:val="20"/>
                <w:szCs w:val="20"/>
              </w:rPr>
              <w:t xml:space="preserve">Campus</w:t>
            </w:r>
          </w:p>
        </w:tc>
        <w:tc>
          <w:tcPr>
            <w:tcW w:type="dxa" w:w="6560"/>
            <w:tcBorders>
              <w:top w:val="single" w:color="D0D8EE" w:sz="1"/>
              <w:left w:val="single" w:color="D0D8EE" w:sz="1"/>
              <w:bottom w:val="single" w:color="D0D8EE" w:sz="1"/>
              <w:right w:val="single" w:color="D0D8EE" w:sz="1"/>
            </w:tcBorders>
            <w:shd w:fill="FFFFFF" w:val="clear"/>
            <w:tcMar>
              <w:top w:type="dxa" w:w="90"/>
              <w:left w:type="dxa" w:w="160"/>
              <w:bottom w:type="dxa" w:w="90"/>
              <w:right w:type="dxa" w:w="160"/>
            </w:tcMar>
          </w:tcPr>
          <w:p>
            <w:r>
              <w:rPr>
                <w:rFonts w:ascii="Arial" w:cs="Arial" w:eastAsia="Arial" w:hAnsi="Arial"/>
                <w:b w:val="false"/>
                <w:bCs w:val="false"/>
                <w:color w:val="1A1F36"/>
                <w:sz w:val="20"/>
                <w:szCs w:val="20"/>
              </w:rPr>
              <w:t xml:space="preserve">Dale Mabry Campus, Hillsborough Community College, Tampa, Florida</w:t>
            </w:r>
          </w:p>
        </w:tc>
      </w:tr>
      <w:tr>
        <w:tc>
          <w:tcPr>
            <w:tcW w:type="dxa" w:w="2800"/>
            <w:tcBorders>
              <w:top w:val="single" w:color="D0D8EE" w:sz="1"/>
              <w:left w:val="single" w:color="D0D8EE" w:sz="1"/>
              <w:bottom w:val="single" w:color="D0D8EE" w:sz="1"/>
              <w:right w:val="single" w:color="D0D8EE" w:sz="1"/>
            </w:tcBorders>
            <w:shd w:fill="EBF3FF" w:val="clear"/>
            <w:tcMar>
              <w:top w:type="dxa" w:w="90"/>
              <w:left w:type="dxa" w:w="160"/>
              <w:bottom w:type="dxa" w:w="90"/>
              <w:right w:type="dxa" w:w="160"/>
            </w:tcMar>
          </w:tcPr>
          <w:p>
            <w:r>
              <w:rPr>
                <w:rFonts w:ascii="Arial" w:cs="Arial" w:eastAsia="Arial" w:hAnsi="Arial"/>
                <w:b/>
                <w:bCs/>
                <w:color w:val="2A72CC"/>
                <w:sz w:val="20"/>
                <w:szCs w:val="20"/>
              </w:rPr>
              <w:t xml:space="preserve">Version</w:t>
            </w:r>
          </w:p>
        </w:tc>
        <w:tc>
          <w:tcPr>
            <w:tcW w:type="dxa" w:w="6560"/>
            <w:tcBorders>
              <w:top w:val="single" w:color="D0D8EE" w:sz="1"/>
              <w:left w:val="single" w:color="D0D8EE" w:sz="1"/>
              <w:bottom w:val="single" w:color="D0D8EE" w:sz="1"/>
              <w:right w:val="single" w:color="D0D8EE" w:sz="1"/>
            </w:tcBorders>
            <w:shd w:fill="F5F6FA" w:val="clear"/>
            <w:tcMar>
              <w:top w:type="dxa" w:w="90"/>
              <w:left w:type="dxa" w:w="160"/>
              <w:bottom w:type="dxa" w:w="90"/>
              <w:right w:type="dxa" w:w="160"/>
            </w:tcMar>
          </w:tcPr>
          <w:p>
            <w:r>
              <w:rPr>
                <w:rFonts w:ascii="Arial" w:cs="Arial" w:eastAsia="Arial" w:hAnsi="Arial"/>
                <w:b w:val="false"/>
                <w:bCs w:val="false"/>
                <w:color w:val="1A1F36"/>
                <w:sz w:val="20"/>
                <w:szCs w:val="20"/>
              </w:rPr>
              <w:t xml:space="preserve">v7.0 — March 2026</w:t>
            </w:r>
          </w:p>
        </w:tc>
      </w:tr>
      <w:tr>
        <w:tc>
          <w:tcPr>
            <w:tcW w:type="dxa" w:w="2800"/>
            <w:tcBorders>
              <w:top w:val="single" w:color="D0D8EE" w:sz="1"/>
              <w:left w:val="single" w:color="D0D8EE" w:sz="1"/>
              <w:bottom w:val="single" w:color="D0D8EE" w:sz="1"/>
              <w:right w:val="single" w:color="D0D8EE" w:sz="1"/>
            </w:tcBorders>
            <w:shd w:fill="EBF3FF" w:val="clear"/>
            <w:tcMar>
              <w:top w:type="dxa" w:w="90"/>
              <w:left w:type="dxa" w:w="160"/>
              <w:bottom w:type="dxa" w:w="90"/>
              <w:right w:type="dxa" w:w="160"/>
            </w:tcMar>
          </w:tcPr>
          <w:p>
            <w:r>
              <w:rPr>
                <w:rFonts w:ascii="Arial" w:cs="Arial" w:eastAsia="Arial" w:hAnsi="Arial"/>
                <w:b/>
                <w:bCs/>
                <w:color w:val="2A72CC"/>
                <w:sz w:val="20"/>
                <w:szCs w:val="20"/>
              </w:rPr>
              <w:t xml:space="preserve">Repository</w:t>
            </w:r>
          </w:p>
        </w:tc>
        <w:tc>
          <w:tcPr>
            <w:tcW w:type="dxa" w:w="6560"/>
            <w:tcBorders>
              <w:top w:val="single" w:color="D0D8EE" w:sz="1"/>
              <w:left w:val="single" w:color="D0D8EE" w:sz="1"/>
              <w:bottom w:val="single" w:color="D0D8EE" w:sz="1"/>
              <w:right w:val="single" w:color="D0D8EE" w:sz="1"/>
            </w:tcBorders>
            <w:shd w:fill="FFFFFF" w:val="clear"/>
            <w:tcMar>
              <w:top w:type="dxa" w:w="90"/>
              <w:left w:type="dxa" w:w="160"/>
              <w:bottom w:type="dxa" w:w="90"/>
              <w:right w:type="dxa" w:w="160"/>
            </w:tcMar>
          </w:tcPr>
          <w:p>
            <w:r>
              <w:rPr>
                <w:rFonts w:ascii="Arial" w:cs="Arial" w:eastAsia="Arial" w:hAnsi="Arial"/>
                <w:b w:val="false"/>
                <w:bCs w:val="false"/>
                <w:color w:val="1A1F36"/>
                <w:sz w:val="20"/>
                <w:szCs w:val="20"/>
              </w:rPr>
              <w:t xml:space="preserve">techplayzone.github.io</w:t>
            </w:r>
          </w:p>
        </w:tc>
      </w:tr>
    </w:tbl>
    <w:p>
      <w:pPr>
        <w:spacing w:after="200" w:before="0"/>
      </w:pPr>
      <w:r>
        <w:t xml:space="preserve"/>
      </w:r>
    </w:p>
    <w:p>
      <w:pPr>
        <w:pBdr>
          <w:top w:val="single" w:color="E2E8F0" w:sz="4" w:space="8"/>
        </w:pBdr>
        <w:spacing w:after="0" w:before="200"/>
        <w:jc w:val="center"/>
      </w:pPr>
      <w:r>
        <w:rPr>
          <w:rFonts w:ascii="Arial" w:cs="Arial" w:eastAsia="Arial" w:hAnsi="Arial"/>
          <w:i/>
          <w:iCs/>
          <w:color w:val="4A5580"/>
          <w:sz w:val="18"/>
          <w:szCs w:val="18"/>
        </w:rPr>
        <w:t xml:space="preserve">AI in My Field  •  Hillsborough Community College AI Innovation Center  •  Supported by FIPSE Grant  •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F36"/>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A72CC"/>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b2d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2026-03-26T03:15:04.946Z</dcterms:created>
  <dcterms:modified xsi:type="dcterms:W3CDTF">2026-03-26T03:15:04.946Z</dcterms:modified>
</cp:coreProperties>
</file>

<file path=docProps/custom.xml><?xml version="1.0" encoding="utf-8"?>
<Properties xmlns="http://schemas.openxmlformats.org/officeDocument/2006/custom-properties" xmlns:vt="http://schemas.openxmlformats.org/officeDocument/2006/docPropsVTypes"/>
</file>