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F">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0">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2">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3">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enhance the security stance and further safeguard sensitive data at Botium Toys, several controls need to be put in place including: Least Privilege, disaster recovery strategies, password protocols, division of responsibilities, an Intrusion Detection System (IDS), continuous legacy system upkeep, encryption, and a password management framework.</w:t>
      </w:r>
    </w:p>
    <w:p w:rsidR="00000000" w:rsidDel="00000000" w:rsidP="00000000" w:rsidRDefault="00000000" w:rsidRPr="00000000" w14:paraId="00000074">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bridging compliance shortcomings, Botium Toys should adopt measures like Least Privilege, division of responsibilities, and encryption. Additionally, the company needs to accurately categorize assets, to pinpoint any further controls that might be necessary for elevating their security stance and offering better protection to sensitive data.</w:t>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