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3400" w:line="144" w:lineRule="auto"/>
        <w:ind w:left="990" w:firstLine="0"/>
        <w:rPr>
          <w:rFonts w:ascii="Lexend" w:cs="Lexend" w:eastAsia="Lexend" w:hAnsi="Lexend"/>
          <w:b w:val="1"/>
          <w:sz w:val="100"/>
          <w:szCs w:val="100"/>
        </w:rPr>
      </w:pPr>
      <w:bookmarkStart w:colFirst="0" w:colLast="0" w:name="_473aj3pg8rqi" w:id="0"/>
      <w:bookmarkEnd w:id="0"/>
      <w:r w:rsidDel="00000000" w:rsidR="00000000" w:rsidRPr="00000000">
        <w:rPr>
          <w:rFonts w:ascii="Lexend" w:cs="Lexend" w:eastAsia="Lexend" w:hAnsi="Lexend"/>
          <w:b w:val="1"/>
          <w:sz w:val="100"/>
          <w:szCs w:val="100"/>
          <w:rtl w:val="0"/>
        </w:rPr>
        <w:t xml:space="preserve">Otakurino</w:t>
      </w:r>
    </w:p>
    <w:p w:rsidR="00000000" w:rsidDel="00000000" w:rsidP="00000000" w:rsidRDefault="00000000" w:rsidRPr="00000000" w14:paraId="00000002">
      <w:pPr>
        <w:pStyle w:val="Subtitle"/>
        <w:spacing w:after="200" w:before="400" w:line="240" w:lineRule="auto"/>
        <w:ind w:left="1080" w:firstLine="0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yxty3nomtng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Progress Report #2</w:t>
      </w:r>
    </w:p>
    <w:p w:rsidR="00000000" w:rsidDel="00000000" w:rsidP="00000000" w:rsidRDefault="00000000" w:rsidRPr="00000000" w14:paraId="00000003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 ultimate one-stop app for anime and manga fans, offering streaming, manga reading, and merch integration all in one place.</w:t>
      </w:r>
    </w:p>
    <w:p w:rsidR="00000000" w:rsidDel="00000000" w:rsidP="00000000" w:rsidRDefault="00000000" w:rsidRPr="00000000" w14:paraId="00000004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200" w:before="400" w:line="240" w:lineRule="auto"/>
        <w:ind w:left="1080" w:firstLine="0"/>
        <w:rPr>
          <w:b w:val="1"/>
          <w:color w:val="3c78d8"/>
          <w:sz w:val="24"/>
          <w:szCs w:val="24"/>
        </w:rPr>
      </w:pPr>
      <w:bookmarkStart w:colFirst="0" w:colLast="0" w:name="_w6x211vk7g6q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Made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Diego II Pinlac | 300389376</w:t>
      </w:r>
    </w:p>
    <w:p w:rsidR="00000000" w:rsidDel="00000000" w:rsidP="00000000" w:rsidRDefault="00000000" w:rsidRPr="00000000" w14:paraId="00000008">
      <w:pPr>
        <w:ind w:left="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200" w:before="400" w:lineRule="auto"/>
        <w:ind w:left="1080" w:firstLine="0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v3aztrf1kd1g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Professor</w:t>
      </w:r>
    </w:p>
    <w:p w:rsidR="00000000" w:rsidDel="00000000" w:rsidP="00000000" w:rsidRDefault="00000000" w:rsidRPr="00000000" w14:paraId="0000000A">
      <w:pPr>
        <w:spacing w:line="276" w:lineRule="auto"/>
        <w:ind w:left="1080" w:right="24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Padmapriya Arasanipalai Kandhadai</w:t>
      </w:r>
    </w:p>
    <w:p w:rsidR="00000000" w:rsidDel="00000000" w:rsidP="00000000" w:rsidRDefault="00000000" w:rsidRPr="00000000" w14:paraId="0000000B">
      <w:pPr>
        <w:pStyle w:val="Subtitle"/>
        <w:spacing w:after="200" w:before="400" w:lineRule="auto"/>
        <w:ind w:left="1080" w:firstLine="0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np9s3d7z2hnw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Course</w:t>
      </w:r>
    </w:p>
    <w:p w:rsidR="00000000" w:rsidDel="00000000" w:rsidP="00000000" w:rsidRDefault="00000000" w:rsidRPr="00000000" w14:paraId="0000000C">
      <w:pPr>
        <w:spacing w:line="276" w:lineRule="auto"/>
        <w:ind w:left="1080" w:right="1176.666666666665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CSIS 3375-001 : UX Design in Web &amp; Mobile App</w:t>
      </w:r>
    </w:p>
    <w:p w:rsidR="00000000" w:rsidDel="00000000" w:rsidP="00000000" w:rsidRDefault="00000000" w:rsidRPr="00000000" w14:paraId="0000000D">
      <w:pPr>
        <w:spacing w:line="276" w:lineRule="auto"/>
        <w:ind w:right="24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1080" w:right="243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Otakurino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080" w:right="2430" w:firstLine="0"/>
        <w:rPr>
          <w:sz w:val="24"/>
          <w:szCs w:val="24"/>
        </w:rPr>
        <w:sectPr>
          <w:pgSz w:h="15840" w:w="12240" w:orient="portrait"/>
          <w:pgMar w:bottom="1440" w:top="720" w:left="1440" w:right="1440" w:header="720" w:footer="720"/>
          <w:pgNumType w:start="1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Figma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line="240" w:lineRule="auto"/>
        <w:rPr>
          <w:rFonts w:ascii="Montserrat" w:cs="Montserrat" w:eastAsia="Montserrat" w:hAnsi="Montserrat"/>
          <w:b w:val="1"/>
          <w:color w:val="1155cc"/>
          <w:sz w:val="28"/>
          <w:szCs w:val="28"/>
        </w:rPr>
      </w:pPr>
      <w:bookmarkStart w:colFirst="0" w:colLast="0" w:name="_7ly3ckyh5gs2" w:id="5"/>
      <w:bookmarkEnd w:id="5"/>
      <w:r w:rsidDel="00000000" w:rsidR="00000000" w:rsidRPr="00000000">
        <w:rPr>
          <w:rFonts w:ascii="Lexend" w:cs="Lexend" w:eastAsia="Lexend" w:hAnsi="Lexend"/>
          <w:b w:val="1"/>
          <w:sz w:val="54"/>
          <w:szCs w:val="54"/>
          <w:rtl w:val="0"/>
        </w:rPr>
        <w:t xml:space="preserve">Work Logs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6d9eeb" w:space="0" w:sz="8" w:val="single"/>
          <w:left w:color="6d9eeb" w:space="0" w:sz="8" w:val="single"/>
          <w:bottom w:color="6d9eeb" w:space="0" w:sz="8" w:val="single"/>
          <w:right w:color="6d9eeb" w:space="0" w:sz="8" w:val="single"/>
          <w:insideH w:color="6d9eeb" w:space="0" w:sz="8" w:val="single"/>
          <w:insideV w:color="6d9eeb" w:space="0" w:sz="8" w:val="single"/>
        </w:tblBorders>
        <w:tblLayout w:type="fixed"/>
        <w:tblLook w:val="0600"/>
      </w:tblPr>
      <w:tblGrid>
        <w:gridCol w:w="1920"/>
        <w:gridCol w:w="2475"/>
        <w:gridCol w:w="4965"/>
        <w:tblGridChange w:id="0">
          <w:tblGrid>
            <w:gridCol w:w="1920"/>
            <w:gridCol w:w="247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407c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407c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Number of Hours</w:t>
            </w:r>
          </w:p>
        </w:tc>
        <w:tc>
          <w:tcPr>
            <w:shd w:fill="407c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Description of Work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="27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jc w:val="both"/>
        <w:rPr>
          <w:rFonts w:ascii="Lexend" w:cs="Lexend" w:eastAsia="Lexend" w:hAnsi="Lexend"/>
          <w:b w:val="1"/>
          <w:sz w:val="54"/>
          <w:szCs w:val="54"/>
        </w:rPr>
      </w:pPr>
      <w:bookmarkStart w:colFirst="0" w:colLast="0" w:name="_ay6ykwbdkiok" w:id="6"/>
      <w:bookmarkEnd w:id="6"/>
      <w:r w:rsidDel="00000000" w:rsidR="00000000" w:rsidRPr="00000000">
        <w:rPr>
          <w:rFonts w:ascii="Lexend" w:cs="Lexend" w:eastAsia="Lexend" w:hAnsi="Lexend"/>
          <w:b w:val="1"/>
          <w:sz w:val="54"/>
          <w:szCs w:val="54"/>
          <w:rtl w:val="0"/>
        </w:rPr>
        <w:t xml:space="preserve">Closing and References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This section acknowledges any individuals or institutions that contributed to the development of this project. It also provides a list of references used throughout the proposal, ensuring proper citation of relevant literature, industry reports, and sources that support our research and analysis.</w:t>
      </w:r>
    </w:p>
    <w:p w:rsidR="00000000" w:rsidDel="00000000" w:rsidP="00000000" w:rsidRDefault="00000000" w:rsidRPr="00000000" w14:paraId="00000032">
      <w:pPr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Otakurino Group 9.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Otakurino visual analytics, 2025</w:t>
      </w:r>
      <w:r w:rsidDel="00000000" w:rsidR="00000000" w:rsidRPr="00000000">
        <w:rPr>
          <w:sz w:val="24"/>
          <w:szCs w:val="24"/>
          <w:rtl w:val="0"/>
        </w:rPr>
        <w:t xml:space="preserve">. Canva.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https://www.canva.com/design/DAGhwCBPJ74/44QxuGjcGrDGzyrHX7KNqA/view?utm_content=DAGhwCBPJ74&amp;utm_campaign=designshare&amp;utm_medium=link2&amp;utm_source=uniquelinks&amp;utlId=h6248f9e2b6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00" w:before="3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Otakurino Group 9.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Anime and Manga Experience Survey (Responses) </w:t>
      </w:r>
      <w:r w:rsidDel="00000000" w:rsidR="00000000" w:rsidRPr="00000000">
        <w:rPr>
          <w:sz w:val="24"/>
          <w:szCs w:val="24"/>
          <w:rtl w:val="0"/>
        </w:rPr>
        <w:t xml:space="preserve">[Unpublished raw data]. Google Sheets.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https://docs.google.com/spreadsheets/d/1WgXkCmwhWiTeb2UyB5uPcZyuzVxSw9TOuUfh8bQzSjM/edit?usp=drive_link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WgXkCmwhWiTeb2UyB5uPcZyuzVxSw9TOuUfh8bQzSjM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echSavvyCoder/W25_3375_S1_G9_Otakurino.git" TargetMode="External"/><Relationship Id="rId7" Type="http://schemas.openxmlformats.org/officeDocument/2006/relationships/hyperlink" Target="https://www.figma.com/design/A0Q3pAqiHAUZnPvhe5HVPP/W25_S1_G9_Otakurino?node-id=0-1&amp;t=dW35uPn0gfF21aN6-1" TargetMode="External"/><Relationship Id="rId8" Type="http://schemas.openxmlformats.org/officeDocument/2006/relationships/hyperlink" Target="https://www.canva.com/design/DAGhwCBPJ74/44QxuGjcGrDGzyrHX7KNqA/view?utm_content=DAGhwCBPJ74&amp;utm_campaign=designshare&amp;utm_medium=link2&amp;utm_source=uniquelinks&amp;utlId=h6248f9e2b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