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b/>
          <w:bCs/>
          <w:color w:val="0F2B6B"/>
          <w:sz w:val="56"/>
          <w:szCs w:val="56"/>
        </w:rPr>
        <w:t xml:space="preserve">Frontend Overview</w:t>
      </w:r>
    </w:p>
    <w:p>
      <w:pPr>
        <w:spacing w:after="160" w:before="0"/>
        <w:jc w:val="center"/>
      </w:pPr>
      <w:r>
        <w:rPr>
          <w:color w:val="1E4DB7"/>
          <w:sz w:val="44"/>
          <w:szCs w:val="44"/>
        </w:rPr>
        <w:t xml:space="preserve">User Guide</w:t>
      </w:r>
    </w:p>
    <w:p>
      <w:pPr>
        <w:spacing w:after="2880" w:before="0"/>
        <w:jc w:val="center"/>
      </w:pPr>
      <w:r>
        <w:rPr>
          <w:i/>
          <w:iCs/>
          <w:color w:val="4B5563"/>
          <w:sz w:val="22"/>
          <w:szCs w:val="22"/>
        </w:rPr>
        <w:t xml:space="preserve">Comprehensive reference for all tabs, KPI cards, heatmaps, forecasts, related metrics, and more.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400"/>
      </w:pPr>
      <w:r>
        <w:t xml:space="preserve">1. What is Frontend Overview?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Frontend Overview compares and contrasts every RUM-instrumented web application in your Dynatrace tenant. Instead of investigating one app at a time, you see the entire fleet side by side — so the outliers are immediately obvious.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Each tab answers a different question: Executive Summary scores every app, Performance Overview shows Core Web Vitals across the fleet, Errors &amp; Reliability ranks by failure rate, and so on. Use the web app filter in the header to scope any tab to a single application.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Every KPI card also has a rich dropdown menu — click the metric label to open a heatmap, launch a forecast, see related metrics, or jump directly into Dynatrace for deeper investigation.</w:t>
      </w:r>
    </w:p>
    <w:p>
      <w:pPr>
        <w:pStyle w:val="Heading1"/>
        <w:spacing w:after="160" w:before="400"/>
      </w:pPr>
      <w:r>
        <w:t xml:space="preserve">2. Header Controls</w:t>
      </w:r>
    </w:p>
    <w:p>
      <w:pPr>
        <w:pStyle w:val="Heading2"/>
        <w:spacing w:after="100" w:before="280"/>
      </w:pPr>
      <w:r>
        <w:t xml:space="preserve">2.1  Web App Filter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Type an app name to scope all tabs to that application. Leave blank for the full fleet-wide view. Multiple apps can be selected.</w:t>
      </w:r>
    </w:p>
    <w:p>
      <w:pPr>
        <w:pStyle w:val="Heading2"/>
        <w:spacing w:after="100" w:before="280"/>
      </w:pPr>
      <w:r>
        <w:t xml:space="preserve">2.2  Timeframe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Controls the data window for every query in the app. Options range from 2 hours to 90 days. The current timeframe drives KPI cards, heatmaps, sparklines, and forecasts.</w:t>
      </w:r>
    </w:p>
    <w:p>
      <w:pPr>
        <w:pStyle w:val="Heading2"/>
        <w:spacing w:after="100" w:before="280"/>
      </w:pPr>
      <w:r>
        <w:t xml:space="preserve">2.3  Time-Lapse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Replay activity bucket-by-bucket across the selected timeframe. Rank tables animate with movement indicators — green/red flicker when apps change position. Useful for spotting exactly when a ranking shift happened.</w:t>
      </w:r>
    </w:p>
    <w:p>
      <w:pPr>
        <w:pStyle w:val="Heading2"/>
        <w:spacing w:after="100" w:before="280"/>
      </w:pPr>
      <w:r>
        <w:t xml:space="preserve">2.4  Metric-Stream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Auto-refresh cadence for live monitoring. Set to 0 for manual refresh only; set to 300000 ms (5 min) for a hands-free incident watch view.</w:t>
      </w:r>
    </w:p>
    <w:p>
      <w:pPr>
        <w:pStyle w:val="Heading2"/>
        <w:spacing w:after="100" w:before="280"/>
      </w:pPr>
      <w:r>
        <w:t xml:space="preserve">2.5  AI Assist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Context-aware analysis for the active tab. Streams a summary, color-coded insights, and prioritized recommendations. Content adapts to whatever tab is currently open.</w:t>
      </w:r>
    </w:p>
    <w:p>
      <w:pPr>
        <w:pStyle w:val="Heading2"/>
        <w:spacing w:after="100" w:before="280"/>
      </w:pPr>
      <w:r>
        <w:t xml:space="preserve">2.6  Settings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Show/hide individual tabs, adjust performance budget thresholds, configure grade weights, set your industry for benchmark comparisons, and choose role presets that toggle multiple tabs at once.</w:t>
      </w:r>
    </w:p>
    <w:p>
      <w:pPr>
        <w:pStyle w:val="Heading1"/>
        <w:spacing w:after="160" w:before="400"/>
      </w:pPr>
      <w:r>
        <w:t xml:space="preserve">3. KPI Cards &amp; Metric Dropdown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KPI cards appear across multiple tabs to show per-metric values for each web application. Each card shows the current value, a sparkline trend, and a color-coded status indicator. Click the metric label to open the metric dropdown.</w:t>
      </w:r>
    </w:p>
    <w:p>
      <w:pPr>
        <w:pStyle w:val="Heading2"/>
        <w:spacing w:after="100" w:before="280"/>
      </w:pPr>
      <w:r>
        <w:t xml:space="preserve">3.1  Metric Dropdown Options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Open with…</w:t>
      </w:r>
      <w:r>
        <w:rPr>
          <w:color w:val="1F2937"/>
          <w:sz w:val="22"/>
          <w:szCs w:val="22"/>
        </w:rPr>
        <w:t xml:space="preserve"> — launches the relevant Dynatrace app (Frontend, Sessions, Notebooks, Dashboards) with the metric pre-selected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Heatmap</w:t>
      </w:r>
      <w:r>
        <w:rPr>
          <w:color w:val="1F2937"/>
          <w:sz w:val="22"/>
          <w:szCs w:val="22"/>
        </w:rPr>
        <w:t xml:space="preserve"> — opens a day-of-week × hour-of-day heatmap for this metric, showing when it runs worst across 7 days of history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Forecast</w:t>
      </w:r>
      <w:r>
        <w:rPr>
          <w:color w:val="1F2937"/>
          <w:sz w:val="22"/>
          <w:szCs w:val="22"/>
        </w:rPr>
        <w:t xml:space="preserve"> — projects this metric forward using 6 forecasting algorithms with confidence bands and a full deep-dive analysis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Related Metrics</w:t>
      </w:r>
      <w:r>
        <w:rPr>
          <w:color w:val="1F2937"/>
          <w:sz w:val="22"/>
          <w:szCs w:val="22"/>
        </w:rPr>
        <w:t xml:space="preserve"> — finds other metrics in the fleet that correlate with this one (Pearson correlation) — useful for identifying root causes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Dimension</w:t>
      </w:r>
      <w:r>
        <w:rPr>
          <w:color w:val="1F2937"/>
          <w:sz w:val="22"/>
          <w:szCs w:val="22"/>
        </w:rPr>
        <w:t xml:space="preserve"> — breaks down the metric by geo, browser, OS, or user action with pie charts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Baseline Compare</w:t>
      </w:r>
      <w:r>
        <w:rPr>
          <w:color w:val="1F2937"/>
          <w:sz w:val="22"/>
          <w:szCs w:val="22"/>
        </w:rPr>
        <w:t xml:space="preserve"> — overlays the current period against the previous equivalent period to show regression or improvement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Cost Impact</w:t>
      </w:r>
      <w:r>
        <w:rPr>
          <w:color w:val="1F2937"/>
          <w:sz w:val="22"/>
          <w:szCs w:val="22"/>
        </w:rPr>
        <w:t xml:space="preserve"> — estimates what this metric’s degradation is costing in RUM event volume or infrastructure overhead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Diagnose</w:t>
      </w:r>
      <w:r>
        <w:rPr>
          <w:color w:val="1F2937"/>
          <w:sz w:val="22"/>
          <w:szCs w:val="22"/>
        </w:rPr>
        <w:t xml:space="preserve"> — runs structured checks and surfaces CRITICAL / REVIEW / OK findings with recommended next steps</w:t>
      </w:r>
    </w:p>
    <w:p>
      <w:pPr>
        <w:pStyle w:val="Heading1"/>
        <w:spacing w:after="160" w:before="400"/>
      </w:pPr>
      <w:r>
        <w:t xml:space="preserve">4. KPI Heatmap (per metric)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The Heatmap option on any KPI card opens a day-of-week × hour-of-day calendar scoped to that single metric. It answers “when does this metric run worst?” across 7 days of history.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Values are shown in the metric’s native unit (ms, %, count). The color scale is relative to that metric’s own history — not a fleet-wide Z-score.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Hover any cell to see the exact average value for that day × hour slot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Best and worst hour / day are highlighted with a ring for quick identification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Values are aggregated using hourly bins across all matching days in the 7-day window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Empty cells (no data) appear as neutral — the metric had no events in that slot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Supported metric types: Core Web Vitals (LCP, INP, CLS, TTFB), Error Rate, Session Duration, and action/session counts.</w:t>
      </w:r>
    </w:p>
    <w:p>
      <w:pPr>
        <w:pStyle w:val="Heading1"/>
        <w:spacing w:after="160" w:before="400"/>
      </w:pPr>
      <w:r>
        <w:t xml:space="preserve">5. Forecast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The Forecast option projects any KPI metric forward from the current baseline. Six algorithms are available — select the one that fits the metric’s behavior pattern.</w:t>
      </w:r>
    </w:p>
    <w:p>
      <w:pPr>
        <w:pStyle w:val="Heading2"/>
        <w:spacing w:after="100" w:before="280"/>
      </w:pPr>
      <w:r>
        <w:t xml:space="preserve">5.1  Forecasting Algorithms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Linear</w:t>
      </w:r>
      <w:r>
        <w:rPr>
          <w:color w:val="1F2937"/>
          <w:sz w:val="22"/>
          <w:szCs w:val="22"/>
        </w:rPr>
        <w:t xml:space="preserve"> — straight-line extrapolation. Best for steadily trending metrics.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Holt-Winters</w:t>
      </w:r>
      <w:r>
        <w:rPr>
          <w:color w:val="1F2937"/>
          <w:sz w:val="22"/>
          <w:szCs w:val="22"/>
        </w:rPr>
        <w:t xml:space="preserve"> — double exponential smoothing; tracks level and trend, adapts to acceleration/deceleration.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Triple Exp</w:t>
      </w:r>
      <w:r>
        <w:rPr>
          <w:color w:val="1F2937"/>
          <w:sz w:val="22"/>
          <w:szCs w:val="22"/>
        </w:rPr>
        <w:t xml:space="preserve"> — triple exponential smoothing with seasonality. Good for repeating daily/weekly patterns.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Prophet</w:t>
      </w:r>
      <w:r>
        <w:rPr>
          <w:color w:val="1F2937"/>
          <w:sz w:val="22"/>
          <w:szCs w:val="22"/>
        </w:rPr>
        <w:t xml:space="preserve"> — piecewise trend with changepoint detection. Handles sudden baseline shifts well.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ARIMA</w:t>
      </w:r>
      <w:r>
        <w:rPr>
          <w:color w:val="1F2937"/>
          <w:sz w:val="22"/>
          <w:szCs w:val="22"/>
        </w:rPr>
        <w:t xml:space="preserve"> — auto-regressive integrated moving average. Good general-purpose model for stationary series.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SARIMA</w:t>
      </w:r>
      <w:r>
        <w:rPr>
          <w:color w:val="1F2937"/>
          <w:sz w:val="22"/>
          <w:szCs w:val="22"/>
        </w:rPr>
        <w:t xml:space="preserve"> — seasonal ARIMA. Best when the metric has strong, consistent seasonality.</w:t>
      </w:r>
    </w:p>
    <w:p>
      <w:pPr>
        <w:pStyle w:val="Heading2"/>
        <w:spacing w:after="100" w:before="280"/>
      </w:pPr>
      <w:r>
        <w:t xml:space="preserve">5.2  Deep-Dive Analysis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A confidence band (shaded area) is shown around the forecast — wider bands mean less certainty. The analysis section below the chart shows: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ACT NOW / MONITOR / ON TRACK — urgency assessment based on breach timeline and rate of change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Current Value, 7-Day Projection, Rate of change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Breach Timeline — days until the metric crosses its threshold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Business Impact — estimated users/sessions affected if the trend continues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Recommended Next Steps — copyable DQL queries to investigate further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PDF export — download the forecast chart and analysis as a PDF for sharing</w:t>
      </w:r>
    </w:p>
    <w:p>
      <w:pPr>
        <w:pStyle w:val="Heading1"/>
        <w:spacing w:after="160" w:before="400"/>
      </w:pPr>
      <w:r>
        <w:t xml:space="preserve">6. Related Metrics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The Related Metrics panel finds other metrics in the fleet that statistically correlate with the selected metric using Pearson correlation. Helps answer: “when LCP degrades, what else moves?”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Filter by strength: 30% (weak), 50% (moderate), 70% (strong)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Each result shows a progress bar, direction (positive = both move together, negative = inverse), and a plain-language narrative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Results are ranked strongest first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PDF export available for reporting</w:t>
      </w:r>
    </w:p>
    <w:p>
      <w:pPr>
        <w:pBdr>
          <w:left w:val="single" w:color="93C5FD" w:sz="18"/>
        </w:pBdr>
        <w:spacing w:after="80" w:before="80"/>
        <w:ind w:left="360"/>
      </w:pPr>
      <w:r>
        <w:rPr>
          <w:b/>
          <w:bCs/>
          <w:color w:val="1E4DB7"/>
          <w:sz w:val="20"/>
          <w:szCs w:val="20"/>
        </w:rPr>
        <w:t xml:space="preserve">TIP  </w:t>
      </w:r>
      <w:r>
        <w:rPr>
          <w:i/>
          <w:iCs/>
          <w:color w:val="374151"/>
          <w:sz w:val="20"/>
          <w:szCs w:val="20"/>
        </w:rPr>
        <w:t xml:space="preserve">If LCP and TTFB correlate strongly, the bottleneck is server-side. If LCP and CLS correlate, the problem is layout instability during load.</w:t>
      </w:r>
    </w:p>
    <w:p>
      <w:pPr>
        <w:pStyle w:val="Heading1"/>
        <w:spacing w:after="160" w:before="400"/>
      </w:pPr>
      <w:r>
        <w:t xml:space="preserve">7. Tabs Reference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Use Settings to show or hide individual tabs. Role presets are available to show only the tabs relevant to your role.</w:t>
      </w:r>
    </w:p>
    <w:p>
      <w:pPr>
        <w:pBdr>
          <w:left w:val="single" w:color="6366F1" w:sz="18"/>
        </w:pBdr>
        <w:spacing w:after="40" w:before="120"/>
        <w:ind w:left="180"/>
      </w:pPr>
      <w:r>
        <w:rPr>
          <w:b/>
          <w:bCs/>
          <w:color w:val="111827"/>
          <w:sz w:val="22"/>
          <w:szCs w:val="22"/>
        </w:rPr>
        <w:t xml:space="preserve">Executive Summary</w:t>
      </w:r>
    </w:p>
    <w:p>
      <w:pPr>
        <w:spacing w:after="80" w:before="0"/>
        <w:ind w:left="180"/>
      </w:pPr>
      <w:r>
        <w:rPr>
          <w:color w:val="374151"/>
          <w:sz w:val="21"/>
          <w:szCs w:val="21"/>
        </w:rPr>
        <w:t xml:space="preserve">Grades every web app on a 0–100 composite score (LCP, INP, CLS, TTFB, error rate, bounce rate). Trend lines show improvement or degradation over time. Use as the top-level health dashboard for your fleet.</w:t>
      </w:r>
    </w:p>
    <w:p>
      <w:pPr>
        <w:pBdr>
          <w:left w:val="single" w:color="6366F1" w:sz="18"/>
        </w:pBdr>
        <w:spacing w:after="40" w:before="120"/>
        <w:ind w:left="180"/>
      </w:pPr>
      <w:r>
        <w:rPr>
          <w:b/>
          <w:bCs/>
          <w:color w:val="111827"/>
          <w:sz w:val="22"/>
          <w:szCs w:val="22"/>
        </w:rPr>
        <w:t xml:space="preserve">Performance Overview</w:t>
      </w:r>
    </w:p>
    <w:p>
      <w:pPr>
        <w:spacing w:after="80" w:before="0"/>
        <w:ind w:left="180"/>
      </w:pPr>
      <w:r>
        <w:rPr>
          <w:color w:val="374151"/>
          <w:sz w:val="21"/>
          <w:szCs w:val="21"/>
        </w:rPr>
        <w:t xml:space="preserve">Fleet-wide Core Web Vitals per app — LCP, INP, CLS, TTFB with color-coded pass/fail indicators. Rank apps by any metric. Best for CWV regression triage.</w:t>
      </w:r>
    </w:p>
    <w:p>
      <w:pPr>
        <w:pBdr>
          <w:left w:val="single" w:color="6366F1" w:sz="18"/>
        </w:pBdr>
        <w:spacing w:after="40" w:before="120"/>
        <w:ind w:left="180"/>
      </w:pPr>
      <w:r>
        <w:rPr>
          <w:b/>
          <w:bCs/>
          <w:color w:val="111827"/>
          <w:sz w:val="22"/>
          <w:szCs w:val="22"/>
        </w:rPr>
        <w:t xml:space="preserve">Opportunity Matrix</w:t>
      </w:r>
    </w:p>
    <w:p>
      <w:pPr>
        <w:spacing w:after="80" w:before="0"/>
        <w:ind w:left="180"/>
      </w:pPr>
      <w:r>
        <w:rPr>
          <w:color w:val="374151"/>
          <w:sz w:val="21"/>
          <w:szCs w:val="21"/>
        </w:rPr>
        <w:t xml:space="preserve">Scatter plot of every web app by traffic volume (x) vs composite score (y). The median crosshair divides four action quadrants: Fix First, Protect, Monitor, Maintain.</w:t>
      </w:r>
    </w:p>
    <w:p>
      <w:pPr>
        <w:pBdr>
          <w:left w:val="single" w:color="6366F1" w:sz="18"/>
        </w:pBdr>
        <w:spacing w:after="40" w:before="120"/>
        <w:ind w:left="180"/>
      </w:pPr>
      <w:r>
        <w:rPr>
          <w:b/>
          <w:bCs/>
          <w:color w:val="111827"/>
          <w:sz w:val="22"/>
          <w:szCs w:val="22"/>
        </w:rPr>
        <w:t xml:space="preserve">Errors &amp; Reliability</w:t>
      </w:r>
    </w:p>
    <w:p>
      <w:pPr>
        <w:spacing w:after="80" w:before="0"/>
        <w:ind w:left="180"/>
      </w:pPr>
      <w:r>
        <w:rPr>
          <w:color w:val="374151"/>
          <w:sz w:val="21"/>
          <w:szCs w:val="21"/>
        </w:rPr>
        <w:t xml:space="preserve">Error rates, total error counts, and sessions-with-errors per web app. Also shows the top JavaScript errors across your fleet with affected session counts.</w:t>
      </w:r>
    </w:p>
    <w:p>
      <w:pPr>
        <w:pBdr>
          <w:left w:val="single" w:color="6366F1" w:sz="18"/>
        </w:pBdr>
        <w:spacing w:after="40" w:before="120"/>
        <w:ind w:left="180"/>
      </w:pPr>
      <w:r>
        <w:rPr>
          <w:b/>
          <w:bCs/>
          <w:color w:val="111827"/>
          <w:sz w:val="22"/>
          <w:szCs w:val="22"/>
        </w:rPr>
        <w:t xml:space="preserve">Session &amp; Engagement</w:t>
      </w:r>
    </w:p>
    <w:p>
      <w:pPr>
        <w:spacing w:after="80" w:before="0"/>
        <w:ind w:left="180"/>
      </w:pPr>
      <w:r>
        <w:rPr>
          <w:color w:val="374151"/>
          <w:sz w:val="21"/>
          <w:szCs w:val="21"/>
        </w:rPr>
        <w:t xml:space="preserve">Bounce rate, session duration, session count, and page load events per web app. Reveals engagement quality alongside performance.</w:t>
      </w:r>
    </w:p>
    <w:p>
      <w:pPr>
        <w:pBdr>
          <w:left w:val="single" w:color="6366F1" w:sz="18"/>
        </w:pBdr>
        <w:spacing w:after="40" w:before="120"/>
        <w:ind w:left="180"/>
      </w:pPr>
      <w:r>
        <w:rPr>
          <w:b/>
          <w:bCs/>
          <w:color w:val="111827"/>
          <w:sz w:val="22"/>
          <w:szCs w:val="22"/>
        </w:rPr>
        <w:t xml:space="preserve">Navigation &amp; Flows</w:t>
      </w:r>
    </w:p>
    <w:p>
      <w:pPr>
        <w:spacing w:after="80" w:before="0"/>
        <w:ind w:left="180"/>
      </w:pPr>
      <w:r>
        <w:rPr>
          <w:color w:val="374151"/>
          <w:sz w:val="21"/>
          <w:szCs w:val="21"/>
        </w:rPr>
        <w:t xml:space="preserve">Five sub-tabs: Navigation Paths (force-directed graph of page transitions), Sankey (multi-format flow diagram with click-to-drill detail), Geo Heatmap (Apdex and sessions by country), Maps (interactive world choropleth + globe), Session Replay (sessions ranked by impact score).</w:t>
      </w:r>
    </w:p>
    <w:p>
      <w:pPr>
        <w:pBdr>
          <w:left w:val="single" w:color="6366F1" w:sz="18"/>
        </w:pBdr>
        <w:spacing w:after="40" w:before="120"/>
        <w:ind w:left="180"/>
      </w:pPr>
      <w:r>
        <w:rPr>
          <w:b/>
          <w:bCs/>
          <w:color w:val="111827"/>
          <w:sz w:val="22"/>
          <w:szCs w:val="22"/>
        </w:rPr>
        <w:t xml:space="preserve">Cost &amp; Ranking</w:t>
      </w:r>
    </w:p>
    <w:p>
      <w:pPr>
        <w:spacing w:after="80" w:before="0"/>
        <w:ind w:left="180"/>
      </w:pPr>
      <w:r>
        <w:rPr>
          <w:color w:val="374151"/>
          <w:sz w:val="21"/>
          <w:szCs w:val="21"/>
        </w:rPr>
        <w:t xml:space="preserve">Creative cost model: assigns $ estimates per byte, request, and RUM event to rank web apps by estimated infrastructure cost. Adjust rate assumptions live.</w:t>
      </w:r>
    </w:p>
    <w:p>
      <w:pPr>
        <w:pBdr>
          <w:left w:val="single" w:color="6366F1" w:sz="18"/>
        </w:pBdr>
        <w:spacing w:after="40" w:before="120"/>
        <w:ind w:left="180"/>
      </w:pPr>
      <w:r>
        <w:rPr>
          <w:b/>
          <w:bCs/>
          <w:color w:val="111827"/>
          <w:sz w:val="22"/>
          <w:szCs w:val="22"/>
        </w:rPr>
        <w:t xml:space="preserve">Perf Budgets</w:t>
      </w:r>
    </w:p>
    <w:p>
      <w:pPr>
        <w:spacing w:after="80" w:before="0"/>
        <w:ind w:left="180"/>
      </w:pPr>
      <w:r>
        <w:rPr>
          <w:color w:val="374151"/>
          <w:sz w:val="21"/>
          <w:szCs w:val="21"/>
        </w:rPr>
        <w:t xml:space="preserve">Set custom thresholds for LCP, INP, CLS, TTFB, bytes/page, requests/page, and error rate. Each web app is graded pass/fail per metric.</w:t>
      </w:r>
    </w:p>
    <w:p>
      <w:pPr>
        <w:pBdr>
          <w:left w:val="single" w:color="6366F1" w:sz="18"/>
        </w:pBdr>
        <w:spacing w:after="40" w:before="120"/>
        <w:ind w:left="180"/>
      </w:pPr>
      <w:r>
        <w:rPr>
          <w:b/>
          <w:bCs/>
          <w:color w:val="111827"/>
          <w:sz w:val="22"/>
          <w:szCs w:val="22"/>
        </w:rPr>
        <w:t xml:space="preserve">Hyperlyzer</w:t>
      </w:r>
    </w:p>
    <w:p>
      <w:pPr>
        <w:spacing w:after="80" w:before="0"/>
        <w:ind w:left="180"/>
      </w:pPr>
      <w:r>
        <w:rPr>
          <w:color w:val="374151"/>
          <w:sz w:val="21"/>
          <w:szCs w:val="21"/>
        </w:rPr>
        <w:t xml:space="preserve">Multidimensional radial exploration of a single web app across OS, browser, geo, and user action dimensions. Requires a specific app to be selected in the header.</w:t>
      </w:r>
    </w:p>
    <w:p>
      <w:pPr>
        <w:pBdr>
          <w:left w:val="single" w:color="6366F1" w:sz="18"/>
        </w:pBdr>
        <w:spacing w:after="40" w:before="120"/>
        <w:ind w:left="180"/>
      </w:pPr>
      <w:r>
        <w:rPr>
          <w:b/>
          <w:bCs/>
          <w:color w:val="111827"/>
          <w:sz w:val="22"/>
          <w:szCs w:val="22"/>
        </w:rPr>
        <w:t xml:space="preserve">Action Backlog</w:t>
      </w:r>
    </w:p>
    <w:p>
      <w:pPr>
        <w:spacing w:after="80" w:before="0"/>
        <w:ind w:left="180"/>
      </w:pPr>
      <w:r>
        <w:rPr>
          <w:color w:val="374151"/>
          <w:sz w:val="21"/>
          <w:szCs w:val="21"/>
        </w:rPr>
        <w:t xml:space="preserve">Data-driven, cross-app list of recommended actions ranked by traffic × severity — always know what to fix first across the entire fleet.</w:t>
      </w:r>
    </w:p>
    <w:p>
      <w:pPr>
        <w:pStyle w:val="Heading1"/>
        <w:spacing w:after="160" w:before="400"/>
      </w:pPr>
      <w:r>
        <w:t xml:space="preserve">8. Core Web Vitals Reference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Google’s Core Web Vitals define user experience quality thresholds. Frontend Overview shows all four for every app.</w:t>
      </w:r>
    </w:p>
    <w:p>
      <w:pPr>
        <w:spacing w:after="0" w:before="160"/>
      </w:pPr>
    </w:p>
    <w:tbl>
      <w:tblPr>
        <w:tblW w:type="dxa" w:w="6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1440"/>
        <w:gridCol w:w="1440"/>
      </w:tblGrid>
      <w:tr>
        <w:trPr>
          <w:tblHeader/>
        </w:trPr>
        <w:tc>
          <w:tcPr>
            <w:tcW w:type="dxa" w:w="2520"/>
            <w:shd w:fill="0F2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Vital</w:t>
            </w:r>
          </w:p>
        </w:tc>
        <w:tc>
          <w:tcPr>
            <w:tcW w:type="dxa" w:w="1440"/>
            <w:shd w:fill="1665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Good</w:t>
            </w:r>
          </w:p>
        </w:tc>
        <w:tc>
          <w:tcPr>
            <w:tcW w:type="dxa" w:w="1440"/>
            <w:shd w:fill="92400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Needs Improvement</w:t>
            </w:r>
          </w:p>
        </w:tc>
        <w:tc>
          <w:tcPr>
            <w:tcW w:type="dxa" w:w="1440"/>
            <w:shd w:fill="991B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Poor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LCP</w:t>
            </w:r>
          </w:p>
          <w:p>
            <w:r>
              <w:rPr>
                <w:color w:val="4B5563"/>
                <w:sz w:val="19"/>
                <w:szCs w:val="19"/>
              </w:rPr>
              <w:t xml:space="preserve">Largest Contentful Paint</w:t>
            </w:r>
          </w:p>
        </w:tc>
        <w:tc>
          <w:tcPr>
            <w:tcW w:type="dxa" w:w="1440"/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≤ 2.5 s</w:t>
            </w:r>
          </w:p>
        </w:tc>
        <w:tc>
          <w:tcPr>
            <w:tcW w:type="dxa" w:w="1440"/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D0E"/>
                <w:sz w:val="20"/>
                <w:szCs w:val="20"/>
              </w:rPr>
              <w:t xml:space="preserve">2.5–4 s</w:t>
            </w:r>
          </w:p>
        </w:tc>
        <w:tc>
          <w:tcPr>
            <w:tcW w:type="dxa" w:w="1440"/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&gt; 4 s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INP</w:t>
            </w:r>
          </w:p>
          <w:p>
            <w:r>
              <w:rPr>
                <w:color w:val="4B5563"/>
                <w:sz w:val="19"/>
                <w:szCs w:val="19"/>
              </w:rPr>
              <w:t xml:space="preserve">Interaction to Next Paint</w:t>
            </w:r>
          </w:p>
        </w:tc>
        <w:tc>
          <w:tcPr>
            <w:tcW w:type="dxa" w:w="1440"/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≤ 200 ms</w:t>
            </w:r>
          </w:p>
        </w:tc>
        <w:tc>
          <w:tcPr>
            <w:tcW w:type="dxa" w:w="1440"/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D0E"/>
                <w:sz w:val="20"/>
                <w:szCs w:val="20"/>
              </w:rPr>
              <w:t xml:space="preserve">200–500 ms</w:t>
            </w:r>
          </w:p>
        </w:tc>
        <w:tc>
          <w:tcPr>
            <w:tcW w:type="dxa" w:w="1440"/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&gt; 500 ms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CLS</w:t>
            </w:r>
          </w:p>
          <w:p>
            <w:r>
              <w:rPr>
                <w:color w:val="4B5563"/>
                <w:sz w:val="19"/>
                <w:szCs w:val="19"/>
              </w:rPr>
              <w:t xml:space="preserve">Cumulative Layout Shift</w:t>
            </w:r>
          </w:p>
        </w:tc>
        <w:tc>
          <w:tcPr>
            <w:tcW w:type="dxa" w:w="1440"/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≤ 0.1</w:t>
            </w:r>
          </w:p>
        </w:tc>
        <w:tc>
          <w:tcPr>
            <w:tcW w:type="dxa" w:w="1440"/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D0E"/>
                <w:sz w:val="20"/>
                <w:szCs w:val="20"/>
              </w:rPr>
              <w:t xml:space="preserve">0.1–0.25</w:t>
            </w:r>
          </w:p>
        </w:tc>
        <w:tc>
          <w:tcPr>
            <w:tcW w:type="dxa" w:w="1440"/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&gt; 0.25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TTFB</w:t>
            </w:r>
          </w:p>
          <w:p>
            <w:r>
              <w:rPr>
                <w:color w:val="4B5563"/>
                <w:sz w:val="19"/>
                <w:szCs w:val="19"/>
              </w:rPr>
              <w:t xml:space="preserve">Time to First Byte</w:t>
            </w:r>
          </w:p>
        </w:tc>
        <w:tc>
          <w:tcPr>
            <w:tcW w:type="dxa" w:w="1440"/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≤ 800 ms</w:t>
            </w:r>
          </w:p>
        </w:tc>
        <w:tc>
          <w:tcPr>
            <w:tcW w:type="dxa" w:w="1440"/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54D0E"/>
                <w:sz w:val="20"/>
                <w:szCs w:val="20"/>
              </w:rPr>
              <w:t xml:space="preserve">800 ms–1.8 s</w:t>
            </w:r>
          </w:p>
        </w:tc>
        <w:tc>
          <w:tcPr>
            <w:tcW w:type="dxa" w:w="1440"/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&gt; 1.8 s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400"/>
      </w:pPr>
      <w:r>
        <w:t xml:space="preserve">9. Settings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Settings are saved per-user in Dynatrace user state. Open from the ⚙️ button in the header. Your configuration is private and does not affect other users.</w:t>
      </w:r>
    </w:p>
    <w:p>
      <w:pPr>
        <w:pStyle w:val="Heading2"/>
        <w:spacing w:after="100" w:before="280"/>
      </w:pPr>
      <w:r>
        <w:t xml:space="preserve">9.1  Role Presets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Apply a preset (Executive, Developer, SRE, Product, etc.) to show only the tabs relevant to your role. Presets are a starting point — you can still toggle individual tabs after applying one.</w:t>
      </w:r>
    </w:p>
    <w:p>
      <w:pPr>
        <w:pStyle w:val="Heading2"/>
        <w:spacing w:after="100" w:before="280"/>
      </w:pPr>
      <w:r>
        <w:t xml:space="preserve">9.2  Tab Visibility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Toggle individual tabs on/off. Hidden tabs do not load data, which speeds up initial load time.</w:t>
      </w:r>
    </w:p>
    <w:p>
      <w:pPr>
        <w:pStyle w:val="Heading2"/>
        <w:spacing w:after="100" w:before="280"/>
      </w:pPr>
      <w:r>
        <w:t xml:space="preserve">9.3  Performance Budgets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Custom thresholds for LCP, INP, CLS, TTFB, bytes/page, requests/page, and error rate. These drive the pass/fail badges in Perf Budgets and inform Action Backlog rankings.</w:t>
      </w:r>
    </w:p>
    <w:p>
      <w:pPr>
        <w:pStyle w:val="Heading2"/>
        <w:spacing w:after="100" w:before="280"/>
      </w:pPr>
      <w:r>
        <w:t xml:space="preserve">9.4  Grade Weights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Adjust how much each metric contributes to the 0–100 composite score in Executive Summary. Increase error rate weight if reliability is your primary SLO.</w:t>
      </w:r>
    </w:p>
    <w:p>
      <w:pPr>
        <w:pStyle w:val="Heading2"/>
        <w:spacing w:after="100" w:before="280"/>
      </w:pPr>
      <w:r>
        <w:t xml:space="preserve">9.5  Industry Benchmarks</w:t>
      </w:r>
    </w:p>
    <w:p>
      <w:pPr>
        <w:spacing w:after="100" w:before="60"/>
      </w:pPr>
      <w:r>
        <w:rPr>
          <w:color w:val="1F2937"/>
          <w:sz w:val="22"/>
          <w:szCs w:val="22"/>
        </w:rPr>
        <w:t xml:space="preserve">Select your industry to compare against sector-specific benchmarks rather than generic Google thresholds.</w:t>
      </w:r>
    </w:p>
    <w:p>
      <w:pPr>
        <w:pStyle w:val="Heading1"/>
        <w:spacing w:after="160" w:before="400"/>
      </w:pPr>
      <w:r>
        <w:t xml:space="preserve">10. Pro Tips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Start with Executive Summary to identify which apps need attention, then switch to Performance Overview to see which metric is responsible.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Use the Opportunity Matrix to prioritize — high-traffic apps in the Fix First quadrant have the highest impact per improvement.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Click any metric label on a KPI card to access Heatmap and Forecast — the fastest way to answer is this getting worse?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Related Metrics at 70% strength is the fastest way to find correlated root causes — if LCP and TTFB correlate, the problem is server-side.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The KPI Heatmap (day × hour) reveals whether a metric’s worst performance is always at the same time — recurring patterns suggest scheduled jobs or known traffic peaks.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Use Forecast Prophet model when a metric has had a sudden baseline shift (e.g. after a deployment). Prophet handles changepoints better than linear extrapolation.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The Forecast PDF is useful for weekly reviews — export one per critical app and share with the responsible team before the meeting.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The Time-Lapse is best used on Performance Overview — watch rank positions change and identify exactly which bucket caused a metric to shift.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Leaving the Web App filter blank gives the fleet-wide aggregate. Scoping to one app isolates its data in every tab simultaneously.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Action Backlog ranks by traffic × severity — the most objective way to decide what to fix first when multiple apps have issues.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The Hyperlyzer tab requires a specific app to be selected. Use it for deep-dive dimensional analysis after Executive Summary identifies an outlier.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F2937"/>
          <w:sz w:val="22"/>
          <w:szCs w:val="22"/>
        </w:rPr>
        <w:t xml:space="preserve">The AI Assist panel summarizes the active tab in plain language — useful for briefing a stakeholder who doesn’t read charts.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7D2FE" w:sz="6"/>
      </w:pBdr>
      <w:spacing w:after="160" w:before="480"/>
    </w:pPr>
    <w:rPr>
      <w:rFonts w:ascii="Calibri" w:cs="Calibri" w:eastAsia="Calibri" w:hAnsi="Calibri"/>
      <w:b/>
      <w:bCs/>
      <w:color w:val="0F2B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1E4DB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2026-10-08T17:20:46.102Z</dcterms:created>
  <dcterms:modified xsi:type="dcterms:W3CDTF">2026-10-08T17:20:46.107Z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