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4"/>
        </w:rPr>
      </w:r>
    </w:p>
    <w:p>
      <w:pPr>
        <w:spacing w:before="0" w:after="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4"/>
        </w:rPr>
      </w:r>
    </w:p>
    <w:p>
      <w:pPr>
        <w:spacing w:before="0" w:after="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4"/>
        </w:rPr>
      </w:r>
    </w:p>
    <w:p>
      <w:pPr>
        <w:spacing w:before="0" w:after="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4"/>
        </w:rPr>
      </w:r>
    </w:p>
    <w:p>
      <w:pPr>
        <w:spacing w:before="0" w:after="120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2F5D50"/>
          <w:sz w:val="24"/>
        </w:rPr>
        <w:t>软件工程 · 课程大作业</w:t>
      </w:r>
    </w:p>
    <w:p>
      <w:pPr>
        <w:spacing w:before="0" w:after="200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72"/>
        </w:rPr>
        <w:t>桌面效率助手</w:t>
      </w:r>
    </w:p>
    <w:p>
      <w:pPr>
        <w:spacing w:before="0" w:after="280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52"/>
        </w:rPr>
        <w:t>产品计划书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12000" cy="15179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l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517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0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8"/>
        </w:rPr>
        <w:t>Windows 平台轻量悬浮桌面效率工具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 w:cs="Times New Roman"/>
          <w:b/>
          <w:color w:val="000000"/>
          <w:sz w:val="24"/>
        </w:rPr>
        <w:t xml:space="preserve">目标平台　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Windows 桌面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 w:cs="Times New Roman"/>
          <w:b/>
          <w:color w:val="000000"/>
          <w:sz w:val="24"/>
        </w:rPr>
        <w:t xml:space="preserve">目标用户　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在校大学生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 w:cs="Times New Roman"/>
          <w:b/>
          <w:color w:val="000000"/>
          <w:sz w:val="24"/>
        </w:rPr>
        <w:t xml:space="preserve">技术　栈　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Python · PyQt5 / PySide6 · SQLite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 w:cs="Times New Roman"/>
          <w:b/>
          <w:color w:val="000000"/>
          <w:sz w:val="24"/>
        </w:rPr>
        <w:t xml:space="preserve">小组成员　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彭靖轩（组长）、邵博凯、孔世豪</w:t>
      </w:r>
    </w:p>
    <w:p>
      <w:pPr>
        <w:spacing w:before="0" w:after="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4"/>
        </w:rPr>
      </w:r>
    </w:p>
    <w:p>
      <w:pPr>
        <w:spacing w:before="0" w:after="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4"/>
        </w:rPr>
      </w:r>
    </w:p>
    <w:p>
      <w:pPr>
        <w:spacing w:before="0" w:after="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4"/>
        </w:rPr>
      </w:r>
    </w:p>
    <w:p>
      <w:pPr>
        <w:spacing w:before="0" w:after="80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8"/>
        </w:rPr>
        <w:t>G06 小组</w:t>
      </w:r>
    </w:p>
    <w:p>
      <w:pPr>
        <w:spacing w:before="0" w:after="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2026 年 9 月</w:t>
      </w:r>
    </w:p>
    <w:p>
      <w:r>
        <w:rPr>
          <w:b/>
        </w:rPr>
        <w:t>文档版本修订记录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268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268"/>
          </w:tcPr>
          <w:p>
            <w:r>
              <w:rPr>
                <w:b/>
              </w:rPr>
              <w:t>修订人</w:t>
            </w:r>
          </w:p>
        </w:tc>
        <w:tc>
          <w:tcPr>
            <w:tcW w:type="dxa" w:w="2268"/>
          </w:tcPr>
          <w:p>
            <w:r>
              <w:rPr>
                <w:b/>
              </w:rPr>
              <w:t>修订说明</w:t>
            </w:r>
          </w:p>
        </w:tc>
      </w:tr>
      <w:tr>
        <w:tc>
          <w:tcPr>
            <w:tcW w:type="dxa" w:w="2268"/>
          </w:tcPr>
          <w:p>
            <w:r>
              <w:t>V0.1</w:t>
            </w:r>
          </w:p>
        </w:tc>
        <w:tc>
          <w:tcPr>
            <w:tcW w:type="dxa" w:w="2268"/>
          </w:tcPr>
          <w:p>
            <w:r>
              <w:t>2026-09-30</w:t>
            </w:r>
          </w:p>
        </w:tc>
        <w:tc>
          <w:tcPr>
            <w:tcW w:type="dxa" w:w="2268"/>
          </w:tcPr>
          <w:p>
            <w:r>
              <w:t>彭靖轩</w:t>
            </w:r>
          </w:p>
        </w:tc>
        <w:tc>
          <w:tcPr>
            <w:tcW w:type="dxa" w:w="2268"/>
          </w:tcPr>
          <w:p>
            <w:r>
              <w:t>初稿，随项目计划提交（对应里程碑 M1）</w:t>
            </w:r>
          </w:p>
        </w:tc>
      </w:tr>
      <w:tr>
        <w:tc>
          <w:tcPr>
            <w:tcW w:type="dxa" w:w="2268"/>
          </w:tcPr>
          <w:p>
            <w:r>
              <w:t>V0.2</w:t>
            </w:r>
          </w:p>
        </w:tc>
        <w:tc>
          <w:tcPr>
            <w:tcW w:type="dxa" w:w="2268"/>
          </w:tcPr>
          <w:p>
            <w:r>
              <w:t>2026-10-15</w:t>
            </w:r>
          </w:p>
        </w:tc>
        <w:tc>
          <w:tcPr>
            <w:tcW w:type="dxa" w:w="2268"/>
          </w:tcPr>
          <w:p>
            <w:r>
              <w:t>全组</w:t>
            </w:r>
          </w:p>
        </w:tc>
        <w:tc>
          <w:tcPr>
            <w:tcW w:type="dxa" w:w="2268"/>
          </w:tcPr>
          <w:p>
            <w:r>
              <w:t>按 10/14 项目计划评审意见修订：4.4 进度可行性补充与课程计划逐周对照，第 8 章风险措施落实到责任人</w:t>
            </w:r>
          </w:p>
        </w:tc>
      </w:tr>
      <w:tr>
        <w:tc>
          <w:tcPr>
            <w:tcW w:type="dxa" w:w="2268"/>
          </w:tcPr>
          <w:p>
            <w:r>
              <w:t>V0.3</w:t>
            </w:r>
          </w:p>
        </w:tc>
        <w:tc>
          <w:tcPr>
            <w:tcW w:type="dxa" w:w="2268"/>
          </w:tcPr>
          <w:p>
            <w:r>
              <w:t>2026-10-18</w:t>
            </w:r>
          </w:p>
        </w:tc>
        <w:tc>
          <w:tcPr>
            <w:tcW w:type="dxa" w:w="2268"/>
          </w:tcPr>
          <w:p>
            <w:r>
              <w:t>彭靖轩</w:t>
            </w:r>
          </w:p>
        </w:tc>
        <w:tc>
          <w:tcPr>
            <w:tcW w:type="dxa" w:w="2268"/>
          </w:tcPr>
          <w:p>
            <w:r>
              <w:t>依据 GB/T 8567-2006《计算机软件文档编制规范》完善结构：新增术语与缩略语、量化绩效评价标准，补全进度甘特图与组内互评表</w:t>
            </w:r>
          </w:p>
        </w:tc>
      </w:tr>
      <w:tr>
        <w:tc>
          <w:tcPr>
            <w:tcW w:type="dxa" w:w="2268"/>
          </w:tcPr>
          <w:p>
            <w:r>
              <w:t>V0.4</w:t>
            </w:r>
          </w:p>
        </w:tc>
        <w:tc>
          <w:tcPr>
            <w:tcW w:type="dxa" w:w="2268"/>
          </w:tcPr>
          <w:p>
            <w:r>
              <w:t>2026-10-25</w:t>
            </w:r>
          </w:p>
        </w:tc>
        <w:tc>
          <w:tcPr>
            <w:tcW w:type="dxa" w:w="2268"/>
          </w:tcPr>
          <w:p>
            <w:r>
              <w:t>彭靖轩</w:t>
            </w:r>
          </w:p>
        </w:tc>
        <w:tc>
          <w:tcPr>
            <w:tcW w:type="dxa" w:w="2268"/>
          </w:tcPr>
          <w:p>
            <w:r>
              <w:t>7.1 预算补充：AI 开发辅助工具采用免费版（豆包），直接成本仍为 0 元</w:t>
            </w:r>
          </w:p>
        </w:tc>
      </w:tr>
    </w:tbl>
    <w:p>
      <w:r>
        <w:br w:type="page"/>
      </w:r>
    </w:p>
    <w:p>
      <w:pPr>
        <w:spacing w:after="240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目　录</w:t>
      </w:r>
    </w:p>
    <w:p>
      <w:pPr>
        <w:pStyle w:val="TOC1"/>
        <w:tabs>
          <w:tab w:val="right" w:leader="dot" w:pos="9072"/>
        </w:tabs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 引言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1.1 编写目的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1.2 项目背景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1.3 产品概述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1.4 目标用户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1.5 项目目标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r>
        <w:t xml:space="preserve">1.6 术语与缩略语</w:t>
      </w:r>
      <w:r>
        <w:tab/>
      </w:r>
      <w:r>
        <w:t xml:space="preserve">2</w:t>
      </w:r>
    </w:p>
    <w:p>
      <w:pPr>
        <w:pStyle w:val="TOC1"/>
        <w:tabs>
          <w:tab w:val="right" w:leader="dot" w:pos="9072"/>
        </w:tabs>
      </w:pPr>
      <w:hyperlink w:anchor="_LarkToc00007" w:history="1">
        <w:r>
          <w:t>2 产品功能规划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2.1 功能总体架构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2.2 剪贴板历史记录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2.3 任务清单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1" w:history="1">
        <w:r>
          <w:t>2.4 文件快速检索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2.5 课表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2.6 消息提醒窗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4" w:history="1">
        <w:r>
          <w:t>2.7 功能边界与约束汇总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5" w:history="1">
        <w:r>
          <w:t>3 技术方案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6" w:history="1">
        <w:r>
          <w:t>3.1 技术栈选型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3.2 系统总体结构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3.3 关键技术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9" w:history="1">
        <w:r>
          <w:t>4 可行性分析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0" w:history="1">
        <w:r>
          <w:t>4.1 技术可行性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1" w:history="1">
        <w:r>
          <w:t>4.2 经济可行性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2" w:history="1">
        <w:r>
          <w:t>4.3 操作可行性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3" w:history="1">
        <w:r>
          <w:t>4.4 进度可行性与风险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4" w:history="1">
        <w:r>
          <w:t>5 实施计划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5" w:history="1">
        <w:r>
          <w:t>5.1 工作分解结构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6" w:history="1">
        <w:r>
          <w:t>5.2 里程碑计划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7" w:history="1">
        <w:r>
          <w:t>5.3 进度安排</w:t>
        </w:r>
        <w:r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8" w:history="1">
        <w:r>
          <w:t>5.4 与课程教学计划的对照</w:t>
        </w:r>
        <w:r>
          <w:tab/>
        </w:r>
        <w:r>
          <w:fldChar w:fldCharType="begin"/>
        </w:r>
        <w:r>
          <w:instrText xml:space="preserve"> PAGEREF _LarkToc00028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9" w:history="1">
        <w:r>
          <w:t>6 团队组织与分工</w:t>
        </w:r>
        <w:r>
          <w:tab/>
        </w:r>
        <w:r>
          <w:fldChar w:fldCharType="begin"/>
        </w:r>
        <w:r>
          <w:instrText xml:space="preserve"> PAGEREF _LarkToc00029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0" w:history="1">
        <w:r>
          <w:t>7 计划保障机制</w:t>
        </w:r>
        <w:r>
          <w:tab/>
        </w:r>
        <w:r>
          <w:fldChar w:fldCharType="begin"/>
        </w:r>
        <w:r>
          <w:instrText xml:space="preserve"> PAGEREF _LarkToc00030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1" w:history="1">
        <w:r>
          <w:t>7.1 预算</w:t>
        </w:r>
        <w:r>
          <w:tab/>
        </w:r>
        <w:r>
          <w:fldChar w:fldCharType="begin"/>
        </w:r>
        <w:r>
          <w:instrText xml:space="preserve"> PAGEREF _LarkToc00031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2" w:history="1">
        <w:r>
          <w:t>7.2 配置管理</w:t>
        </w:r>
        <w:r>
          <w:tab/>
        </w:r>
        <w:r>
          <w:fldChar w:fldCharType="begin"/>
        </w:r>
        <w:r>
          <w:instrText xml:space="preserve"> PAGEREF _LarkToc00032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3" w:history="1">
        <w:r>
          <w:t>7.3 会议制度</w:t>
        </w:r>
        <w:r>
          <w:tab/>
        </w:r>
        <w:r>
          <w:fldChar w:fldCharType="begin"/>
        </w:r>
        <w:r>
          <w:instrText xml:space="preserve"> PAGEREF _LarkToc00033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4" w:history="1">
        <w:r>
          <w:t>7.4 绩效评价</w:t>
        </w:r>
        <w:r>
          <w:tab/>
        </w:r>
        <w:r>
          <w:fldChar w:fldCharType="begin"/>
        </w:r>
        <w:r>
          <w:instrText xml:space="preserve"> PAGEREF _LarkToc00034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5" w:history="1">
        <w:r>
          <w:t>8 风险分析与应对</w:t>
        </w:r>
        <w:r>
          <w:tab/>
        </w:r>
        <w:r>
          <w:fldChar w:fldCharType="begin"/>
        </w:r>
        <w:r>
          <w:instrText xml:space="preserve"> PAGEREF _LarkToc00035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6" w:history="1">
        <w:r>
          <w:t>9 参考文献</w:t>
        </w:r>
        <w:r>
          <w:tab/>
        </w:r>
        <w:r>
          <w:fldChar w:fldCharType="begin"/>
        </w:r>
        <w:r>
          <w:instrText xml:space="preserve"> PAGEREF _LarkToc00036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7" w:history="1">
        <w:r>
          <w:t>附录 A　软件工程课程计划与里程碑</w:t>
        </w:r>
        <w:r>
          <w:tab/>
        </w:r>
        <w:r>
          <w:fldChar w:fldCharType="begin"/>
        </w:r>
        <w:r>
          <w:instrText xml:space="preserve"> PAGEREF _LarkToc00037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8" w:history="1">
        <w:r>
          <w:t>附录 B　组内互评表</w:t>
        </w:r>
        <w:r>
          <w:tab/>
        </w:r>
        <w:r>
          <w:fldChar w:fldCharType="begin"/>
        </w:r>
        <w:r>
          <w:instrText xml:space="preserve"> PAGEREF _LarkToc00038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9" w:history="1">
        <w:r>
          <w:t>附录 C　小组联系方式</w:t>
        </w:r>
        <w:r>
          <w:tab/>
        </w:r>
        <w:r>
          <w:fldChar w:fldCharType="begin"/>
        </w:r>
        <w:r>
          <w:instrText xml:space="preserve"> PAGEREF _LarkToc00039 \h </w:instrText>
        </w:r>
        <w:r>
          <w:fldChar w:fldCharType="separate"/>
        </w:r>
        <w:r>
          <w:t>10</w:t>
        </w:r>
        <w:r>
          <w:fldChar w:fldCharType="end"/>
        </w:r>
      </w:hyperlink>
      <w:r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bookmarkStart w:id="1" w:name="_LarkToc00001"/>
      <w:r>
        <w:rPr>
          <w:rFonts w:ascii="Times New Roman" w:hAnsi="Times New Roman" w:eastAsia="黑体" w:cs="Times New Roman"/>
          <w:b/>
          <w:color w:val="000000"/>
          <w:sz w:val="32"/>
        </w:rPr>
        <w:t>1 引言</w:t>
      </w:r>
      <w:bookmarkEnd w:id="1"/>
    </w:p>
    <w:p>
      <w:pPr>
        <w:pStyle w:val="Heading2"/>
      </w:pPr>
      <w:bookmarkStart w:id="2" w:name="_LarkToc00002"/>
      <w:r>
        <w:rPr>
          <w:rFonts w:ascii="Times New Roman" w:hAnsi="Times New Roman" w:eastAsia="黑体" w:cs="Times New Roman"/>
          <w:b/>
          <w:color w:val="000000"/>
          <w:sz w:val="28"/>
        </w:rPr>
        <w:t>1.1 编写目的</w:t>
      </w:r>
      <w:bookmarkEnd w:id="2"/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本计划书是“桌面效率助手”项目在软件工程课程框架下的纲领性文件，用于明确产品定位、功能范围、技术方案、可行性结论、实施进度、团队分工与计划保障机制，统一全组对项目目标与交付要求的认识，并作为各阶段评审、进度检查与成果验收的基线。</w:t>
      </w:r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本计划书随项目推进滚动修订，评审通过后基线化，后续变更须记录。</w:t>
      </w:r>
    </w:p>
    <w:p>
      <w:pPr>
        <w:pStyle w:val="Heading2"/>
      </w:pPr>
      <w:bookmarkStart w:id="3" w:name="_LarkToc00003"/>
      <w:r>
        <w:rPr>
          <w:rFonts w:ascii="Times New Roman" w:hAnsi="Times New Roman" w:eastAsia="黑体" w:cs="Times New Roman"/>
          <w:b/>
          <w:color w:val="000000"/>
          <w:sz w:val="28"/>
        </w:rPr>
        <w:t>1.2 项目背景</w:t>
      </w:r>
      <w:bookmarkEnd w:id="3"/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大学生日常学习高度依赖个人电脑：复制粘贴资料、记录待办与作业截止时间、查找散落文件、确认课程时间地点、等待各类提醒等操作高频发生。这些操作分散在多个软件和系统入口中，容易出现复制内容被新内容覆盖、截止时间遗漏、文件检索缓慢、课程信息反复确认等问题。现有工具或功能分散，或需要联网注册，缺少一款面向校园场景、轻量常驻、数据本地保存的整合型桌面工具。</w:t>
      </w:r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本项目是软件工程课程大作业，由 G06 小组按照软件工程规范流程，依次完成需求、设计、实现、测试与总结。在此背景下，小组提出“桌面效率助手”这一 Windows 平台轻量悬浮桌面效率工具。</w:t>
      </w:r>
    </w:p>
    <w:p>
      <w:pPr>
        <w:pStyle w:val="Heading2"/>
      </w:pPr>
      <w:bookmarkStart w:id="4" w:name="_LarkToc00004"/>
      <w:r>
        <w:rPr>
          <w:rFonts w:ascii="Times New Roman" w:hAnsi="Times New Roman" w:eastAsia="黑体" w:cs="Times New Roman"/>
          <w:b/>
          <w:color w:val="000000"/>
          <w:sz w:val="28"/>
        </w:rPr>
        <w:t>1.3 产品概述</w:t>
      </w:r>
      <w:bookmarkEnd w:id="4"/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桌面效率助手是面向在校大学生的 Windows 悬浮效率工具。产品以一个常驻桌面的悬浮工具条为统一入口，集成剪贴板历史、任务清单、文件检索、课表、消息提醒窗五大功能模块，覆盖大学生高频桌面操作与校园场景；全部数据本地存储，不上传网络。产品遵循“功能可用优先、体验打磨后置”的原则，首期聚焦五大功能模块稳定可用，再逐步打磨交互体验。</w:t>
      </w:r>
    </w:p>
    <w:p>
      <w:pPr>
        <w:pStyle w:val="Heading2"/>
      </w:pPr>
      <w:bookmarkStart w:id="5" w:name="_LarkToc00005"/>
      <w:r>
        <w:rPr>
          <w:rFonts w:ascii="Times New Roman" w:hAnsi="Times New Roman" w:eastAsia="黑体" w:cs="Times New Roman"/>
          <w:b/>
          <w:color w:val="000000"/>
          <w:sz w:val="28"/>
        </w:rPr>
        <w:t>1.4 目标用户</w:t>
      </w:r>
      <w:bookmarkEnd w:id="5"/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目标用户为在校大学生，使用环境为个人 Windows 电脑。产品免注册、免登录，安装后即可使用，对用户的技术背景无特殊要求；交互采用“悬浮工具条 + 面板弹出”的直观形式，学习成本低，常驻后台不打扰。</w:t>
      </w:r>
    </w:p>
    <w:p>
      <w:pPr>
        <w:pStyle w:val="Heading2"/>
      </w:pPr>
      <w:bookmarkStart w:id="6" w:name="_LarkToc00006"/>
      <w:r>
        <w:rPr>
          <w:rFonts w:ascii="Times New Roman" w:hAnsi="Times New Roman" w:eastAsia="黑体" w:cs="Times New Roman"/>
          <w:b/>
          <w:color w:val="000000"/>
          <w:sz w:val="28"/>
        </w:rPr>
        <w:t>1.5 项目目标</w:t>
      </w:r>
      <w:bookmarkEnd w:id="6"/>
    </w:p>
    <w:p>
      <w:pPr>
        <w:pStyle w:val="ListBullet"/>
      </w:pPr>
      <w:r>
        <w:rPr>
          <w:rFonts w:ascii="Times New Roman" w:hAnsi="Times New Roman" w:eastAsia="宋体" w:cs="Times New Roman"/>
          <w:b/>
          <w:color w:val="000000"/>
          <w:sz w:val="24"/>
        </w:rPr>
        <w:t>功能目标：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五大功能模块稳定可用，覆盖大学生日常场景。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color w:val="000000"/>
          <w:sz w:val="24"/>
        </w:rPr>
        <w:t>质量目标：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界面简洁、响应及时、资源占用低，常驻不打扰。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color w:val="000000"/>
          <w:sz w:val="24"/>
        </w:rPr>
        <w:t>隐私目标：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剪贴板、任务、课表数据全部本地 SQLite 保存。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color w:val="000000"/>
          <w:sz w:val="24"/>
        </w:rPr>
        <w:t>过程目标：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按软件工程流程交付需求、设计、测试与项目报告。</w:t>
      </w:r>
    </w:p>
    <w:p>
      <w:pPr>
        <w:pStyle w:val="Heading2"/>
      </w:pPr>
      <w:r>
        <w:t>1.6 术语与缩略语</w:t>
      </w:r>
    </w:p>
    <w:p>
      <w:r>
        <w:t>为便于阅读与评审统一，本文档涉及的主要术语与缩略语说明如下。</w:t>
      </w:r>
    </w:p>
    <w:p>
      <w:pPr>
        <w:pStyle w:val="ListBullet"/>
      </w:pPr>
      <w:r>
        <w:t>基线：评审通过后冻结的计划或文档版本，后续变更须记录。</w:t>
      </w:r>
    </w:p>
    <w:p>
      <w:pPr>
        <w:pStyle w:val="ListBullet"/>
      </w:pPr>
      <w:r>
        <w:t>里程碑（M1–M7）：各阶段成果的评审检查点，计划见表 5；</w:t>
      </w:r>
    </w:p>
    <w:p>
      <w:pPr>
        <w:pStyle w:val="ListBullet"/>
      </w:pPr>
      <w:r>
        <w:t>PyInstaller：将 Python 程序打包为独立可执行文件的工具；</w:t>
      </w:r>
    </w:p>
    <w:p>
      <w:pPr>
        <w:pStyle w:val="ListBullet"/>
      </w:pPr>
      <w:r>
        <w:t>openpyxl：Python 的 Excel（.xlsx）文件读写库；</w:t>
      </w:r>
    </w:p>
    <w:p>
      <w:pPr>
        <w:pStyle w:val="ListBullet"/>
      </w:pPr>
      <w:r>
        <w:t>SQLite：嵌入式单文件关系数据库，零配置、免安装；</w:t>
      </w:r>
    </w:p>
    <w:p>
      <w:pPr>
        <w:pStyle w:val="ListBullet"/>
      </w:pPr>
      <w:r>
        <w:t>Qt / PyQt5 / PySide6：跨平台桌面界面开发框架，PySide6 为 Qt 官方 LGPL 许可绑定；</w:t>
      </w:r>
    </w:p>
    <w:p>
      <w:pPr>
        <w:pStyle w:val="ListBullet"/>
      </w:pPr>
      <w:r>
        <w:t>SRS（Software Requirements Specification）：软件需求规格说明书；</w:t>
      </w:r>
    </w:p>
    <w:p>
      <w:pPr>
        <w:pStyle w:val="ListBullet"/>
      </w:pPr>
      <w:r>
        <w:t>WBS（Work Breakdown Structure）：工作分解结构，将项目逐层分解为可管理的任务单元；</w:t>
      </w:r>
    </w:p>
    <w:p>
      <w:pPr>
        <w:pStyle w:val="Heading1"/>
      </w:pPr>
      <w:bookmarkStart w:id="7" w:name="_LarkToc00007"/>
      <w:r>
        <w:rPr>
          <w:rFonts w:ascii="Times New Roman" w:hAnsi="Times New Roman" w:eastAsia="黑体" w:cs="Times New Roman"/>
          <w:b/>
          <w:color w:val="000000"/>
          <w:sz w:val="32"/>
        </w:rPr>
        <w:t>2 产品功能规划</w:t>
      </w:r>
      <w:bookmarkEnd w:id="7"/>
    </w:p>
    <w:p>
      <w:pPr>
        <w:pStyle w:val="Heading2"/>
      </w:pPr>
      <w:bookmarkStart w:id="8" w:name="_LarkToc00008"/>
      <w:r>
        <w:rPr>
          <w:rFonts w:ascii="Times New Roman" w:hAnsi="Times New Roman" w:eastAsia="黑体" w:cs="Times New Roman"/>
          <w:b/>
          <w:color w:val="000000"/>
          <w:sz w:val="28"/>
        </w:rPr>
        <w:t>2.1 功能总体架构</w:t>
      </w:r>
      <w:bookmarkEnd w:id="8"/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产品以悬浮工具条（主窗体）为统一入口，通过面板弹出方式进入五大功能模块；各模块共享本地 SQLite 数据库，模块之间低耦合，可独立开发与测试。五大功能模块及约束边界一览见表1。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表1　五大功能模块一览</w:t>
      </w:r>
    </w:p>
    <w:tbl>
      <w:tblPr>
        <w:tblW w:type="auto" w:w="0"/>
        <w:jc w:val="center"/>
        <w:tblBorders>
          <w:top w:val="single" w:sz="4" w:space="0" w:color="9FB3AD"/>
          <w:left w:val="single" w:sz="4" w:space="0" w:color="9FB3AD"/>
          <w:bottom w:val="single" w:sz="4" w:space="0" w:color="9FB3AD"/>
          <w:right w:val="single" w:sz="4" w:space="0" w:color="9FB3AD"/>
          <w:insideH w:val="single" w:sz="4" w:space="0" w:color="9FB3AD"/>
          <w:insideV w:val="single" w:sz="4" w:space="0" w:color="9FB3AD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624"/>
        <w:gridCol w:w="1587"/>
        <w:gridCol w:w="4025"/>
        <w:gridCol w:w="2835"/>
      </w:tblGrid>
      <w:tr>
        <w:trPr>
          <w:cantSplit/>
          <w:tblHeader/>
        </w:trPr>
        <w:tc>
          <w:tcPr>
            <w:tcW w:type="dxa" w:w="624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587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功能模块</w:t>
            </w:r>
          </w:p>
        </w:tc>
        <w:tc>
          <w:tcPr>
            <w:tcW w:type="dxa" w:w="4025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核心功能</w:t>
            </w:r>
          </w:p>
        </w:tc>
        <w:tc>
          <w:tcPr>
            <w:tcW w:type="dxa" w:w="2835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约束与边界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01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剪贴板历史记录</w:t>
            </w:r>
          </w:p>
        </w:tc>
        <w:tc>
          <w:tcPr>
            <w:tcW w:type="dxa" w:w="402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后台监听自动保存文本剪贴；列表展示、关键词搜索、点击一键粘贴；常用文本收藏、过期记录自动清理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仅处理文本剪贴内容；本地 SQLite 保存，不上传网络</w:t>
            </w:r>
          </w:p>
        </w:tc>
      </w:tr>
      <w:tr>
        <w:trPr>
          <w:cantSplit/>
        </w:trPr>
        <w:tc>
          <w:tcPr>
            <w:tcW w:type="dxa" w:w="62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02</w:t>
            </w:r>
          </w:p>
        </w:tc>
        <w:tc>
          <w:tcPr>
            <w:tcW w:type="dxa" w:w="1587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任务清单</w:t>
            </w:r>
          </w:p>
        </w:tc>
        <w:tc>
          <w:tcPr>
            <w:tcW w:type="dxa" w:w="4025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新建、编辑、勾选完成与删除待办任务；按完成状态查看；与提醒窗联动，设置截止时间后到点自动弹窗提示</w:t>
            </w:r>
          </w:p>
        </w:tc>
        <w:tc>
          <w:tcPr>
            <w:tcW w:type="dxa" w:w="2835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提醒由本地数据驱动，不接入外部消息源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03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文件快速检索</w:t>
            </w:r>
          </w:p>
        </w:tc>
        <w:tc>
          <w:tcPr>
            <w:tcW w:type="dxa" w:w="402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对指定目录建立简易本地文件索引；按文件后缀、修改时间筛选；一键打开文件或所在文件夹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手动刷新索引，不做实时后台索引，降低 CPU 占用</w:t>
            </w:r>
          </w:p>
        </w:tc>
      </w:tr>
      <w:tr>
        <w:trPr>
          <w:cantSplit/>
        </w:trPr>
        <w:tc>
          <w:tcPr>
            <w:tcW w:type="dxa" w:w="62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04</w:t>
            </w:r>
          </w:p>
        </w:tc>
        <w:tc>
          <w:tcPr>
            <w:tcW w:type="dxa" w:w="1587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课表</w:t>
            </w:r>
          </w:p>
        </w:tc>
        <w:tc>
          <w:tcPr>
            <w:tcW w:type="dxa" w:w="4025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周视图管理课程名称、时间、地点，支持单双周设置；支持教务系统导出的 Excel 课表一键导入</w:t>
            </w:r>
          </w:p>
        </w:tc>
        <w:tc>
          <w:tcPr>
            <w:tcW w:type="dxa" w:w="2835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手工录入 + 文件导入双通道，不接入教务系统账号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05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消息提醒窗</w:t>
            </w:r>
          </w:p>
        </w:tc>
        <w:tc>
          <w:tcPr>
            <w:tcW w:type="dxa" w:w="402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定时扫描本地课表与任务清单数据，到点弹出无边框置顶提醒窗，提供上下课提醒、作业截止提醒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仅本地数据驱动，不接入外部消息源，不联网</w:t>
            </w:r>
          </w:p>
        </w:tc>
      </w:tr>
    </w:tbl>
    <w:p>
      <w:pPr>
        <w:pStyle w:val="Heading2"/>
      </w:pPr>
      <w:bookmarkStart w:id="9" w:name="_LarkToc00009"/>
      <w:r>
        <w:rPr>
          <w:rFonts w:ascii="Times New Roman" w:hAnsi="Times New Roman" w:eastAsia="黑体" w:cs="Times New Roman"/>
          <w:b/>
          <w:color w:val="000000"/>
          <w:sz w:val="28"/>
        </w:rPr>
        <w:t>2.2 剪贴板历史记录</w:t>
      </w:r>
      <w:bookmarkEnd w:id="9"/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后台监听剪贴板并自动保存文本剪贴内容；以列表形式展示历史记录，支持关键词搜索，点击记录即可一键粘贴；支持将常用文本收藏，过期记录自动清理。</w:t>
      </w:r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约束：仅处理文本剪贴内容，不处理图片与文件；记录以本地 SQLite 保存，不上传网络。</w:t>
      </w:r>
    </w:p>
    <w:p>
      <w:pPr>
        <w:pStyle w:val="Heading2"/>
      </w:pPr>
      <w:bookmarkStart w:id="10" w:name="_LarkToc00010"/>
      <w:r>
        <w:rPr>
          <w:rFonts w:ascii="Times New Roman" w:hAnsi="Times New Roman" w:eastAsia="黑体" w:cs="Times New Roman"/>
          <w:b/>
          <w:color w:val="000000"/>
          <w:sz w:val="28"/>
        </w:rPr>
        <w:t>2.3 任务清单</w:t>
      </w:r>
      <w:bookmarkEnd w:id="10"/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支持新建、编辑、勾选完成与删除待办任务，可按完成状态查看任务；与消息提醒窗联动，为任务设置截止时间后，到点自动弹窗提示。</w:t>
      </w:r>
    </w:p>
    <w:p>
      <w:pPr>
        <w:pStyle w:val="Heading2"/>
      </w:pPr>
      <w:bookmarkStart w:id="11" w:name="_LarkToc00011"/>
      <w:r>
        <w:rPr>
          <w:rFonts w:ascii="Times New Roman" w:hAnsi="Times New Roman" w:eastAsia="黑体" w:cs="Times New Roman"/>
          <w:b/>
          <w:color w:val="000000"/>
          <w:sz w:val="28"/>
        </w:rPr>
        <w:t>2.4 文件快速检索</w:t>
      </w:r>
      <w:bookmarkEnd w:id="11"/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对用户指定目录建立简易本地文件索引，支持按文件后缀、修改时间筛选，可一键打开文件或打开文件所在文件夹。</w:t>
      </w:r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约束：采用手动刷新索引方式，不做实时后台索引，以降低 CPU 占用。</w:t>
      </w:r>
    </w:p>
    <w:p>
      <w:pPr>
        <w:pStyle w:val="Heading2"/>
      </w:pPr>
      <w:bookmarkStart w:id="12" w:name="_LarkToc00012"/>
      <w:r>
        <w:rPr>
          <w:rFonts w:ascii="Times New Roman" w:hAnsi="Times New Roman" w:eastAsia="黑体" w:cs="Times New Roman"/>
          <w:b/>
          <w:color w:val="000000"/>
          <w:sz w:val="28"/>
        </w:rPr>
        <w:t>2.5 课表</w:t>
      </w:r>
      <w:bookmarkEnd w:id="12"/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以周视图管理课程，记录课程名称、上课时间与上课地点，支持单双周设置；支持从教务系统导出的 Excel 课表文件一键导入。</w:t>
      </w:r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约束：提供手工录入与文件导入双通道，不接入教务系统账号。</w:t>
      </w:r>
    </w:p>
    <w:p>
      <w:pPr>
        <w:pStyle w:val="Heading2"/>
      </w:pPr>
      <w:bookmarkStart w:id="13" w:name="_LarkToc00013"/>
      <w:r>
        <w:rPr>
          <w:rFonts w:ascii="Times New Roman" w:hAnsi="Times New Roman" w:eastAsia="黑体" w:cs="Times New Roman"/>
          <w:b/>
          <w:color w:val="000000"/>
          <w:sz w:val="28"/>
        </w:rPr>
        <w:t>2.6 消息提醒窗</w:t>
      </w:r>
      <w:bookmarkEnd w:id="13"/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定时扫描本地课表与任务清单数据，到点弹出无边框置顶提醒窗，提供上下课提醒、作业截止提醒。</w:t>
      </w:r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约束：仅由本地数据驱动，不接入外部消息源，不联网。</w:t>
      </w:r>
    </w:p>
    <w:p>
      <w:pPr>
        <w:pStyle w:val="Heading2"/>
      </w:pPr>
      <w:bookmarkStart w:id="14" w:name="_LarkToc00014"/>
      <w:r>
        <w:rPr>
          <w:rFonts w:ascii="Times New Roman" w:hAnsi="Times New Roman" w:eastAsia="黑体" w:cs="Times New Roman"/>
          <w:b/>
          <w:color w:val="000000"/>
          <w:sz w:val="28"/>
        </w:rPr>
        <w:t>2.7 功能边界与约束汇总</w:t>
      </w:r>
      <w:bookmarkEnd w:id="14"/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产品定位为单机本地工具，不设账号体系，不产生任何网络数据上传。首期约束包括：剪贴板仅处理文本，文件索引采用手动刷新，课表不接入教务系统账号，提醒不接入外部消息源。上述约束以降低资源占用、保护用户隐私、控制首期开发范围为目的，后续版本可视使用反馈再行扩展。</w:t>
      </w:r>
    </w:p>
    <w:p>
      <w:pPr>
        <w:pStyle w:val="Heading1"/>
      </w:pPr>
      <w:bookmarkStart w:id="15" w:name="_LarkToc00015"/>
      <w:r>
        <w:rPr>
          <w:rFonts w:ascii="Times New Roman" w:hAnsi="Times New Roman" w:eastAsia="黑体" w:cs="Times New Roman"/>
          <w:b/>
          <w:color w:val="000000"/>
          <w:sz w:val="32"/>
        </w:rPr>
        <w:t>3 技术方案</w:t>
      </w:r>
      <w:bookmarkEnd w:id="15"/>
    </w:p>
    <w:p>
      <w:pPr>
        <w:pStyle w:val="Heading2"/>
      </w:pPr>
      <w:bookmarkStart w:id="16" w:name="_LarkToc00016"/>
      <w:r>
        <w:rPr>
          <w:rFonts w:ascii="Times New Roman" w:hAnsi="Times New Roman" w:eastAsia="黑体" w:cs="Times New Roman"/>
          <w:b/>
          <w:color w:val="000000"/>
          <w:sz w:val="28"/>
        </w:rPr>
        <w:t>3.1 技术栈选型</w:t>
      </w:r>
      <w:bookmarkEnd w:id="16"/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产品采用轻量本地技术栈，开发语言、界面框架、数据存储与运行平台选型见表2，全部组件均为成熟开源方案。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表2　技术栈选型</w:t>
      </w:r>
    </w:p>
    <w:tbl>
      <w:tblPr>
        <w:tblW w:type="auto" w:w="0"/>
        <w:jc w:val="center"/>
        <w:tblBorders>
          <w:top w:val="single" w:sz="4" w:space="0" w:color="9FB3AD"/>
          <w:left w:val="single" w:sz="4" w:space="0" w:color="9FB3AD"/>
          <w:bottom w:val="single" w:sz="4" w:space="0" w:color="9FB3AD"/>
          <w:right w:val="single" w:sz="4" w:space="0" w:color="9FB3AD"/>
          <w:insideH w:val="single" w:sz="4" w:space="0" w:color="9FB3AD"/>
          <w:insideV w:val="single" w:sz="4" w:space="0" w:color="9FB3AD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587"/>
        <w:gridCol w:w="1928"/>
        <w:gridCol w:w="5556"/>
      </w:tblGrid>
      <w:tr>
        <w:trPr>
          <w:cantSplit/>
          <w:tblHeader/>
        </w:trPr>
        <w:tc>
          <w:tcPr>
            <w:tcW w:type="dxa" w:w="1587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层次</w:t>
            </w:r>
          </w:p>
        </w:tc>
        <w:tc>
          <w:tcPr>
            <w:tcW w:type="dxa" w:w="1928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选型</w:t>
            </w:r>
          </w:p>
        </w:tc>
        <w:tc>
          <w:tcPr>
            <w:tcW w:type="dxa" w:w="5556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选型理由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开发语言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Python</w:t>
            </w:r>
          </w:p>
        </w:tc>
        <w:tc>
          <w:tcPr>
            <w:tcW w:type="dxa" w:w="555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生态成熟，桌面 GUI 开发效率高</w:t>
            </w:r>
          </w:p>
        </w:tc>
      </w:tr>
      <w:tr>
        <w:trPr>
          <w:cantSplit/>
        </w:trPr>
        <w:tc>
          <w:tcPr>
            <w:tcW w:type="dxa" w:w="1587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界面框架</w:t>
            </w:r>
          </w:p>
        </w:tc>
        <w:tc>
          <w:tcPr>
            <w:tcW w:type="dxa" w:w="1928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PyQt5 / PySide6</w:t>
            </w:r>
          </w:p>
        </w:tc>
        <w:tc>
          <w:tcPr>
            <w:tcW w:type="dxa" w:w="5556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对悬浮窗、置顶、拖拽与面板弹出有成熟支持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数据存储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SQLite</w:t>
            </w:r>
          </w:p>
        </w:tc>
        <w:tc>
          <w:tcPr>
            <w:tcW w:type="dxa" w:w="555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嵌入式零配置，本地单文件即数据库，隐私友好</w:t>
            </w:r>
          </w:p>
        </w:tc>
      </w:tr>
      <w:tr>
        <w:trPr>
          <w:cantSplit/>
        </w:trPr>
        <w:tc>
          <w:tcPr>
            <w:tcW w:type="dxa" w:w="1587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运行平台</w:t>
            </w:r>
          </w:p>
        </w:tc>
        <w:tc>
          <w:tcPr>
            <w:tcW w:type="dxa" w:w="1928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Windows</w:t>
            </w:r>
          </w:p>
        </w:tc>
        <w:tc>
          <w:tcPr>
            <w:tcW w:type="dxa" w:w="5556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打包为桌面可执行程序，具体打包方案（如 PyInstaller）在开发阶段确定</w:t>
            </w:r>
          </w:p>
        </w:tc>
      </w:tr>
    </w:tbl>
    <w:p>
      <w:pPr>
        <w:pStyle w:val="Heading2"/>
      </w:pPr>
      <w:bookmarkStart w:id="17" w:name="_LarkToc00017"/>
      <w:r>
        <w:rPr>
          <w:rFonts w:ascii="Times New Roman" w:hAnsi="Times New Roman" w:eastAsia="黑体" w:cs="Times New Roman"/>
          <w:b/>
          <w:color w:val="000000"/>
          <w:sz w:val="28"/>
        </w:rPr>
        <w:t>3.2 系统总体结构</w:t>
      </w:r>
      <w:bookmarkEnd w:id="17"/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系统总体结构分为三层：悬浮工具条（主窗体）作为常驻入口，五大功能模块负责各自业务逻辑，SQLite 本地数据库统一存储剪贴板、任务、文件索引与课表数据，如图1所示。</w:t>
      </w:r>
    </w:p>
    <w:tbl>
      <w:tblPr>
        <w:tblW w:type="auto" w:w="0"/>
        <w:jc w:val="center"/>
        <w:tblBorders>
          <w:top w:val="single" w:sz="4" w:space="0" w:color="9FB3AD"/>
          <w:left w:val="single" w:sz="4" w:space="0" w:color="9FB3AD"/>
          <w:bottom w:val="single" w:sz="4" w:space="0" w:color="9FB3AD"/>
          <w:right w:val="single" w:sz="4" w:space="0" w:color="9FB3AD"/>
          <w:insideH w:val="single" w:sz="4" w:space="0" w:color="9FB3AD"/>
          <w:insideV w:val="single" w:sz="4" w:space="0" w:color="9FB3AD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6803"/>
      </w:tblGrid>
      <w:tr>
        <w:trPr>
          <w:cantSplit/>
        </w:trPr>
        <w:tc>
          <w:tcPr>
            <w:tcW w:type="dxa" w:w="6803"/>
            <w:shd w:val="clear" w:fill="2F5D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22"/>
              </w:rPr>
              <w:t>悬浮工具条（主窗体）</w:t>
            </w:r>
          </w:p>
        </w:tc>
      </w:tr>
    </w:tbl>
    <w:p>
      <w:pPr>
        <w:spacing w:before="40" w:after="4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2F5D50"/>
          <w:sz w:val="18"/>
        </w:rPr>
        <w:t>▼</w:t>
      </w:r>
    </w:p>
    <w:tbl>
      <w:tblPr>
        <w:tblW w:type="auto" w:w="0"/>
        <w:jc w:val="center"/>
        <w:tblBorders>
          <w:top w:val="single" w:sz="4" w:space="0" w:color="9FB3AD"/>
          <w:left w:val="single" w:sz="4" w:space="0" w:color="9FB3AD"/>
          <w:bottom w:val="single" w:sz="4" w:space="0" w:color="9FB3AD"/>
          <w:right w:val="single" w:sz="4" w:space="0" w:color="9FB3AD"/>
          <w:insideH w:val="single" w:sz="4" w:space="0" w:color="9FB3AD"/>
          <w:insideV w:val="single" w:sz="4" w:space="0" w:color="9FB3AD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361"/>
        <w:gridCol w:w="1361"/>
        <w:gridCol w:w="1361"/>
        <w:gridCol w:w="1361"/>
        <w:gridCol w:w="1361"/>
      </w:tblGrid>
      <w:tr>
        <w:trPr>
          <w:cantSplit/>
        </w:trPr>
        <w:tc>
          <w:tcPr>
            <w:tcW w:type="dxa" w:w="1361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剪贴板</w:t>
            </w:r>
          </w:p>
        </w:tc>
        <w:tc>
          <w:tcPr>
            <w:tcW w:type="dxa" w:w="1361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任务清单</w:t>
            </w:r>
          </w:p>
        </w:tc>
        <w:tc>
          <w:tcPr>
            <w:tcW w:type="dxa" w:w="1361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文件检索</w:t>
            </w:r>
          </w:p>
        </w:tc>
        <w:tc>
          <w:tcPr>
            <w:tcW w:type="dxa" w:w="1361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课表</w:t>
            </w:r>
          </w:p>
        </w:tc>
        <w:tc>
          <w:tcPr>
            <w:tcW w:type="dxa" w:w="1361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提醒窗</w:t>
            </w:r>
          </w:p>
        </w:tc>
      </w:tr>
    </w:tbl>
    <w:p>
      <w:pPr>
        <w:spacing w:before="40" w:after="4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2F5D50"/>
          <w:sz w:val="18"/>
        </w:rPr>
        <w:t>▼</w:t>
      </w:r>
    </w:p>
    <w:tbl>
      <w:tblPr>
        <w:tblW w:type="auto" w:w="0"/>
        <w:jc w:val="center"/>
        <w:tblBorders>
          <w:top w:val="single" w:sz="4" w:space="0" w:color="9FB3AD"/>
          <w:left w:val="single" w:sz="4" w:space="0" w:color="9FB3AD"/>
          <w:bottom w:val="single" w:sz="4" w:space="0" w:color="9FB3AD"/>
          <w:right w:val="single" w:sz="4" w:space="0" w:color="9FB3AD"/>
          <w:insideH w:val="single" w:sz="4" w:space="0" w:color="9FB3AD"/>
          <w:insideV w:val="single" w:sz="4" w:space="0" w:color="9FB3AD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6803"/>
      </w:tblGrid>
      <w:tr>
        <w:trPr>
          <w:cantSplit/>
        </w:trPr>
        <w:tc>
          <w:tcPr>
            <w:tcW w:type="dxa" w:w="6803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SQLite 本地数据库（本地单文件存储，不上传网络）</w:t>
            </w:r>
          </w:p>
        </w:tc>
      </w:tr>
    </w:tbl>
    <w:p>
      <w:pPr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　系统总体结构（示意）</w:t>
      </w:r>
    </w:p>
    <w:p>
      <w:pPr>
        <w:pStyle w:val="Heading2"/>
      </w:pPr>
      <w:bookmarkStart w:id="18" w:name="_LarkToc00018"/>
      <w:r>
        <w:rPr>
          <w:rFonts w:ascii="Times New Roman" w:hAnsi="Times New Roman" w:eastAsia="黑体" w:cs="Times New Roman"/>
          <w:b/>
          <w:color w:val="000000"/>
          <w:sz w:val="28"/>
        </w:rPr>
        <w:t>3.3 关键技术</w:t>
      </w:r>
      <w:bookmarkEnd w:id="18"/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五大功能依赖的关键技术均有成熟实现方案，关键技术与实现方式见表3。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表3　关键技术与实现方式</w:t>
      </w:r>
    </w:p>
    <w:tbl>
      <w:tblPr>
        <w:tblW w:type="auto" w:w="0"/>
        <w:jc w:val="center"/>
        <w:tblBorders>
          <w:top w:val="single" w:sz="4" w:space="0" w:color="9FB3AD"/>
          <w:left w:val="single" w:sz="4" w:space="0" w:color="9FB3AD"/>
          <w:bottom w:val="single" w:sz="4" w:space="0" w:color="9FB3AD"/>
          <w:right w:val="single" w:sz="4" w:space="0" w:color="9FB3AD"/>
          <w:insideH w:val="single" w:sz="4" w:space="0" w:color="9FB3AD"/>
          <w:insideV w:val="single" w:sz="4" w:space="0" w:color="9FB3AD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4989"/>
      </w:tblGrid>
      <w:tr>
        <w:trPr>
          <w:cantSplit/>
          <w:tblHeader/>
        </w:trPr>
        <w:tc>
          <w:tcPr>
            <w:tcW w:type="dxa" w:w="2041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关键技术</w:t>
            </w:r>
          </w:p>
        </w:tc>
        <w:tc>
          <w:tcPr>
            <w:tcW w:type="dxa" w:w="2041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实现方式</w:t>
            </w:r>
          </w:p>
        </w:tc>
        <w:tc>
          <w:tcPr>
            <w:tcW w:type="dxa" w:w="4989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可行性说明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剪贴板后台监听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QClipboard</w:t>
            </w:r>
          </w:p>
        </w:tc>
        <w:tc>
          <w:tcPr>
            <w:tcW w:type="dxa" w:w="498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事件驱动捕获文本剪贴，官方接口稳定</w:t>
            </w:r>
          </w:p>
        </w:tc>
      </w:tr>
      <w:tr>
        <w:trPr>
          <w:cantSplit/>
        </w:trPr>
        <w:tc>
          <w:tcPr>
            <w:tcW w:type="dxa" w:w="2041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无边框置顶悬浮窗</w:t>
            </w:r>
          </w:p>
        </w:tc>
        <w:tc>
          <w:tcPr>
            <w:tcW w:type="dxa" w:w="2041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Qt 窗口标志</w:t>
            </w:r>
          </w:p>
        </w:tc>
        <w:tc>
          <w:tcPr>
            <w:tcW w:type="dxa" w:w="4989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Frameless + TopHint 成熟方案，拖拽与弹出支持好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本地数据存储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SQLite</w:t>
            </w:r>
          </w:p>
        </w:tc>
        <w:tc>
          <w:tcPr>
            <w:tcW w:type="dxa" w:w="498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嵌入式单文件数据库，零配置、事务安全</w:t>
            </w:r>
          </w:p>
        </w:tc>
      </w:tr>
      <w:tr>
        <w:trPr>
          <w:cantSplit/>
        </w:trPr>
        <w:tc>
          <w:tcPr>
            <w:tcW w:type="dxa" w:w="2041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Excel 课表导入</w:t>
            </w:r>
          </w:p>
        </w:tc>
        <w:tc>
          <w:tcPr>
            <w:tcW w:type="dxa" w:w="2041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openpyxl</w:t>
            </w:r>
          </w:p>
        </w:tc>
        <w:tc>
          <w:tcPr>
            <w:tcW w:type="dxa" w:w="4989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解析本校教务系统固定模板导出文件，保留容错处理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到点扫描提醒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QTimer 定时驱动</w:t>
            </w:r>
          </w:p>
        </w:tc>
        <w:tc>
          <w:tcPr>
            <w:tcW w:type="dxa" w:w="498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扫描本地课表与任务数据，弹出无边框置顶提醒窗</w:t>
            </w:r>
          </w:p>
        </w:tc>
      </w:tr>
    </w:tbl>
    <w:p>
      <w:pPr>
        <w:pStyle w:val="Heading1"/>
      </w:pPr>
      <w:bookmarkStart w:id="19" w:name="_LarkToc00019"/>
      <w:r>
        <w:rPr>
          <w:rFonts w:ascii="Times New Roman" w:hAnsi="Times New Roman" w:eastAsia="黑体" w:cs="Times New Roman"/>
          <w:b/>
          <w:color w:val="000000"/>
          <w:sz w:val="32"/>
        </w:rPr>
        <w:t>4 可行性分析</w:t>
      </w:r>
      <w:bookmarkEnd w:id="19"/>
    </w:p>
    <w:p>
      <w:pPr>
        <w:pStyle w:val="Heading2"/>
      </w:pPr>
      <w:bookmarkStart w:id="20" w:name="_LarkToc00020"/>
      <w:r>
        <w:rPr>
          <w:rFonts w:ascii="Times New Roman" w:hAnsi="Times New Roman" w:eastAsia="黑体" w:cs="Times New Roman"/>
          <w:b/>
          <w:color w:val="000000"/>
          <w:sz w:val="28"/>
        </w:rPr>
        <w:t>4.1 技术可行性</w:t>
      </w:r>
      <w:bookmarkEnd w:id="20"/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表3所列五项关键技术均为成熟方案，具备官方或社区稳定接口，无需自研底层能力；小组成员具备 Python 编程基础，可在课程周期内完成学习与开发，技术风险可控。本项目面向单一学校（本校），课表 Excel 导入仅适配本校教务系统固定模板，格式统一、实现难度低，同时保留容错处理，已在风险分析中列出应对措施。</w:t>
      </w:r>
    </w:p>
    <w:p>
      <w:pPr>
        <w:pStyle w:val="Heading2"/>
      </w:pPr>
      <w:bookmarkStart w:id="21" w:name="_LarkToc00021"/>
      <w:r>
        <w:rPr>
          <w:rFonts w:ascii="Times New Roman" w:hAnsi="Times New Roman" w:eastAsia="黑体" w:cs="Times New Roman"/>
          <w:b/>
          <w:color w:val="000000"/>
          <w:sz w:val="28"/>
        </w:rPr>
        <w:t>4.2 经济可行性</w:t>
      </w:r>
      <w:bookmarkEnd w:id="21"/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全开源技术栈（Python / Qt / SQLite / PyInstaller），授权成本为 0 元；使用个人电脑即可完成开发与运行，无需额外硬件投入。</w:t>
      </w:r>
    </w:p>
    <w:p>
      <w:pPr>
        <w:pStyle w:val="Heading2"/>
      </w:pPr>
      <w:bookmarkStart w:id="22" w:name="_LarkToc00022"/>
      <w:r>
        <w:rPr>
          <w:rFonts w:ascii="Times New Roman" w:hAnsi="Times New Roman" w:eastAsia="黑体" w:cs="Times New Roman"/>
          <w:b/>
          <w:color w:val="000000"/>
          <w:sz w:val="28"/>
        </w:rPr>
        <w:t>4.3 操作可行性</w:t>
      </w:r>
      <w:bookmarkEnd w:id="22"/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产品免注册、免登录，数据全部本地存储；“悬浮工具条 + 面板弹出”的交互直观明确，学习成本低，常驻后台不打扰，符合目标用户的使用习惯。</w:t>
      </w:r>
    </w:p>
    <w:p>
      <w:pPr>
        <w:pStyle w:val="Heading2"/>
      </w:pPr>
      <w:bookmarkStart w:id="23" w:name="_LarkToc00023"/>
      <w:r>
        <w:rPr>
          <w:rFonts w:ascii="Times New Roman" w:hAnsi="Times New Roman" w:eastAsia="黑体" w:cs="Times New Roman"/>
          <w:b/>
          <w:color w:val="000000"/>
          <w:sz w:val="28"/>
        </w:rPr>
        <w:t>4.4 进度可行性与风险</w:t>
      </w:r>
      <w:bookmarkEnd w:id="23"/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五大功能模块耦合度低、可并行开发，三人人力可以覆盖；课程周期划分为七个阶段并设置里程碑评审。主要风险为课表 Excel 解析异常与多模块联调，应对方式为里程碑评审加预留缓冲，详见第 5 章与第 8 章。本章为初稿，随项目推进滚动修订。</w:t>
      </w:r>
    </w:p>
    <w:p>
      <w:pPr>
        <w:pStyle w:val="Heading1"/>
      </w:pPr>
      <w:bookmarkStart w:id="24" w:name="_LarkToc00024"/>
      <w:r>
        <w:rPr>
          <w:rFonts w:ascii="Times New Roman" w:hAnsi="Times New Roman" w:eastAsia="黑体" w:cs="Times New Roman"/>
          <w:b/>
          <w:color w:val="000000"/>
          <w:sz w:val="32"/>
        </w:rPr>
        <w:t>5 实施计划</w:t>
      </w:r>
      <w:bookmarkEnd w:id="24"/>
    </w:p>
    <w:p>
      <w:pPr>
        <w:pStyle w:val="Heading2"/>
      </w:pPr>
      <w:bookmarkStart w:id="25" w:name="_LarkToc00025"/>
      <w:r>
        <w:rPr>
          <w:rFonts w:ascii="Times New Roman" w:hAnsi="Times New Roman" w:eastAsia="黑体" w:cs="Times New Roman"/>
          <w:b/>
          <w:color w:val="000000"/>
          <w:sz w:val="28"/>
        </w:rPr>
        <w:t>5.1 工作分解结构</w:t>
      </w:r>
      <w:bookmarkEnd w:id="25"/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项目按课程周期划分为七个阶段，各阶段关键任务、交付物、负责人与时间安排见表4（W1 对应 2026 年 9 月 14 日所在周）。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表4　项目工作分解结构（WBS）</w:t>
      </w:r>
    </w:p>
    <w:tbl>
      <w:tblPr>
        <w:tblW w:type="auto" w:w="0"/>
        <w:jc w:val="center"/>
        <w:tblBorders>
          <w:top w:val="single" w:sz="4" w:space="0" w:color="9FB3AD"/>
          <w:left w:val="single" w:sz="4" w:space="0" w:color="9FB3AD"/>
          <w:bottom w:val="single" w:sz="4" w:space="0" w:color="9FB3AD"/>
          <w:right w:val="single" w:sz="4" w:space="0" w:color="9FB3AD"/>
          <w:insideH w:val="single" w:sz="4" w:space="0" w:color="9FB3AD"/>
          <w:insideV w:val="single" w:sz="4" w:space="0" w:color="9FB3AD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361"/>
        <w:gridCol w:w="2381"/>
        <w:gridCol w:w="2154"/>
        <w:gridCol w:w="1814"/>
        <w:gridCol w:w="1361"/>
      </w:tblGrid>
      <w:tr>
        <w:trPr>
          <w:cantSplit/>
          <w:tblHeader/>
        </w:trPr>
        <w:tc>
          <w:tcPr>
            <w:tcW w:type="dxa" w:w="1361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2381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关键任务</w:t>
            </w:r>
          </w:p>
        </w:tc>
        <w:tc>
          <w:tcPr>
            <w:tcW w:type="dxa" w:w="2154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交付物</w:t>
            </w:r>
          </w:p>
        </w:tc>
        <w:tc>
          <w:tcPr>
            <w:tcW w:type="dxa" w:w="1814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负责人</w:t>
            </w:r>
          </w:p>
        </w:tc>
        <w:tc>
          <w:tcPr>
            <w:tcW w:type="dxa" w:w="1361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时间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项目计划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编制项目计划、评审与修订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项目计划及 PPT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全组 · 彭靖轩牵头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W1–W5</w:t>
            </w:r>
          </w:p>
        </w:tc>
      </w:tr>
      <w:tr>
        <w:trPr>
          <w:cantSplit/>
        </w:trPr>
        <w:tc>
          <w:tcPr>
            <w:tcW w:type="dxa" w:w="1361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可行性研究</w:t>
            </w:r>
          </w:p>
        </w:tc>
        <w:tc>
          <w:tcPr>
            <w:tcW w:type="dxa" w:w="2381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关键技术论证与风险分析</w:t>
            </w:r>
          </w:p>
        </w:tc>
        <w:tc>
          <w:tcPr>
            <w:tcW w:type="dxa" w:w="215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可行性分析报告</w:t>
            </w:r>
          </w:p>
        </w:tc>
        <w:tc>
          <w:tcPr>
            <w:tcW w:type="dxa" w:w="181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彭靖轩</w:t>
            </w:r>
          </w:p>
        </w:tc>
        <w:tc>
          <w:tcPr>
            <w:tcW w:type="dxa" w:w="1361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W6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需求分析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SRS 编制、需求评审与修订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需求说明 SRS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全组 · 邵博凯牵头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W7–W8</w:t>
            </w:r>
          </w:p>
        </w:tc>
      </w:tr>
      <w:tr>
        <w:trPr>
          <w:cantSplit/>
        </w:trPr>
        <w:tc>
          <w:tcPr>
            <w:tcW w:type="dxa" w:w="1361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总体与详细设计</w:t>
            </w:r>
          </w:p>
        </w:tc>
        <w:tc>
          <w:tcPr>
            <w:tcW w:type="dxa" w:w="2381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架构 / 界面 / 数据库设计、修订</w:t>
            </w:r>
          </w:p>
        </w:tc>
        <w:tc>
          <w:tcPr>
            <w:tcW w:type="dxa" w:w="215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总体与详细设计报告</w:t>
            </w:r>
          </w:p>
        </w:tc>
        <w:tc>
          <w:tcPr>
            <w:tcW w:type="dxa" w:w="181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全组 · 孔世豪牵头</w:t>
            </w:r>
          </w:p>
        </w:tc>
        <w:tc>
          <w:tcPr>
            <w:tcW w:type="dxa" w:w="1361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W9–W11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实现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五大模块编码、测试用例设计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代码清单与翻转 PPT2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按模块分工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W12</w:t>
            </w:r>
          </w:p>
        </w:tc>
      </w:tr>
      <w:tr>
        <w:trPr>
          <w:cantSplit/>
        </w:trPr>
        <w:tc>
          <w:tcPr>
            <w:tcW w:type="dxa" w:w="1361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系统测试</w:t>
            </w:r>
          </w:p>
        </w:tc>
        <w:tc>
          <w:tcPr>
            <w:tcW w:type="dxa" w:w="2381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系统测试、评审与修订</w:t>
            </w:r>
          </w:p>
        </w:tc>
        <w:tc>
          <w:tcPr>
            <w:tcW w:type="dxa" w:w="215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系统测试报告</w:t>
            </w:r>
          </w:p>
        </w:tc>
        <w:tc>
          <w:tcPr>
            <w:tcW w:type="dxa" w:w="181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邵博凯牵头</w:t>
            </w:r>
          </w:p>
        </w:tc>
        <w:tc>
          <w:tcPr>
            <w:tcW w:type="dxa" w:w="1361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W13–W14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总结与总评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总结报告、总评审 PPT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项目总结报告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全组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W15–W16</w:t>
            </w:r>
          </w:p>
        </w:tc>
      </w:tr>
    </w:tbl>
    <w:p>
      <w:pPr>
        <w:pStyle w:val="Heading2"/>
      </w:pPr>
      <w:bookmarkStart w:id="26" w:name="_LarkToc00026"/>
      <w:r>
        <w:rPr>
          <w:rFonts w:ascii="Times New Roman" w:hAnsi="Times New Roman" w:eastAsia="黑体" w:cs="Times New Roman"/>
          <w:b/>
          <w:color w:val="000000"/>
          <w:sz w:val="28"/>
        </w:rPr>
        <w:t>5.2 里程碑计划</w:t>
      </w:r>
      <w:bookmarkEnd w:id="26"/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全项目设置七个里程碑，作为各阶段成果检查点，具体日期见表5。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表5　里程碑计划</w:t>
      </w:r>
    </w:p>
    <w:tbl>
      <w:tblPr>
        <w:tblW w:type="auto" w:w="0"/>
        <w:jc w:val="center"/>
        <w:tblBorders>
          <w:top w:val="single" w:sz="4" w:space="0" w:color="9FB3AD"/>
          <w:left w:val="single" w:sz="4" w:space="0" w:color="9FB3AD"/>
          <w:bottom w:val="single" w:sz="4" w:space="0" w:color="9FB3AD"/>
          <w:right w:val="single" w:sz="4" w:space="0" w:color="9FB3AD"/>
          <w:insideH w:val="single" w:sz="4" w:space="0" w:color="9FB3AD"/>
          <w:insideV w:val="single" w:sz="4" w:space="0" w:color="9FB3AD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701"/>
        <w:gridCol w:w="1361"/>
        <w:gridCol w:w="1134"/>
        <w:gridCol w:w="4876"/>
      </w:tblGrid>
      <w:tr>
        <w:trPr>
          <w:cantSplit/>
          <w:tblHeader/>
        </w:trPr>
        <w:tc>
          <w:tcPr>
            <w:tcW w:type="dxa" w:w="1701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里程碑</w:t>
            </w:r>
          </w:p>
        </w:tc>
        <w:tc>
          <w:tcPr>
            <w:tcW w:type="dxa" w:w="1361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1134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所在周次</w:t>
            </w:r>
          </w:p>
        </w:tc>
        <w:tc>
          <w:tcPr>
            <w:tcW w:type="dxa" w:w="4876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标志成果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M1 项目计划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10 月 11 日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W5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项目计划定稿并提交评审</w:t>
            </w:r>
          </w:p>
        </w:tc>
      </w:tr>
      <w:tr>
        <w:trPr>
          <w:cantSplit/>
        </w:trPr>
        <w:tc>
          <w:tcPr>
            <w:tcW w:type="dxa" w:w="1701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M2 需求说明</w:t>
            </w:r>
          </w:p>
        </w:tc>
        <w:tc>
          <w:tcPr>
            <w:tcW w:type="dxa" w:w="1361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11 月 1 日</w:t>
            </w:r>
          </w:p>
        </w:tc>
        <w:tc>
          <w:tcPr>
            <w:tcW w:type="dxa" w:w="113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W8</w:t>
            </w:r>
          </w:p>
        </w:tc>
        <w:tc>
          <w:tcPr>
            <w:tcW w:type="dxa" w:w="4876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需求说明 SRS 定稿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M3 设计评审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11 月 29 日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W11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总体与详细设计评审</w:t>
            </w:r>
          </w:p>
        </w:tc>
      </w:tr>
      <w:tr>
        <w:trPr>
          <w:cantSplit/>
        </w:trPr>
        <w:tc>
          <w:tcPr>
            <w:tcW w:type="dxa" w:w="1701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M4 实现完成</w:t>
            </w:r>
          </w:p>
        </w:tc>
        <w:tc>
          <w:tcPr>
            <w:tcW w:type="dxa" w:w="1361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12 月 6 日</w:t>
            </w:r>
          </w:p>
        </w:tc>
        <w:tc>
          <w:tcPr>
            <w:tcW w:type="dxa" w:w="113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W12</w:t>
            </w:r>
          </w:p>
        </w:tc>
        <w:tc>
          <w:tcPr>
            <w:tcW w:type="dxa" w:w="4876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五大模块编码完成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M5 测试报告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12 月 13 日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W14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系统测试报告完成</w:t>
            </w:r>
          </w:p>
        </w:tc>
      </w:tr>
      <w:tr>
        <w:trPr>
          <w:cantSplit/>
        </w:trPr>
        <w:tc>
          <w:tcPr>
            <w:tcW w:type="dxa" w:w="1701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M6 项目总结</w:t>
            </w:r>
          </w:p>
        </w:tc>
        <w:tc>
          <w:tcPr>
            <w:tcW w:type="dxa" w:w="1361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 月 3 日</w:t>
            </w:r>
          </w:p>
        </w:tc>
        <w:tc>
          <w:tcPr>
            <w:tcW w:type="dxa" w:w="113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W16</w:t>
            </w:r>
          </w:p>
        </w:tc>
        <w:tc>
          <w:tcPr>
            <w:tcW w:type="dxa" w:w="4876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项目总结报告完成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M7 终评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 月 10 日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W17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总评审与课程收尾</w:t>
            </w:r>
          </w:p>
        </w:tc>
      </w:tr>
    </w:tbl>
    <w:p>
      <w:pPr>
        <w:pStyle w:val="Heading2"/>
      </w:pPr>
      <w:bookmarkStart w:id="27" w:name="_LarkToc00027"/>
      <w:r>
        <w:rPr>
          <w:rFonts w:ascii="Times New Roman" w:hAnsi="Times New Roman" w:eastAsia="黑体" w:cs="Times New Roman"/>
          <w:b/>
          <w:color w:val="000000"/>
          <w:sz w:val="28"/>
        </w:rPr>
        <w:t>5.3 进度安排</w:t>
      </w:r>
      <w:bookmarkEnd w:id="27"/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项目进度按周安排，周次与日期对照及各阶段进度条见图2。W17（1 月 4 日至 1 月 10 日）为课程终评与收尾缓冲周。</w:t>
      </w:r>
    </w:p>
    <w:tbl>
      <w:tblPr>
        <w:tblW w:type="auto" w:w="0"/>
        <w:jc w:val="center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2" w:space="0" w:color="BBBBBB"/>
          <w:insideV w:val="single" w:sz="2" w:space="0" w:color="BBBBBB"/>
        </w:tblBorders>
        <w:tblLayout w:type="fixed"/>
        <w:tblLayout w:type="fixed"/>
        <w:tblCellMar>
          <w:top w:w="6" w:type="dxa"/>
          <w:left w:w="20" w:type="dxa"/>
          <w:bottom w:w="6" w:type="dxa"/>
          <w:right w:w="20" w:type="dxa"/>
        </w:tblCellMar>
        <w:tblLook w:firstColumn="1" w:firstRow="1" w:lastColumn="0" w:lastRow="0" w:noHBand="0" w:noVBand="1" w:val="04A0"/>
      </w:tblPr>
      <w:tblGrid>
        <w:gridCol w:w="1474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</w:tblGrid>
      <w:tr>
        <w:trPr>
          <w:cantSplit/>
          <w:tblHeader/>
        </w:trPr>
        <w:tc>
          <w:tcPr>
            <w:tcW w:type="dxa" w:w="1474"/>
            <w:vMerge w:val="restart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6"/>
              </w:rPr>
              <w:t>阶段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4"/>
              </w:rPr>
              <w:t>W1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4"/>
              </w:rPr>
              <w:t>W2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4"/>
              </w:rPr>
              <w:t>W3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4"/>
              </w:rPr>
              <w:t>W4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4"/>
              </w:rPr>
              <w:t>W5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4"/>
              </w:rPr>
              <w:t>W6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4"/>
              </w:rPr>
              <w:t>W7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4"/>
              </w:rPr>
              <w:t>W8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4"/>
              </w:rPr>
              <w:t>W9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4"/>
              </w:rPr>
              <w:t>W10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4"/>
              </w:rPr>
              <w:t>W11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4"/>
              </w:rPr>
              <w:t>W12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4"/>
              </w:rPr>
              <w:t>W13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4"/>
              </w:rPr>
              <w:t>W14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4"/>
              </w:rPr>
              <w:t>W15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4"/>
              </w:rPr>
              <w:t>W16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4"/>
              </w:rPr>
              <w:t>W17</w:t>
            </w:r>
          </w:p>
        </w:tc>
      </w:tr>
      <w:tr>
        <w:trPr>
          <w:cantSplit/>
          <w:tblHeader/>
        </w:trPr>
        <w:tc>
          <w:tcPr>
            <w:tcW w:type="dxa" w:w="504"/>
            <w:vMerge/>
          </w:tcPr>
          <w:p/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>9/14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>9/21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>9/28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>10/5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>10/12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>10/19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>10/26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>11/2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>11/9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>11/16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>11/23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>11/30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>12/7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>12/14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>12/21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>12/28</w:t>
            </w:r>
          </w:p>
        </w:tc>
        <w:tc>
          <w:tcPr>
            <w:tcW w:type="dxa" w:w="4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>1/4</w:t>
            </w:r>
          </w:p>
        </w:tc>
      </w:tr>
      <w:tr>
        <w:trPr>
          <w:cantSplit/>
        </w:trPr>
        <w:tc>
          <w:tcPr>
            <w:tcW w:type="dxa" w:w="1474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项目计划</w:t>
            </w:r>
          </w:p>
        </w:tc>
        <w:tc>
          <w:tcPr>
            <w:tcW w:type="dxa" w:w="442"/>
            <w:shd w:val="clear" w:fill="2F5D50"/>
            <w:vAlign w:val="center"/>
            <w:shd w:val="clear" w:color="auto" w:fill="4472C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 xml:space="preserve">　</w:t>
            </w:r>
          </w:p>
        </w:tc>
        <w:tc>
          <w:tcPr>
            <w:tcW w:type="dxa" w:w="442"/>
            <w:shd w:val="clear" w:fill="2F5D50"/>
            <w:vAlign w:val="center"/>
            <w:shd w:val="clear" w:color="auto" w:fill="4472C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 xml:space="preserve">　</w:t>
            </w:r>
          </w:p>
        </w:tc>
        <w:tc>
          <w:tcPr>
            <w:tcW w:type="dxa" w:w="442"/>
            <w:shd w:val="clear" w:fill="2F5D50"/>
            <w:vAlign w:val="center"/>
            <w:shd w:val="clear" w:color="auto" w:fill="4472C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 xml:space="preserve">　</w:t>
            </w:r>
          </w:p>
        </w:tc>
        <w:tc>
          <w:tcPr>
            <w:tcW w:type="dxa" w:w="442"/>
            <w:shd w:val="clear" w:fill="2F5D50"/>
            <w:vAlign w:val="center"/>
            <w:shd w:val="clear" w:color="auto" w:fill="4472C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 xml:space="preserve">　</w:t>
            </w:r>
          </w:p>
        </w:tc>
        <w:tc>
          <w:tcPr>
            <w:tcW w:type="dxa" w:w="442"/>
            <w:shd w:val="clear" w:fill="2F5D50"/>
            <w:vAlign w:val="center"/>
            <w:shd w:val="clear" w:color="auto" w:fill="4472C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 xml:space="preserve">　</w:t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可行性研究</w:t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shd w:val="clear" w:fill="2F5D50"/>
            <w:vAlign w:val="center"/>
            <w:shd w:val="clear" w:color="auto" w:fill="4472C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 xml:space="preserve">　</w:t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需求分析</w:t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shd w:val="clear" w:fill="2F5D50"/>
            <w:vAlign w:val="center"/>
            <w:shd w:val="clear" w:color="auto" w:fill="4472C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 xml:space="preserve">　</w:t>
            </w:r>
          </w:p>
        </w:tc>
        <w:tc>
          <w:tcPr>
            <w:tcW w:type="dxa" w:w="442"/>
            <w:shd w:val="clear" w:fill="2F5D50"/>
            <w:vAlign w:val="center"/>
            <w:shd w:val="clear" w:color="auto" w:fill="4472C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 xml:space="preserve">　</w:t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总体与详细设计</w:t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shd w:val="clear" w:fill="2F5D50"/>
            <w:vAlign w:val="center"/>
            <w:shd w:val="clear" w:color="auto" w:fill="4472C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 xml:space="preserve">　</w:t>
            </w:r>
          </w:p>
        </w:tc>
        <w:tc>
          <w:tcPr>
            <w:tcW w:type="dxa" w:w="442"/>
            <w:shd w:val="clear" w:fill="2F5D50"/>
            <w:vAlign w:val="center"/>
            <w:shd w:val="clear" w:color="auto" w:fill="4472C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 xml:space="preserve">　</w:t>
            </w:r>
          </w:p>
        </w:tc>
        <w:tc>
          <w:tcPr>
            <w:tcW w:type="dxa" w:w="442"/>
            <w:shd w:val="clear" w:fill="2F5D50"/>
            <w:vAlign w:val="center"/>
            <w:shd w:val="clear" w:color="auto" w:fill="4472C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 xml:space="preserve">　</w:t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实现</w:t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shd w:val="clear" w:fill="2F5D50"/>
            <w:vAlign w:val="center"/>
            <w:shd w:val="clear" w:color="auto" w:fill="4472C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 xml:space="preserve">　</w:t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系统测试</w:t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shd w:val="clear" w:fill="2F5D50"/>
            <w:vAlign w:val="center"/>
            <w:shd w:val="clear" w:color="auto" w:fill="4472C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 xml:space="preserve">　</w:t>
            </w:r>
          </w:p>
        </w:tc>
        <w:tc>
          <w:tcPr>
            <w:tcW w:type="dxa" w:w="442"/>
            <w:shd w:val="clear" w:fill="2F5D50"/>
            <w:vAlign w:val="center"/>
            <w:shd w:val="clear" w:color="auto" w:fill="4472C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 xml:space="preserve">　</w:t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总结与总评</w:t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  <w:tc>
          <w:tcPr>
            <w:tcW w:type="dxa" w:w="442"/>
            <w:shd w:val="clear" w:fill="2F5D50"/>
            <w:vAlign w:val="center"/>
            <w:shd w:val="clear" w:color="auto" w:fill="4472C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 xml:space="preserve">　</w:t>
            </w:r>
          </w:p>
        </w:tc>
        <w:tc>
          <w:tcPr>
            <w:tcW w:type="dxa" w:w="442"/>
            <w:shd w:val="clear" w:fill="2F5D50"/>
            <w:vAlign w:val="center"/>
            <w:shd w:val="clear" w:color="auto" w:fill="4472C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  <w:t xml:space="preserve">　</w:t>
            </w:r>
          </w:p>
        </w:tc>
        <w:tc>
          <w:tcPr>
            <w:tcW w:type="dxa" w:w="442"/>
            <w:vAlign w:val="center"/>
            <w:shd w:val="clear" w:color="auto" w:fill="D6E4F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474"/>
            <w:shd w:val="clear" w:color="auto" w:fill="F2F2F2"/>
          </w:tcPr>
          <w:p>
            <w:r>
              <w:t>里程碑</w:t>
            </w:r>
          </w:p>
        </w:tc>
        <w:tc>
          <w:tcPr>
            <w:tcW w:type="dxa" w:w="442"/>
          </w:tcPr>
          <w:p/>
        </w:tc>
        <w:tc>
          <w:tcPr>
            <w:tcW w:type="dxa" w:w="442"/>
          </w:tcPr>
          <w:p/>
        </w:tc>
        <w:tc>
          <w:tcPr>
            <w:tcW w:type="dxa" w:w="442"/>
          </w:tcPr>
          <w:p/>
        </w:tc>
        <w:tc>
          <w:tcPr>
            <w:tcW w:type="dxa" w:w="442"/>
          </w:tcPr>
          <w:p/>
        </w:tc>
        <w:tc>
          <w:tcPr>
            <w:tcW w:type="dxa" w:w="442"/>
          </w:tcPr>
          <w:p>
            <w:pPr>
              <w:jc w:val="center"/>
            </w:pPr>
            <w:r>
              <w:rPr>
                <w:sz w:val="18"/>
              </w:rPr>
              <w:t>◆</w:t>
            </w:r>
          </w:p>
        </w:tc>
        <w:tc>
          <w:tcPr>
            <w:tcW w:type="dxa" w:w="442"/>
          </w:tcPr>
          <w:p/>
        </w:tc>
        <w:tc>
          <w:tcPr>
            <w:tcW w:type="dxa" w:w="442"/>
          </w:tcPr>
          <w:p/>
        </w:tc>
        <w:tc>
          <w:tcPr>
            <w:tcW w:type="dxa" w:w="442"/>
          </w:tcPr>
          <w:p>
            <w:pPr>
              <w:jc w:val="center"/>
            </w:pPr>
            <w:r>
              <w:rPr>
                <w:sz w:val="18"/>
              </w:rPr>
              <w:t>◆</w:t>
            </w:r>
          </w:p>
        </w:tc>
        <w:tc>
          <w:tcPr>
            <w:tcW w:type="dxa" w:w="442"/>
          </w:tcPr>
          <w:p/>
        </w:tc>
        <w:tc>
          <w:tcPr>
            <w:tcW w:type="dxa" w:w="442"/>
          </w:tcPr>
          <w:p/>
        </w:tc>
        <w:tc>
          <w:tcPr>
            <w:tcW w:type="dxa" w:w="442"/>
          </w:tcPr>
          <w:p>
            <w:pPr>
              <w:jc w:val="center"/>
            </w:pPr>
            <w:r>
              <w:rPr>
                <w:sz w:val="18"/>
              </w:rPr>
              <w:t>◆</w:t>
            </w:r>
          </w:p>
        </w:tc>
        <w:tc>
          <w:tcPr>
            <w:tcW w:type="dxa" w:w="442"/>
          </w:tcPr>
          <w:p>
            <w:pPr>
              <w:jc w:val="center"/>
            </w:pPr>
            <w:r>
              <w:rPr>
                <w:sz w:val="18"/>
              </w:rPr>
              <w:t>◆</w:t>
            </w:r>
          </w:p>
        </w:tc>
        <w:tc>
          <w:tcPr>
            <w:tcW w:type="dxa" w:w="442"/>
          </w:tcPr>
          <w:p/>
        </w:tc>
        <w:tc>
          <w:tcPr>
            <w:tcW w:type="dxa" w:w="442"/>
          </w:tcPr>
          <w:p>
            <w:pPr>
              <w:jc w:val="center"/>
            </w:pPr>
            <w:r>
              <w:rPr>
                <w:sz w:val="18"/>
              </w:rPr>
              <w:t>◆</w:t>
            </w:r>
          </w:p>
        </w:tc>
        <w:tc>
          <w:tcPr>
            <w:tcW w:type="dxa" w:w="442"/>
          </w:tcPr>
          <w:p/>
        </w:tc>
        <w:tc>
          <w:tcPr>
            <w:tcW w:type="dxa" w:w="442"/>
          </w:tcPr>
          <w:p>
            <w:pPr>
              <w:jc w:val="center"/>
            </w:pPr>
            <w:r>
              <w:rPr>
                <w:sz w:val="18"/>
              </w:rPr>
              <w:t>◆</w:t>
            </w:r>
          </w:p>
        </w:tc>
        <w:tc>
          <w:tcPr>
            <w:tcW w:type="dxa" w:w="442"/>
          </w:tcPr>
          <w:p>
            <w:pPr>
              <w:jc w:val="center"/>
            </w:pPr>
            <w:r>
              <w:rPr>
                <w:sz w:val="18"/>
              </w:rPr>
              <w:t>◆</w:t>
            </w:r>
          </w:p>
        </w:tc>
      </w:tr>
    </w:tbl>
    <w:p>
      <w:pPr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　项目进度甘特图（W1 = 2026 年 9 月 14 日）</w:t>
      </w:r>
    </w:p>
    <w:p>
      <w:pPr>
        <w:pStyle w:val="Heading2"/>
      </w:pPr>
      <w:bookmarkStart w:id="28" w:name="_LarkToc00028"/>
      <w:r>
        <w:rPr>
          <w:rFonts w:ascii="Times New Roman" w:hAnsi="Times New Roman" w:eastAsia="黑体" w:cs="Times New Roman"/>
          <w:b/>
          <w:color w:val="000000"/>
          <w:sz w:val="28"/>
        </w:rPr>
        <w:t>5.4 与课程教学计划的对照</w:t>
      </w:r>
      <w:bookmarkEnd w:id="28"/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小组阶段安排与软件工程课程教学计划逐周对齐：课程 9 月 16 日布置作业并分组，9 月 23 日提交项目介绍，9 月 30 日提交项目计划，10 月 14 日进行项目计划评审；此后按可行性研究、需求分析与评审、总体设计、详细设计与设计评审、实现、测试与评审、总结与总评的顺序推进，至 1 月 6 日课程收尾。小组内部里程碑原则上不晚于对应课程评审节点并适当提前，以预留修改缓冲。完整课程计划与里程碑见附录 A。</w:t>
      </w:r>
    </w:p>
    <w:p>
      <w:pPr>
        <w:pStyle w:val="Heading1"/>
      </w:pPr>
      <w:bookmarkStart w:id="29" w:name="_LarkToc00029"/>
      <w:r>
        <w:rPr>
          <w:rFonts w:ascii="Times New Roman" w:hAnsi="Times New Roman" w:eastAsia="黑体" w:cs="Times New Roman"/>
          <w:b/>
          <w:color w:val="000000"/>
          <w:sz w:val="32"/>
        </w:rPr>
        <w:t>6 团队组织与分工</w:t>
      </w:r>
      <w:bookmarkEnd w:id="29"/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项目由三人协作完成，功能模块责任到人，文档与评审由全组共同承担，具体分工见表6。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表6　团队成员分工</w:t>
      </w:r>
    </w:p>
    <w:tbl>
      <w:tblPr>
        <w:tblW w:type="auto" w:w="0"/>
        <w:jc w:val="center"/>
        <w:tblBorders>
          <w:top w:val="single" w:sz="4" w:space="0" w:color="9FB3AD"/>
          <w:left w:val="single" w:sz="4" w:space="0" w:color="9FB3AD"/>
          <w:bottom w:val="single" w:sz="4" w:space="0" w:color="9FB3AD"/>
          <w:right w:val="single" w:sz="4" w:space="0" w:color="9FB3AD"/>
          <w:insideH w:val="single" w:sz="4" w:space="0" w:color="9FB3AD"/>
          <w:insideV w:val="single" w:sz="4" w:space="0" w:color="9FB3AD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814"/>
        <w:gridCol w:w="3288"/>
        <w:gridCol w:w="3969"/>
      </w:tblGrid>
      <w:tr>
        <w:trPr>
          <w:cantSplit/>
          <w:tblHeader/>
        </w:trPr>
        <w:tc>
          <w:tcPr>
            <w:tcW w:type="dxa" w:w="1814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成员</w:t>
            </w:r>
          </w:p>
        </w:tc>
        <w:tc>
          <w:tcPr>
            <w:tcW w:type="dxa" w:w="3288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主要负责功能</w:t>
            </w:r>
          </w:p>
        </w:tc>
        <w:tc>
          <w:tcPr>
            <w:tcW w:type="dxa" w:w="3969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协同工作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彭靖轩（组长）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剪贴板历史记录、消息提醒窗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系统集成与进度把控</w:t>
            </w:r>
          </w:p>
        </w:tc>
      </w:tr>
      <w:tr>
        <w:trPr>
          <w:cantSplit/>
        </w:trPr>
        <w:tc>
          <w:tcPr>
            <w:tcW w:type="dxa" w:w="181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邵博凯</w:t>
            </w:r>
          </w:p>
        </w:tc>
        <w:tc>
          <w:tcPr>
            <w:tcW w:type="dxa" w:w="3288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任务清单、课表</w:t>
            </w:r>
          </w:p>
        </w:tc>
        <w:tc>
          <w:tcPr>
            <w:tcW w:type="dxa" w:w="3969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测试用例设计与执行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孔世豪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文件快速检索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界面整合、文档与报告撰写</w:t>
            </w:r>
          </w:p>
        </w:tc>
      </w:tr>
    </w:tbl>
    <w:p>
      <w:r>
        <w:rPr>
          <w:rFonts w:ascii="Times New Roman" w:hAnsi="Times New Roman" w:eastAsia="宋体" w:cs="Times New Roman"/>
          <w:b w:val="0"/>
          <w:color w:val="000000"/>
          <w:sz w:val="24"/>
        </w:rPr>
        <w:t>注：分工为拟定方案，可视实际进度与成员特长调整。</w:t>
      </w:r>
    </w:p>
    <w:p>
      <w:pPr>
        <w:pStyle w:val="Heading1"/>
      </w:pPr>
      <w:bookmarkStart w:id="30" w:name="_LarkToc00030"/>
      <w:r>
        <w:rPr>
          <w:rFonts w:ascii="Times New Roman" w:hAnsi="Times New Roman" w:eastAsia="黑体" w:cs="Times New Roman"/>
          <w:b/>
          <w:color w:val="000000"/>
          <w:sz w:val="32"/>
        </w:rPr>
        <w:t>7 计划保障机制</w:t>
      </w:r>
      <w:bookmarkEnd w:id="30"/>
    </w:p>
    <w:p>
      <w:pPr>
        <w:pStyle w:val="Heading2"/>
      </w:pPr>
      <w:bookmarkStart w:id="31" w:name="_LarkToc00031"/>
      <w:r>
        <w:rPr>
          <w:rFonts w:ascii="Times New Roman" w:hAnsi="Times New Roman" w:eastAsia="黑体" w:cs="Times New Roman"/>
          <w:b/>
          <w:color w:val="000000"/>
          <w:sz w:val="28"/>
        </w:rPr>
        <w:t>7.1 预算</w:t>
      </w:r>
      <w:bookmarkEnd w:id="31"/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经济成本为 0 元：采用全开源技术栈，无授权费用与硬件投入；AI 开发辅助工具采用豆包免费版，不产生订阅费用。工时预算约 300 人时（3 人 × 约 17 周 × 每周约 6 小时，合计约 306 人时，按 300 人时估算），其中设计与编码阶段约占六成，期末前预留缓冲。</w:t>
      </w:r>
    </w:p>
    <w:p>
      <w:pPr>
        <w:pStyle w:val="Heading2"/>
      </w:pPr>
      <w:bookmarkStart w:id="32" w:name="_LarkToc00032"/>
      <w:r>
        <w:rPr>
          <w:rFonts w:ascii="Times New Roman" w:hAnsi="Times New Roman" w:eastAsia="黑体" w:cs="Times New Roman"/>
          <w:b/>
          <w:color w:val="000000"/>
          <w:sz w:val="28"/>
        </w:rPr>
        <w:t>7.2 配置管理</w:t>
      </w:r>
      <w:bookmarkEnd w:id="32"/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使用 Git 统一托管代码与文档，阶段成果打 tag 存档（如 v0.1 需求、v0.2 设计等）；需求与设计文档版本化管理，评审通过后基线化，变更须记录。</w:t>
      </w:r>
    </w:p>
    <w:p>
      <w:pPr>
        <w:pStyle w:val="Heading2"/>
      </w:pPr>
      <w:bookmarkStart w:id="33" w:name="_LarkToc00033"/>
      <w:r>
        <w:rPr>
          <w:rFonts w:ascii="Times New Roman" w:hAnsi="Times New Roman" w:eastAsia="黑体" w:cs="Times New Roman"/>
          <w:b/>
          <w:color w:val="000000"/>
          <w:sz w:val="28"/>
        </w:rPr>
        <w:t>7.3 会议制度</w:t>
      </w:r>
      <w:bookmarkEnd w:id="33"/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每周召开例会一次，输出会议纪要，记录决议、待办、责任人与截止时间；里程碑评审会对照计划检查偏差并滚动调整，必要时重排任务。</w:t>
      </w:r>
    </w:p>
    <w:p>
      <w:pPr>
        <w:pStyle w:val="Heading2"/>
      </w:pPr>
      <w:bookmarkStart w:id="34" w:name="_LarkToc00034"/>
      <w:r>
        <w:rPr>
          <w:rFonts w:ascii="Times New Roman" w:hAnsi="Times New Roman" w:eastAsia="黑体" w:cs="Times New Roman"/>
          <w:b/>
          <w:color w:val="000000"/>
          <w:sz w:val="28"/>
        </w:rPr>
        <w:t>7.4 绩效评价</w:t>
      </w:r>
      <w:bookmarkEnd w:id="34"/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每个里程碑按任务完成度、责任心、协作沟通、技术贡献四个维度进行组内互评；评价结果作为后续任务再分配与工作量调整的依据。</w:t>
      </w:r>
    </w:p>
    <w:p>
      <w:r>
        <w:t>四个维度按百分制评分，并按权重加权计算综合得分，具体维度、权重与评分要点见表 8。</w:t>
      </w:r>
    </w:p>
    <w:p>
      <w:r>
        <w:rPr>
          <w:b/>
        </w:rPr>
        <w:t>表8　绩效评价维度、权重与评分标准</w:t>
      </w:r>
    </w:p>
    <w:tbl>
      <w:tblPr>
        <w:tblW w:type="auto" w:w="0"/>
        <w:jc w:val="center"/>
        <w:tblBorders>
          <w:top w:val="single" w:sz="4" w:space="0" w:color="9FB3AD"/>
          <w:left w:val="single" w:sz="4" w:space="0" w:color="9FB3AD"/>
          <w:bottom w:val="single" w:sz="4" w:space="0" w:color="9FB3AD"/>
          <w:right w:val="single" w:sz="4" w:space="0" w:color="9FB3AD"/>
          <w:insideH w:val="single" w:sz="4" w:space="0" w:color="9FB3AD"/>
          <w:insideV w:val="single" w:sz="4" w:space="0" w:color="9FB3AD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评价维度</w:t>
            </w:r>
          </w:p>
        </w:tc>
        <w:tc>
          <w:tcPr>
            <w:tcW w:type="dxa" w:w="3024"/>
          </w:tcPr>
          <w:p>
            <w:r>
              <w:rPr>
                <w:b/>
              </w:rPr>
              <w:t>权重</w:t>
            </w:r>
          </w:p>
        </w:tc>
        <w:tc>
          <w:tcPr>
            <w:tcW w:type="dxa" w:w="3024"/>
          </w:tcPr>
          <w:p>
            <w:r>
              <w:rPr>
                <w:b/>
              </w:rPr>
              <w:t>评分要点（百分制）</w:t>
            </w:r>
          </w:p>
        </w:tc>
      </w:tr>
      <w:tr>
        <w:tc>
          <w:tcPr>
            <w:tcW w:type="dxa" w:w="3024"/>
          </w:tcPr>
          <w:p>
            <w:r>
              <w:t>任务完成度</w:t>
            </w:r>
          </w:p>
        </w:tc>
        <w:tc>
          <w:tcPr>
            <w:tcW w:type="dxa" w:w="3024"/>
          </w:tcPr>
          <w:p>
            <w:r>
              <w:t>35%</w:t>
            </w:r>
          </w:p>
        </w:tc>
        <w:tc>
          <w:tcPr>
            <w:tcW w:type="dxa" w:w="3024"/>
          </w:tcPr>
          <w:p>
            <w:r>
              <w:t>里程碑任务按时交付率与完成质量</w:t>
            </w:r>
          </w:p>
        </w:tc>
      </w:tr>
      <w:tr>
        <w:tc>
          <w:tcPr>
            <w:tcW w:type="dxa" w:w="3024"/>
          </w:tcPr>
          <w:p>
            <w:r>
              <w:t>责任心</w:t>
            </w:r>
          </w:p>
        </w:tc>
        <w:tc>
          <w:tcPr>
            <w:tcW w:type="dxa" w:w="3024"/>
          </w:tcPr>
          <w:p>
            <w:r>
              <w:t>25%</w:t>
            </w:r>
          </w:p>
        </w:tc>
        <w:tc>
          <w:tcPr>
            <w:tcW w:type="dxa" w:w="3024"/>
          </w:tcPr>
          <w:p>
            <w:r>
              <w:t>投入稳定性、主动补位与问题跟进</w:t>
            </w:r>
          </w:p>
        </w:tc>
      </w:tr>
      <w:tr>
        <w:tc>
          <w:tcPr>
            <w:tcW w:type="dxa" w:w="3024"/>
          </w:tcPr>
          <w:p>
            <w:r>
              <w:t>协作沟通</w:t>
            </w:r>
          </w:p>
        </w:tc>
        <w:tc>
          <w:tcPr>
            <w:tcW w:type="dxa" w:w="3024"/>
          </w:tcPr>
          <w:p>
            <w:r>
              <w:t>20%</w:t>
            </w:r>
          </w:p>
        </w:tc>
        <w:tc>
          <w:tcPr>
            <w:tcW w:type="dxa" w:w="3024"/>
          </w:tcPr>
          <w:p>
            <w:r>
              <w:t>例会参与情况、响应及时性、文档同步</w:t>
            </w:r>
          </w:p>
        </w:tc>
      </w:tr>
      <w:tr>
        <w:tc>
          <w:tcPr>
            <w:tcW w:type="dxa" w:w="3024"/>
          </w:tcPr>
          <w:p>
            <w:r>
              <w:t>技术贡献</w:t>
            </w:r>
          </w:p>
        </w:tc>
        <w:tc>
          <w:tcPr>
            <w:tcW w:type="dxa" w:w="3024"/>
          </w:tcPr>
          <w:p>
            <w:r>
              <w:t>20%</w:t>
            </w:r>
          </w:p>
        </w:tc>
        <w:tc>
          <w:tcPr>
            <w:tcW w:type="dxa" w:w="3024"/>
          </w:tcPr>
          <w:p>
            <w:r>
              <w:t>技术方案、代码产出与关键问题解决</w:t>
            </w:r>
          </w:p>
        </w:tc>
      </w:tr>
    </w:tbl>
    <w:p>
      <w:r>
        <w:t>注：综合得分 = Σ（维度得分 × 权重）；每里程碑组内互评一次，评价结果作为后续任务再分配与工作量调整的依据。</w:t>
      </w:r>
    </w:p>
    <w:p>
      <w:pPr>
        <w:pStyle w:val="Heading1"/>
      </w:pPr>
      <w:bookmarkStart w:id="35" w:name="_LarkToc00035"/>
      <w:r>
        <w:rPr>
          <w:rFonts w:ascii="Times New Roman" w:hAnsi="Times New Roman" w:eastAsia="黑体" w:cs="Times New Roman"/>
          <w:b/>
          <w:color w:val="000000"/>
          <w:sz w:val="32"/>
        </w:rPr>
        <w:t>8 风险分析与应对</w:t>
      </w:r>
      <w:bookmarkEnd w:id="35"/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结合可行性分析与项目特点，识别主要风险并制定应对措施，见表7。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表7　风险登记与应对措施</w:t>
      </w:r>
    </w:p>
    <w:tbl>
      <w:tblPr>
        <w:tblW w:type="auto" w:w="0"/>
        <w:jc w:val="center"/>
        <w:tblBorders>
          <w:top w:val="single" w:sz="4" w:space="0" w:color="9FB3AD"/>
          <w:left w:val="single" w:sz="4" w:space="0" w:color="9FB3AD"/>
          <w:bottom w:val="single" w:sz="4" w:space="0" w:color="9FB3AD"/>
          <w:right w:val="single" w:sz="4" w:space="0" w:color="9FB3AD"/>
          <w:insideH w:val="single" w:sz="4" w:space="0" w:color="9FB3AD"/>
          <w:insideV w:val="single" w:sz="4" w:space="0" w:color="9FB3AD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701"/>
        <w:gridCol w:w="2494"/>
        <w:gridCol w:w="4876"/>
      </w:tblGrid>
      <w:tr>
        <w:trPr>
          <w:cantSplit/>
          <w:tblHeader/>
        </w:trPr>
        <w:tc>
          <w:tcPr>
            <w:tcW w:type="dxa" w:w="1701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风险项</w:t>
            </w:r>
          </w:p>
        </w:tc>
        <w:tc>
          <w:tcPr>
            <w:tcW w:type="dxa" w:w="2494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可能影响</w:t>
            </w:r>
          </w:p>
        </w:tc>
        <w:tc>
          <w:tcPr>
            <w:tcW w:type="dxa" w:w="4876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应对措施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课表 Excel 解析异常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教务系统导出文件可能存在合并单元格、空行或空列，个别情况下导致解析失败或字段错位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使用 openpyxl 做容错解析，导入时校验字段并给出异常提示；提供导入格式说明与示例；保留手工录入通道兜底</w:t>
            </w:r>
          </w:p>
        </w:tc>
      </w:tr>
      <w:tr>
        <w:trPr>
          <w:cantSplit/>
        </w:trPr>
        <w:tc>
          <w:tcPr>
            <w:tcW w:type="dxa" w:w="1701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多模块联调</w:t>
            </w:r>
          </w:p>
        </w:tc>
        <w:tc>
          <w:tcPr>
            <w:tcW w:type="dxa" w:w="249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共享数据库与悬浮窗交互可能出现接口不一致</w:t>
            </w:r>
          </w:p>
        </w:tc>
        <w:tc>
          <w:tcPr>
            <w:tcW w:type="dxa" w:w="4876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设计阶段先行约定模块接口；尽早开展集成；在里程碑评审中专项检查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实现阶段工期集中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编码集中在 W12，单周压力较大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模块低耦合并行开发；设计阶段完成关键接口与原型；利用前后阶段缓冲</w:t>
            </w:r>
          </w:p>
        </w:tc>
      </w:tr>
      <w:tr>
        <w:trPr>
          <w:cantSplit/>
        </w:trPr>
        <w:tc>
          <w:tcPr>
            <w:tcW w:type="dxa" w:w="1701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成员投入波动</w:t>
            </w:r>
          </w:p>
        </w:tc>
        <w:tc>
          <w:tcPr>
            <w:tcW w:type="dxa" w:w="249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课程考试等可能造成投入不足、任务延期</w:t>
            </w:r>
          </w:p>
        </w:tc>
        <w:tc>
          <w:tcPr>
            <w:tcW w:type="dxa" w:w="4876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每周例会跟踪进度；任务按特长再分配；以绩效互评促进投入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本地数据安全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剪贴板、任务等数据涉及个人隐私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全部数据本地 SQLite 存储，不联网、不上传；不采集任何用户数据</w:t>
            </w:r>
          </w:p>
        </w:tc>
      </w:tr>
    </w:tbl>
    <w:p>
      <w:pPr>
        <w:pStyle w:val="Heading1"/>
      </w:pPr>
      <w:bookmarkStart w:id="36" w:name="_LarkToc00036"/>
      <w:r>
        <w:rPr>
          <w:rFonts w:ascii="Times New Roman" w:hAnsi="Times New Roman" w:eastAsia="黑体" w:cs="Times New Roman"/>
          <w:b/>
          <w:color w:val="000000"/>
          <w:sz w:val="32"/>
        </w:rPr>
        <w:t>9 参考文献</w:t>
      </w:r>
      <w:bookmarkEnd w:id="36"/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[1] GB/T 8567-2006 计算机软件文档编制规范[S]. 北京: 中国标准出版社, 2006.</w:t>
      </w:r>
    </w:p>
    <w:p>
      <w:r>
        <w:t>[2] 张海藩, 牟永敏. 软件工程导论（第6版）[M]. 北京: 清华大学出版社, 2013.</w:t>
      </w:r>
    </w:p>
    <w:p>
      <w:r>
        <w:t>[3] Riverbank Computing. PyQt5 Reference Guide[EB/OL]. https://www.riverbankcomputing.com/static/Docs/PyQt5/.</w:t>
      </w:r>
    </w:p>
    <w:p>
      <w:r>
        <w:t>[4] The Qt Company. Qt for Python (PySide6) Documentation[EB/OL]. https://doc.qt.io/qtforpython/.</w:t>
      </w:r>
    </w:p>
    <w:p>
      <w:r>
        <w:t>[5] SQLite Consortium. SQLite Documentation[EB/OL]. https://www.sqlite.org/docs.html.</w:t>
      </w:r>
    </w:p>
    <w:p>
      <w:r>
        <w:t>[6] openpyxl Documentation[EB/OL]. https://openpyxl.readthedocs.io/.</w:t>
      </w:r>
    </w:p>
    <w:p>
      <w:pPr>
        <w:pStyle w:val="Heading1"/>
      </w:pPr>
      <w:bookmarkStart w:id="37" w:name="_LarkToc00037"/>
      <w:r>
        <w:rPr>
          <w:rFonts w:ascii="Times New Roman" w:hAnsi="Times New Roman" w:eastAsia="黑体" w:cs="Times New Roman"/>
          <w:b/>
          <w:color w:val="000000"/>
          <w:sz w:val="32"/>
        </w:rPr>
        <w:t>附录 A　软件工程课程计划与里程碑</w:t>
      </w:r>
      <w:bookmarkEnd w:id="37"/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课程教学计划（每周教学时数 2+2，共 16 周、合计 64 学时）及对应课程里程碑见表9，本项目阶段安排以此为外部进度基准。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表9　课程教学计划与里程碑</w:t>
      </w:r>
    </w:p>
    <w:tbl>
      <w:tblPr>
        <w:tblW w:type="auto" w:w="0"/>
        <w:jc w:val="center"/>
        <w:tblBorders>
          <w:top w:val="single" w:sz="4" w:space="0" w:color="9FB3AD"/>
          <w:left w:val="single" w:sz="4" w:space="0" w:color="9FB3AD"/>
          <w:bottom w:val="single" w:sz="4" w:space="0" w:color="9FB3AD"/>
          <w:right w:val="single" w:sz="4" w:space="0" w:color="9FB3AD"/>
          <w:insideH w:val="single" w:sz="4" w:space="0" w:color="9FB3AD"/>
          <w:insideV w:val="single" w:sz="4" w:space="0" w:color="9FB3AD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3742"/>
        <w:gridCol w:w="964"/>
        <w:gridCol w:w="2608"/>
      </w:tblGrid>
      <w:tr>
        <w:trPr>
          <w:cantSplit/>
          <w:tblHeader/>
        </w:trPr>
        <w:tc>
          <w:tcPr>
            <w:tcW w:type="dxa" w:w="624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0"/>
              </w:rPr>
              <w:t>序号</w:t>
            </w:r>
          </w:p>
        </w:tc>
        <w:tc>
          <w:tcPr>
            <w:tcW w:type="dxa" w:w="1134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0"/>
              </w:rPr>
              <w:t>时间</w:t>
            </w:r>
          </w:p>
        </w:tc>
        <w:tc>
          <w:tcPr>
            <w:tcW w:type="dxa" w:w="3742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0"/>
              </w:rPr>
              <w:t>教学内容</w:t>
            </w:r>
          </w:p>
        </w:tc>
        <w:tc>
          <w:tcPr>
            <w:tcW w:type="dxa" w:w="964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0"/>
              </w:rPr>
              <w:t>教学时数</w:t>
            </w:r>
          </w:p>
        </w:tc>
        <w:tc>
          <w:tcPr>
            <w:tcW w:type="dxa" w:w="2608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0"/>
              </w:rPr>
              <w:t>里程碑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9 月 16 日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课程介绍、课程作业介绍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2+2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学生分组信息，课程作业选择</w:t>
            </w:r>
          </w:p>
        </w:tc>
      </w:tr>
      <w:tr>
        <w:trPr>
          <w:cantSplit/>
        </w:trPr>
        <w:tc>
          <w:tcPr>
            <w:tcW w:type="dxa" w:w="62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13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9 月 23 日</w:t>
            </w:r>
          </w:p>
        </w:tc>
        <w:tc>
          <w:tcPr>
            <w:tcW w:type="dxa" w:w="3742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第 1 章　软件工程学概述</w:t>
            </w:r>
          </w:p>
        </w:tc>
        <w:tc>
          <w:tcPr>
            <w:tcW w:type="dxa" w:w="96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2+2</w:t>
            </w:r>
          </w:p>
        </w:tc>
        <w:tc>
          <w:tcPr>
            <w:tcW w:type="dxa" w:w="2608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提交预备作业，项目介绍及 PPT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9 月 30 日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第 13 章　软件项目管理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2+2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项目计划及 PPT</w:t>
            </w:r>
          </w:p>
        </w:tc>
      </w:tr>
      <w:tr>
        <w:trPr>
          <w:cantSplit/>
        </w:trPr>
        <w:tc>
          <w:tcPr>
            <w:tcW w:type="dxa" w:w="62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13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10 月 14 日</w:t>
            </w:r>
          </w:p>
        </w:tc>
        <w:tc>
          <w:tcPr>
            <w:tcW w:type="dxa" w:w="3742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项目计划评审</w:t>
            </w:r>
          </w:p>
        </w:tc>
        <w:tc>
          <w:tcPr>
            <w:tcW w:type="dxa" w:w="96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2+2</w:t>
            </w:r>
          </w:p>
        </w:tc>
        <w:tc>
          <w:tcPr>
            <w:tcW w:type="dxa" w:w="2608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项目计划修订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10 月 21 日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第 2 章　可行性研究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2+2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可行性分析报告</w:t>
            </w:r>
          </w:p>
        </w:tc>
      </w:tr>
      <w:tr>
        <w:trPr>
          <w:cantSplit/>
        </w:trPr>
        <w:tc>
          <w:tcPr>
            <w:tcW w:type="dxa" w:w="62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13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10 月 28 日</w:t>
            </w:r>
          </w:p>
        </w:tc>
        <w:tc>
          <w:tcPr>
            <w:tcW w:type="dxa" w:w="3742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第 3 章　需求分析；第 4 章　形式化说明技术</w:t>
            </w:r>
          </w:p>
        </w:tc>
        <w:tc>
          <w:tcPr>
            <w:tcW w:type="dxa" w:w="96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2+2</w:t>
            </w:r>
          </w:p>
        </w:tc>
        <w:tc>
          <w:tcPr>
            <w:tcW w:type="dxa" w:w="2608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需求说明 SRS，需求评审 PPT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11 月 4 日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项目需求评审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2+2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SRS 修订</w:t>
            </w:r>
          </w:p>
        </w:tc>
      </w:tr>
      <w:tr>
        <w:trPr>
          <w:cantSplit/>
        </w:trPr>
        <w:tc>
          <w:tcPr>
            <w:tcW w:type="dxa" w:w="62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13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11 月 11 日</w:t>
            </w:r>
          </w:p>
        </w:tc>
        <w:tc>
          <w:tcPr>
            <w:tcW w:type="dxa" w:w="3742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第 5 章　总体设计 + 期中考试</w:t>
            </w:r>
          </w:p>
        </w:tc>
        <w:tc>
          <w:tcPr>
            <w:tcW w:type="dxa" w:w="96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2+2</w:t>
            </w:r>
          </w:p>
        </w:tc>
        <w:tc>
          <w:tcPr>
            <w:tcW w:type="dxa" w:w="2608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总体设计报告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11 月 18 日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第 6 章　详细设计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2+2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详细设计报告</w:t>
            </w:r>
          </w:p>
        </w:tc>
      </w:tr>
      <w:tr>
        <w:trPr>
          <w:cantSplit/>
        </w:trPr>
        <w:tc>
          <w:tcPr>
            <w:tcW w:type="dxa" w:w="62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13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11 月 25 日</w:t>
            </w:r>
          </w:p>
        </w:tc>
        <w:tc>
          <w:tcPr>
            <w:tcW w:type="dxa" w:w="3742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项目设计评审</w:t>
            </w:r>
          </w:p>
        </w:tc>
        <w:tc>
          <w:tcPr>
            <w:tcW w:type="dxa" w:w="96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2+2</w:t>
            </w:r>
          </w:p>
        </w:tc>
        <w:tc>
          <w:tcPr>
            <w:tcW w:type="dxa" w:w="2608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总体设计及详细设计修订 + 翻转 PPT1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12 月 2 日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第 7 章　实现 + 翻转 1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2+2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代码清单 + 测试用例 + 翻转 PPT2</w:t>
            </w:r>
          </w:p>
        </w:tc>
      </w:tr>
      <w:tr>
        <w:trPr>
          <w:cantSplit/>
        </w:trPr>
        <w:tc>
          <w:tcPr>
            <w:tcW w:type="dxa" w:w="62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113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12 月 9 日</w:t>
            </w:r>
          </w:p>
        </w:tc>
        <w:tc>
          <w:tcPr>
            <w:tcW w:type="dxa" w:w="3742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第 8 章　维护 + 翻转 2</w:t>
            </w:r>
          </w:p>
        </w:tc>
        <w:tc>
          <w:tcPr>
            <w:tcW w:type="dxa" w:w="96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2+2</w:t>
            </w:r>
          </w:p>
        </w:tc>
        <w:tc>
          <w:tcPr>
            <w:tcW w:type="dxa" w:w="2608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系统测试报告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13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12 月 16 日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项目测试评审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2+2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测试报告修订</w:t>
            </w:r>
          </w:p>
        </w:tc>
      </w:tr>
      <w:tr>
        <w:trPr>
          <w:cantSplit/>
        </w:trPr>
        <w:tc>
          <w:tcPr>
            <w:tcW w:type="dxa" w:w="62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13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12 月 23 日</w:t>
            </w:r>
          </w:p>
        </w:tc>
        <w:tc>
          <w:tcPr>
            <w:tcW w:type="dxa" w:w="3742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第 9 章　面向对象方法学引论</w:t>
            </w:r>
          </w:p>
        </w:tc>
        <w:tc>
          <w:tcPr>
            <w:tcW w:type="dxa" w:w="96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2+2</w:t>
            </w:r>
          </w:p>
        </w:tc>
        <w:tc>
          <w:tcPr>
            <w:tcW w:type="dxa" w:w="2608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12 月 30 日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第 10–12 章　面向对象分析、设计、实现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2+2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项目总结报告，总评审 PPT</w:t>
            </w:r>
          </w:p>
        </w:tc>
      </w:tr>
      <w:tr>
        <w:trPr>
          <w:cantSplit/>
        </w:trPr>
        <w:tc>
          <w:tcPr>
            <w:tcW w:type="dxa" w:w="62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16</w:t>
            </w:r>
          </w:p>
        </w:tc>
        <w:tc>
          <w:tcPr>
            <w:tcW w:type="dxa" w:w="113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1 月 6 日</w:t>
            </w:r>
          </w:p>
        </w:tc>
        <w:tc>
          <w:tcPr>
            <w:tcW w:type="dxa" w:w="3742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课程总结 / 总复习</w:t>
            </w:r>
          </w:p>
        </w:tc>
        <w:tc>
          <w:tcPr>
            <w:tcW w:type="dxa" w:w="96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2+2</w:t>
            </w:r>
          </w:p>
        </w:tc>
        <w:tc>
          <w:tcPr>
            <w:tcW w:type="dxa" w:w="2608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课程收尾——课程作业评审</w:t>
            </w:r>
          </w:p>
        </w:tc>
      </w:tr>
    </w:tbl>
    <w:p>
      <w:pPr>
        <w:pStyle w:val="Heading1"/>
      </w:pPr>
      <w:bookmarkStart w:id="38" w:name="_LarkToc00038"/>
      <w:r>
        <w:rPr>
          <w:rFonts w:ascii="Times New Roman" w:hAnsi="Times New Roman" w:eastAsia="黑体" w:cs="Times New Roman"/>
          <w:b/>
          <w:color w:val="000000"/>
          <w:sz w:val="32"/>
        </w:rPr>
        <w:t>附录 B　组内互评表</w:t>
      </w:r>
      <w:bookmarkEnd w:id="38"/>
    </w:p>
    <w:p>
      <w:r>
        <w:rPr>
          <w:rFonts w:ascii="Times New Roman" w:hAnsi="Times New Roman" w:eastAsia="宋体" w:cs="Times New Roman"/>
          <w:b w:val="0"/>
          <w:color w:val="000000"/>
          <w:sz w:val="24"/>
        </w:rPr>
        <w:t>组内互评于答辩前填写，评价维度为任务完成度、责任心、协作沟通、技术贡献，见表10。M1（计划）阶段已按表 8 权重完成一次阶段性互评，结果填入表 10；此后各里程碑滚动复评、持续更新。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表10　组内互评表</w:t>
      </w:r>
    </w:p>
    <w:tbl>
      <w:tblPr>
        <w:tblW w:type="auto" w:w="0"/>
        <w:jc w:val="center"/>
        <w:tblBorders>
          <w:top w:val="single" w:sz="4" w:space="0" w:color="9FB3AD"/>
          <w:left w:val="single" w:sz="4" w:space="0" w:color="9FB3AD"/>
          <w:bottom w:val="single" w:sz="4" w:space="0" w:color="9FB3AD"/>
          <w:right w:val="single" w:sz="4" w:space="0" w:color="9FB3AD"/>
          <w:insideH w:val="single" w:sz="4" w:space="0" w:color="9FB3AD"/>
          <w:insideV w:val="single" w:sz="4" w:space="0" w:color="9FB3AD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814"/>
        <w:gridCol w:w="3628"/>
        <w:gridCol w:w="3628"/>
      </w:tblGrid>
      <w:tr>
        <w:trPr>
          <w:cantSplit/>
          <w:tblHeader/>
        </w:trPr>
        <w:tc>
          <w:tcPr>
            <w:tcW w:type="dxa" w:w="1814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成员</w:t>
            </w:r>
          </w:p>
        </w:tc>
        <w:tc>
          <w:tcPr>
            <w:tcW w:type="dxa" w:w="3628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主要贡献</w:t>
            </w:r>
          </w:p>
        </w:tc>
        <w:tc>
          <w:tcPr>
            <w:tcW w:type="dxa" w:w="3628"/>
            <w:shd w:val="clear" w:fill="E4EBE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组内评价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彭靖轩</w:t>
            </w:r>
          </w:p>
        </w:tc>
        <w:tc>
          <w:tcPr>
            <w:tcW w:type="dxa" w:w="3628"/>
            <w:vAlign w:val="center"/>
          </w:tcPr>
          <w:p>
            <w:r>
              <w:t>计划书主编、项目 PPT 终稿、可行性研究牵头、系统集成与进度把控</w:t>
            </w:r>
          </w:p>
        </w:tc>
        <w:tc>
          <w:tcPr>
            <w:tcW w:type="dxa" w:w="3628"/>
            <w:vAlign w:val="center"/>
          </w:tcPr>
          <w:p>
            <w:r>
              <w:t>完成度 96 · 责任心 96 · 协作 95 · 技术 94 ｜ 综合 95.6</w:t>
            </w:r>
          </w:p>
        </w:tc>
      </w:tr>
      <w:tr>
        <w:trPr>
          <w:cantSplit/>
        </w:trPr>
        <w:tc>
          <w:tcPr>
            <w:tcW w:type="dxa" w:w="1814"/>
            <w:shd w:val="clear" w:fill="F4F7F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邵博凯</w:t>
            </w:r>
          </w:p>
        </w:tc>
        <w:tc>
          <w:tcPr>
            <w:tcW w:type="dxa" w:w="3628"/>
            <w:shd w:val="clear" w:fill="F4F7F6"/>
            <w:vAlign w:val="center"/>
          </w:tcPr>
          <w:p>
            <w:r>
              <w:t>里程碑与课程计划逐周核对、Git 仓库搭建与 v0.1 基线建立、测试用例设计准备</w:t>
            </w:r>
          </w:p>
        </w:tc>
        <w:tc>
          <w:tcPr>
            <w:tcW w:type="dxa" w:w="3628"/>
            <w:shd w:val="clear" w:fill="F4F7F6"/>
            <w:vAlign w:val="center"/>
          </w:tcPr>
          <w:p>
            <w:r>
              <w:t>完成度 95 · 责任心 95 · 协作 94 · 技术 93 ｜ 综合 94.6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孔世豪</w:t>
            </w:r>
          </w:p>
        </w:tc>
        <w:tc>
          <w:tcPr>
            <w:tcW w:type="dxa" w:w="3628"/>
            <w:vAlign w:val="center"/>
          </w:tcPr>
          <w:p>
            <w:r>
              <w:t>2 次会议纪要与汇报分工、Project 甘特图维护、界面整合与文档撰写</w:t>
            </w:r>
          </w:p>
        </w:tc>
        <w:tc>
          <w:tcPr>
            <w:tcW w:type="dxa" w:w="3628"/>
            <w:vAlign w:val="center"/>
          </w:tcPr>
          <w:p>
            <w:r>
              <w:t>完成度 95 · 责任心 94 · 协作 95 · 技术 93 ｜ 综合 94.4</w:t>
            </w:r>
          </w:p>
        </w:tc>
      </w:tr>
    </w:tbl>
    <w:p>
      <w:pPr>
        <w:pStyle w:val="Heading1"/>
      </w:pPr>
      <w:bookmarkStart w:id="39" w:name="_LarkToc00039"/>
      <w:r>
        <w:rPr>
          <w:rFonts w:ascii="Times New Roman" w:hAnsi="Times New Roman" w:eastAsia="黑体" w:cs="Times New Roman"/>
          <w:b/>
          <w:color w:val="000000"/>
          <w:sz w:val="32"/>
        </w:rPr>
        <w:t>附录 C　小组联系方式</w:t>
      </w:r>
      <w:bookmarkEnd w:id="39"/>
    </w:p>
    <w:p>
      <w:pPr>
        <w:ind w:firstLine="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课程：软件工程（杭州城市学院）</w:t>
      </w:r>
    </w:p>
    <w:p>
      <w:pPr>
        <w:ind w:firstLine="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小组：G06 小组</w:t>
      </w:r>
    </w:p>
    <w:p>
      <w:pPr>
        <w:ind w:firstLine="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彭靖轩（组长）：32401206@stu.hzcu.edu.cn</w:t>
      </w:r>
    </w:p>
    <w:p>
      <w:pPr>
        <w:ind w:firstLine="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邵博凯：32401207@stu.hzcu.edu.cn</w:t>
      </w:r>
    </w:p>
    <w:p>
      <w:pPr>
        <w:ind w:firstLine="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孔世豪：32401202@stu.hzcu.edu.cn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宋体" w:cs="Times New Roman"/>
        <w:b w:val="0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b w:val="0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color w:val="000000"/>
        <w:sz w:val="21"/>
      </w:rPr>
      <w:fldChar w:fldCharType="separate"/>
    </w:r>
    <w:r>
      <w:rPr>
        <w:rFonts w:ascii="Times New Roman" w:hAnsi="Times New Roman" w:eastAsia="宋体" w:cs="Times New Roman"/>
        <w:b w:val="0"/>
        <w:color w:val="000000"/>
        <w:sz w:val="21"/>
      </w:rPr>
      <w:t>1</w:t>
    </w:r>
    <w:r>
      <w:rPr>
        <w:rFonts w:ascii="Times New Roman" w:hAnsi="Times New Roman" w:eastAsia="宋体" w:cs="Times New Roman"/>
        <w:b w:val="0"/>
        <w:color w:val="000000"/>
        <w:sz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57af418ebbf12e339ba8efeeb99bde97351ef3ccfe8422da1e2bc4d73d763752:68b13a8700ec331e586c5bd97dc1f242c16176b64e9fddb9cc6ce0a74ed04aeb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Times New Roman" w:hAnsi="Times New Roman" w:eastAsia="宋体" w:cs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ind w:firstLine="0"/>
      <w:contextualSpacing/>
    </w:pPr>
    <w:rPr>
      <w:rFonts w:ascii="Times New Roman" w:hAnsi="Times New Roman" w:eastAsia="宋体" w:cs="Times New Roman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桌面效率助手产品计划书</dc:title>
  <dc:subject/>
  <dc:creator>G06 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