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3: System Architecture Document (SAD)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6-Layer Decoupled Enterprise Architecture</w:t>
      </w:r>
    </w:p>
    <w:p>
      <w:r>
        <w:t>PayPink implements a 6-layer decoupled microservices architecture designed for high write throughput, event-driven eventual consistency, and end-to-end full-stack observability.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 #</w:t>
            </w:r>
          </w:p>
        </w:tc>
        <w:tc>
          <w:tcPr>
            <w:tcW w:type="dxa" w:w="2016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Architectural Layer</w:t>
            </w:r>
          </w:p>
        </w:tc>
        <w:tc>
          <w:tcPr>
            <w:tcW w:type="dxa" w:w="288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 Technology</w:t>
            </w:r>
          </w:p>
        </w:tc>
        <w:tc>
          <w:tcPr>
            <w:tcW w:type="dxa" w:w="331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Layer 1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Client Layer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SPA Web Portal / JMeter Engine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Interactive Banking Web UI (Pink Theme), Admin Dashboard, and Concurrency Load Generator.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Layer 2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Edge Layer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Spring Cloud API Gateway (Port 8080)</w:t>
            </w:r>
          </w:p>
        </w:tc>
        <w:tc>
          <w:tcPr>
            <w:tcW w:type="dxa" w:w="331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Single entry point, stateless JWT filter, Token-Bucket Rate Limiter (100 req/s, 200 burst), SSL termination.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Layer 3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Business Layer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8 Spring Boot 3.2.3 Microservices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Auth (:8081), Account (:8082), Transaction (:8083), Notification (:8084), Audit (:8085), Reconciliation (:8086), Outbox (:8087), Analytics (:8088).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Layer 4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Data Layer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21c, Postgres 15, Redis 7</w:t>
            </w:r>
          </w:p>
        </w:tc>
        <w:tc>
          <w:tcPr>
            <w:tcW w:type="dxa" w:w="331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master OLTP datastore, PostgreSQL append-only audit store, Redis distributed in-memory cache matrix.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Layer 5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Event Layer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Apache Kafka 7.5.0 + Zookeeper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High-throughput partitioned event broker (topic: ledger.transaction.events) decoupling write engine from consumers.</w:t>
            </w:r>
          </w:p>
        </w:tc>
      </w:tr>
      <w:tr>
        <w:tc>
          <w:tcPr>
            <w:tcW w:type="dxa" w:w="115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Layer 6</w:t>
            </w:r>
          </w:p>
        </w:tc>
        <w:tc>
          <w:tcPr>
            <w:tcW w:type="dxa" w:w="2016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Observability Layer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OpenTelemetry, Prometheus, Loki, Tempo, Grafana</w:t>
            </w:r>
          </w:p>
        </w:tc>
        <w:tc>
          <w:tcPr>
            <w:tcW w:type="dxa" w:w="331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Distributed traces, microsecond metrics, centralized logs, and executive Grafana dashboards (Port 3000).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E11D48"/>
          <w:sz w:val="28"/>
        </w:rPr>
        <w:t>2. Transactional Outbox &amp; Event Streaming Pattern</w:t>
      </w:r>
    </w:p>
    <w:p>
      <w:r>
        <w:t>To avoid the fragility and latency of Two-Phase Commit (2PC / XA) protocols, PayPink uses the Transactional Outbox Pattern:</w:t>
        <w:br/>
        <w:t>1. The transaction record and the outbox event are saved in the same local Oracle ACID transaction.</w:t>
        <w:br/>
        <w:t>2. The Outbox Publisher microservice polls pending records every 5 seconds and streams them to Apache Kafka.</w:t>
        <w:br/>
        <w:t>3. Kafka partitions distribute events to consumer microservices (Audit Service, Notification Service, Analytics Service) for asynchronous ingestion.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DF2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9F1C4D"/>
                <w:sz w:val="21"/>
              </w:rPr>
              <w:t>📌 DUAL-STORE PERSISTENCE TOPOLOGY</w:t>
              <w:br/>
            </w:r>
            <w:r>
              <w:rPr>
                <w:color w:val="0F172A"/>
                <w:sz w:val="20"/>
              </w:rPr>
              <w:t>Dual-Store Principle: Oracle XE serves as the synchronous Master Source of Truth for OLTP row-locked mutations. PostgreSQL serves as the asynchronous Immutable Audit Store. Cross-database consistency is verified via scheduled 15-minute reconciliation sweeps.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