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7: Security Design &amp; Threat Mitigation Document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Defense-in-Depth Security Framework</w:t>
      </w:r>
    </w:p>
    <w:p>
      <w:r>
        <w:t>PayPink enforces banking-grade perimeter defense, stateless authentication, input sanitization, rate limiting, and synchronous non-repudiation audit logging.</w:t>
      </w:r>
    </w:p>
    <w:p>
      <w:pPr>
        <w:pStyle w:val="Heading2"/>
        <w:spacing w:before="280" w:after="120"/>
      </w:pPr>
      <w:r>
        <w:rPr>
          <w:b/>
          <w:color w:val="E11D48"/>
          <w:sz w:val="28"/>
        </w:rPr>
        <w:t>2. OWASP Top 10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OWASP Threat Category</w:t>
            </w:r>
          </w:p>
        </w:tc>
        <w:tc>
          <w:tcPr>
            <w:tcW w:type="dxa" w:w="259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Vulnerability Risk</w:t>
            </w:r>
          </w:p>
        </w:tc>
        <w:tc>
          <w:tcPr>
            <w:tcW w:type="dxa" w:w="417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PayPink Defense Implementation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A01: Broken Access Control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Unauthorized ledger access / privilege escalation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Stateless 256-bit HMAC-SHA256 JWT token verification at API Gateway with role claims.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A02: Cryptographic Failures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Credential exposure / plain-text passwords</w:t>
            </w:r>
          </w:p>
        </w:tc>
        <w:tc>
          <w:tcPr>
            <w:tcW w:type="dxa" w:w="417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Passwords salted and hashed using BCrypt (cost factor 10). Sensitive tokens isolated in private Docker bridge network.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A03: Injection (SQL / Command)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SQL injection into financial balances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100% Parameterized queries via Spring Data JPA and NamedParameterJdbcTemplate.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A04: Insecure Design (Race Conditions)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Double-spend financial balance draining</w:t>
            </w:r>
          </w:p>
        </w:tc>
        <w:tc>
          <w:tcPr>
            <w:tcW w:type="dxa" w:w="417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row-level pessimistic locking (@Lock(PESSIMISTIC_WRITE)) and CHECK (current_balance &gt;= 0).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A05: Security Misconfiguration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Unprotected internal service ports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Only API Gateway (8080) and Frontend (3001) exposed externally. Microservices isolated inside ledger-net.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A07: Identification Failures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Brute-force credential guessing / DDoS</w:t>
            </w:r>
          </w:p>
        </w:tc>
        <w:tc>
          <w:tcPr>
            <w:tcW w:type="dxa" w:w="417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Token-Bucket Rate Limiter (100 req/s, 200 burst) keyed per authenticated user.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A09: Logging &amp; Monitoring Failures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Undetected fraud / repudiation of transactions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Synchronous AUDIT_LOG insertion in Oracle commit + append-only PostgreSQL LEDGER_MUTATION_AUDIT.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