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/>
      </w:pPr>
    </w:p>
    <w:p>
      <w:pPr>
        <w:jc w:val="center"/>
      </w:pPr>
      <w:r>
        <w:rPr>
          <w:b/>
          <w:color w:val="9F1C4D"/>
          <w:sz w:val="52"/>
        </w:rPr>
        <w:t>PayPink Core Retail Ledger</w:t>
      </w:r>
    </w:p>
    <w:p>
      <w:pPr>
        <w:spacing w:after="600"/>
        <w:jc w:val="center"/>
      </w:pPr>
      <w:r>
        <w:rPr>
          <w:color w:val="E11D48"/>
          <w:sz w:val="28"/>
        </w:rPr>
        <w:t>Master Capstone Project Documentation &amp; Engineering Thesis</w:t>
      </w:r>
    </w:p>
    <w:p>
      <w:pPr>
        <w:jc w:val="center"/>
      </w:pPr>
      <w:r>
        <w:rPr>
          <w:color w:val="64748B"/>
        </w:rPr>
        <w:t>―――――――――――――――――――――――――――――――――――</w:t>
      </w:r>
    </w:p>
    <w:p>
      <w:pPr>
        <w:spacing w:before="800"/>
        <w:jc w:val="center"/>
      </w:pPr>
      <w:r>
        <w:rPr>
          <w:b/>
          <w:color w:val="0F172A"/>
          <w:sz w:val="24"/>
        </w:rPr>
        <w:t>Full-Stack Software Engineering Capstone Defense Project</w:t>
        <w:br/>
      </w:r>
      <w:r>
        <w:rPr>
          <w:color w:val="0F172A"/>
          <w:sz w:val="22"/>
        </w:rPr>
        <w:t>Project Team: Levi Viernes, Aly Rosales, Gill Lim, Francis Tolentino, Cisko Reyes</w:t>
        <w:br/>
      </w:r>
      <w:r>
        <w:rPr>
          <w:color w:val="64748B"/>
          <w:sz w:val="21"/>
        </w:rPr>
        <w:t>Date: September 28, 2026</w:t>
        <w:br/>
        <w:t>Location: Metro Manila, Philippines</w:t>
        <w:br/>
        <w:t>Currencies: PHP (₱) Standard</w:t>
      </w:r>
    </w:p>
    <w:p>
      <w:r>
        <w:br w:type="page"/>
      </w:r>
    </w:p>
    <w:p>
      <w:pPr>
        <w:pStyle w:val="Heading1"/>
        <w:spacing w:before="280" w:after="120"/>
      </w:pPr>
      <w:r>
        <w:rPr>
          <w:b/>
          <w:color w:val="9F1C4D"/>
          <w:sz w:val="36"/>
        </w:rPr>
        <w:t>Master Table of Contents</w:t>
      </w:r>
    </w:p>
    <w:p>
      <w:r>
        <w:t>1. Document 1: Business Requirement Document (BRD)</w:t>
        <w:br/>
        <w:t>2. Document 2: Functional Requirement Specification (FRS)</w:t>
        <w:br/>
        <w:t>3. Document 3: System Architecture Document (SAD)</w:t>
        <w:br/>
        <w:t>4. Document 4: ER Diagram &amp; Data Dictionary Specification</w:t>
        <w:br/>
        <w:t>5. Document 5: REST API Design Document</w:t>
        <w:br/>
        <w:t>6. Document 6: Test Strategy &amp; 18-Point Test Case Catalog</w:t>
        <w:br/>
        <w:t>7. Document 7: Security Design &amp; Threat Mitigation Document</w:t>
        <w:br/>
        <w:t>8. Document 8: Project Estimation &amp; Planning Document</w:t>
        <w:br/>
      </w:r>
    </w:p>
    <w:p>
      <w:r>
        <w:br w:type="page"/>
      </w:r>
    </w:p>
    <w:p>
      <w:pPr>
        <w:pStyle w:val="Heading1"/>
        <w:spacing w:before="280" w:after="120"/>
      </w:pPr>
      <w:r>
        <w:rPr>
          <w:b/>
          <w:color w:val="9F1C4D"/>
          <w:sz w:val="36"/>
        </w:rPr>
        <w:t>SECTION 1: BUSINESS REQUIREMENT DOCUMENT (BRD)</w:t>
      </w:r>
    </w:p>
    <w:p>
      <w:r>
        <w:t>PayPink provides high-throughput, row-locked financial balance mutations under high concurrency...</w:t>
      </w:r>
    </w:p>
    <w:p>
      <w:pPr>
        <w:pStyle w:val="Heading1"/>
        <w:spacing w:before="280" w:after="120"/>
      </w:pPr>
      <w:r>
        <w:rPr>
          <w:b/>
          <w:color w:val="9F1C4D"/>
          <w:sz w:val="36"/>
        </w:rPr>
        <w:t>SECTION 2: FUNCTIONAL REQUIREMENT SPECIFICATION (FRS)</w:t>
      </w:r>
    </w:p>
    <w:p>
      <w:r>
        <w:t>Details 14 REST endpoints, JSR-380 input validations, and state machine lifecycle...</w:t>
      </w:r>
    </w:p>
    <w:p>
      <w:pPr>
        <w:pStyle w:val="Heading1"/>
        <w:spacing w:before="280" w:after="120"/>
      </w:pPr>
      <w:r>
        <w:rPr>
          <w:b/>
          <w:color w:val="9F1C4D"/>
          <w:sz w:val="36"/>
        </w:rPr>
        <w:t>SECTION 3: SYSTEM ARCHITECTURE DOCUMENT (SAD)</w:t>
      </w:r>
    </w:p>
    <w:p>
      <w:r>
        <w:t>Covers the 6-layer architecture, 19 Docker containers, Transactional Outbox pattern, and Kafka streaming...</w:t>
      </w:r>
    </w:p>
    <w:p>
      <w:pPr>
        <w:pStyle w:val="Heading1"/>
        <w:spacing w:before="280" w:after="120"/>
      </w:pPr>
      <w:r>
        <w:rPr>
          <w:b/>
          <w:color w:val="9F1C4D"/>
          <w:sz w:val="36"/>
        </w:rPr>
        <w:t>SECTION 4: ER DIAGRAM &amp; DATA DICTIONARY</w:t>
      </w:r>
    </w:p>
    <w:p>
      <w:r>
        <w:t>Defines 8 database entities across Oracle XE master and PostgreSQL audit stores...</w:t>
      </w:r>
    </w:p>
    <w:p>
      <w:pPr>
        <w:pStyle w:val="Heading1"/>
        <w:spacing w:before="280" w:after="120"/>
      </w:pPr>
      <w:r>
        <w:rPr>
          <w:b/>
          <w:color w:val="9F1C4D"/>
          <w:sz w:val="36"/>
        </w:rPr>
        <w:t>SECTION 5: REST API DESIGN DOCUMENT</w:t>
      </w:r>
    </w:p>
    <w:p>
      <w:r>
        <w:t>Defines endpoint contracts, JSON schemas, Bearer JWT authentication, and RFC-7807 problem details...</w:t>
      </w:r>
    </w:p>
    <w:p>
      <w:pPr>
        <w:pStyle w:val="Heading1"/>
        <w:spacing w:before="280" w:after="120"/>
      </w:pPr>
      <w:r>
        <w:rPr>
          <w:b/>
          <w:color w:val="9F1C4D"/>
          <w:sz w:val="36"/>
        </w:rPr>
        <w:t>SECTION 6: TEST STRATEGY &amp; TEST CASES</w:t>
      </w:r>
    </w:p>
    <w:p>
      <w:r>
        <w:t>Details 18 test cases across Concurrency, Idempotency, Validation, Event Streaming, Performance, and Security...</w:t>
      </w:r>
    </w:p>
    <w:p>
      <w:pPr>
        <w:pStyle w:val="Heading1"/>
        <w:spacing w:before="280" w:after="120"/>
      </w:pPr>
      <w:r>
        <w:rPr>
          <w:b/>
          <w:color w:val="9F1C4D"/>
          <w:sz w:val="36"/>
        </w:rPr>
        <w:t>SECTION 7: SECURITY DESIGN DOCUMENT</w:t>
      </w:r>
    </w:p>
    <w:p>
      <w:r>
        <w:t>Defines OWASP Top 10 mitigations, HMAC-SHA256 JWT security, Token Bucket Rate Limiting, and non-repudiation...</w:t>
      </w:r>
    </w:p>
    <w:p>
      <w:pPr>
        <w:pStyle w:val="Heading1"/>
        <w:spacing w:before="280" w:after="120"/>
      </w:pPr>
      <w:r>
        <w:rPr>
          <w:b/>
          <w:color w:val="9F1C4D"/>
          <w:sz w:val="36"/>
        </w:rPr>
        <w:t>SECTION 8: PROJECT ESTIMATION &amp; PLANNING</w:t>
      </w:r>
    </w:p>
    <w:p>
      <w:r>
        <w:t>Details WBS, 4-phase sprint timeline, and 5-member defense ownership matrix...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