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b/>
          <w:color w:val="9F1C4D"/>
          <w:sz w:val="52"/>
        </w:rPr>
        <w:t>PayPink Core Retail Ledger</w:t>
      </w:r>
    </w:p>
    <w:p>
      <w:pPr>
        <w:spacing w:after="600"/>
        <w:jc w:val="center"/>
      </w:pPr>
      <w:r>
        <w:rPr>
          <w:color w:val="E11D48"/>
          <w:sz w:val="28"/>
        </w:rPr>
        <w:t>Document 1: Business Requirement Document (BRD)</w:t>
      </w:r>
    </w:p>
    <w:p>
      <w:pPr>
        <w:jc w:val="center"/>
      </w:pPr>
      <w:r>
        <w:rPr>
          <w:color w:val="64748B"/>
        </w:rPr>
        <w:t>―――――――――――――――――――――――――――――――――――</w:t>
      </w:r>
    </w:p>
    <w:p>
      <w:pPr>
        <w:spacing w:before="800"/>
        <w:jc w:val="center"/>
      </w:pPr>
      <w:r>
        <w:rPr>
          <w:b/>
          <w:color w:val="0F172A"/>
          <w:sz w:val="24"/>
        </w:rPr>
        <w:t>Full-Stack Software Engineering Capstone Defense Project</w:t>
        <w:br/>
      </w:r>
      <w:r>
        <w:rPr>
          <w:color w:val="0F172A"/>
          <w:sz w:val="22"/>
        </w:rPr>
        <w:t>Project Team: Levi Viernes, Aly Rosales, Gill Lim, Francis Tolentino, Cisko Reyes</w:t>
        <w:br/>
      </w:r>
      <w:r>
        <w:rPr>
          <w:color w:val="64748B"/>
          <w:sz w:val="21"/>
        </w:rPr>
        <w:t>Date: September 28, 2026</w:t>
        <w:br/>
        <w:t>Location: Metro Manila, Philippines</w:t>
        <w:br/>
        <w:t>Currencies: PHP (₱) Standard</w:t>
      </w:r>
    </w:p>
    <w:p>
      <w:r>
        <w:br w:type="page"/>
      </w:r>
    </w:p>
    <w:p>
      <w:pPr>
        <w:pStyle w:val="Heading1"/>
        <w:spacing w:before="280" w:after="120"/>
      </w:pPr>
      <w:r>
        <w:rPr>
          <w:b/>
          <w:color w:val="9F1C4D"/>
          <w:sz w:val="36"/>
        </w:rPr>
        <w:t>1. Executive Summary &amp; Business Problem</w:t>
      </w:r>
    </w:p>
    <w:p>
      <w:r>
        <w:t>Modern retail digital banking systems in the Philippines (supporting InstaPay and PESONet rails) face extreme transaction surges during scheduled payroll disbursements, monthly flash sales, and government relief payouts. Legacy monolithic core banking platforms suffer from severe database lock contention, double-spending race conditions, and uncontrolled transaction rollbacks under high concurrency.</w:t>
        <w:br/>
        <w:br/>
        <w:t>PayPink is an enterprise-grade Core Retail Ledger and Distributed Balance Mutation Engine designed to guarantee absolute financial integrity, sub-50ms engine latencies, and high throughput (&gt;=800 TPS) with zero overdraft anomalies.</w:t>
      </w:r>
    </w:p>
    <w:tbl>
      <w:tblPr>
        <w:tblW w:type="auto" w:w="0"/>
        <w:jc w:val="center"/>
        <w:tblLook w:firstColumn="1" w:firstRow="1" w:lastColumn="0" w:lastRow="0" w:noHBand="0" w:noVBand="1" w:val="04A0"/>
      </w:tblPr>
      <w:tblGrid>
        <w:gridCol w:w="8640"/>
      </w:tblGrid>
      <w:tr>
        <w:tc>
          <w:tcPr>
            <w:tcW w:type="dxa" w:w="8640"/>
            <w:shd w:fill="FDF2F8"/>
            <w:tcMar>
              <w:top w:w="140" w:type="dxa"/>
              <w:bottom w:w="140" w:type="dxa"/>
              <w:left w:w="200" w:type="dxa"/>
              <w:right w:w="200" w:type="dxa"/>
            </w:tcMar>
          </w:tcPr>
          <w:p>
            <w:pPr>
              <w:spacing w:after="80"/>
            </w:pPr>
            <w:r>
              <w:rPr>
                <w:b/>
                <w:color w:val="9F1C4D"/>
                <w:sz w:val="21"/>
              </w:rPr>
              <w:t>📌 EXECUTIVE GOAL</w:t>
              <w:br/>
            </w:r>
            <w:r>
              <w:rPr>
                <w:color w:val="0F172A"/>
                <w:sz w:val="20"/>
              </w:rPr>
              <w:t>Primary Business Mandate: Maintain 100% financial correctness and 0.00% overdraft rate while providing high availability and real-time observability for Philippine digital retail banking.</w:t>
            </w:r>
          </w:p>
        </w:tc>
      </w:tr>
    </w:tbl>
    <w:p>
      <w:pPr>
        <w:spacing w:after="120"/>
      </w:pPr>
    </w:p>
    <w:p>
      <w:pPr>
        <w:pStyle w:val="Heading2"/>
        <w:spacing w:before="280" w:after="120"/>
      </w:pPr>
      <w:r>
        <w:rPr>
          <w:b/>
          <w:color w:val="E11D48"/>
          <w:sz w:val="28"/>
        </w:rPr>
        <w:t>2. Key Business Objectives &amp; Target SLAs</w:t>
      </w:r>
    </w:p>
    <w:tbl>
      <w:tblPr>
        <w:tblW w:type="auto" w:w="0"/>
        <w:jc w:val="center"/>
        <w:tblLook w:firstColumn="1" w:firstRow="1" w:lastColumn="0" w:lastRow="0" w:noHBand="0" w:noVBand="1" w:val="04A0"/>
      </w:tblPr>
      <w:tblGrid>
        <w:gridCol w:w="2880"/>
        <w:gridCol w:w="2880"/>
        <w:gridCol w:w="2880"/>
      </w:tblGrid>
      <w:tr>
        <w:tc>
          <w:tcPr>
            <w:tcW w:type="dxa" w:w="2880"/>
            <w:shd w:fill="831843"/>
            <w:tcMar>
              <w:top w:w="120" w:type="dxa"/>
              <w:bottom w:w="120" w:type="dxa"/>
              <w:left w:w="120" w:type="dxa"/>
              <w:right w:w="120" w:type="dxa"/>
            </w:tcMar>
          </w:tcPr>
          <w:p>
            <w:pPr>
              <w:jc w:val="left"/>
            </w:pPr>
            <w:r>
              <w:rPr>
                <w:b/>
                <w:color w:val="FFFFFF"/>
                <w:sz w:val="19"/>
              </w:rPr>
              <w:t>Objective / SLA Metric</w:t>
            </w:r>
          </w:p>
        </w:tc>
        <w:tc>
          <w:tcPr>
            <w:tcW w:type="dxa" w:w="2880"/>
            <w:shd w:fill="831843"/>
            <w:tcMar>
              <w:top w:w="120" w:type="dxa"/>
              <w:bottom w:w="120" w:type="dxa"/>
              <w:left w:w="120" w:type="dxa"/>
              <w:right w:w="120" w:type="dxa"/>
            </w:tcMar>
          </w:tcPr>
          <w:p>
            <w:pPr>
              <w:jc w:val="left"/>
            </w:pPr>
            <w:r>
              <w:rPr>
                <w:b/>
                <w:color w:val="FFFFFF"/>
                <w:sz w:val="19"/>
              </w:rPr>
              <w:t>Target Benchmark</w:t>
            </w:r>
          </w:p>
        </w:tc>
        <w:tc>
          <w:tcPr>
            <w:tcW w:type="dxa" w:w="3600"/>
            <w:shd w:fill="831843"/>
            <w:tcMar>
              <w:top w:w="120" w:type="dxa"/>
              <w:bottom w:w="120" w:type="dxa"/>
              <w:left w:w="120" w:type="dxa"/>
              <w:right w:w="120" w:type="dxa"/>
            </w:tcMar>
          </w:tcPr>
          <w:p>
            <w:pPr>
              <w:jc w:val="left"/>
            </w:pPr>
            <w:r>
              <w:rPr>
                <w:b/>
                <w:color w:val="FFFFFF"/>
                <w:sz w:val="19"/>
              </w:rPr>
              <w:t>Business Impact &amp; Regulatory Rationale</w:t>
            </w:r>
          </w:p>
        </w:tc>
      </w:tr>
      <w:tr>
        <w:tc>
          <w:tcPr>
            <w:tcW w:type="dxa" w:w="2880"/>
            <w:shd w:fill="FFFFFF"/>
            <w:tcMar>
              <w:top w:w="90" w:type="dxa"/>
              <w:bottom w:w="90" w:type="dxa"/>
              <w:left w:w="110" w:type="dxa"/>
              <w:right w:w="110" w:type="dxa"/>
            </w:tcMar>
          </w:tcPr>
          <w:p>
            <w:pPr>
              <w:jc w:val="left"/>
            </w:pPr>
            <w:r>
              <w:rPr>
                <w:color w:val="0F172A"/>
                <w:sz w:val="18"/>
              </w:rPr>
              <w:t>Peak Throughput Velocity</w:t>
            </w:r>
          </w:p>
        </w:tc>
        <w:tc>
          <w:tcPr>
            <w:tcW w:type="dxa" w:w="2880"/>
            <w:shd w:fill="FFFFFF"/>
            <w:tcMar>
              <w:top w:w="90" w:type="dxa"/>
              <w:bottom w:w="90" w:type="dxa"/>
              <w:left w:w="110" w:type="dxa"/>
              <w:right w:w="110" w:type="dxa"/>
            </w:tcMar>
          </w:tcPr>
          <w:p>
            <w:pPr>
              <w:jc w:val="left"/>
            </w:pPr>
            <w:r>
              <w:rPr>
                <w:color w:val="0F172A"/>
                <w:sz w:val="18"/>
              </w:rPr>
              <w:t>&gt;= 800 Transactions / Sec (TPS)</w:t>
            </w:r>
          </w:p>
        </w:tc>
        <w:tc>
          <w:tcPr>
            <w:tcW w:type="dxa" w:w="3600"/>
            <w:shd w:fill="FFFFFF"/>
            <w:tcMar>
              <w:top w:w="90" w:type="dxa"/>
              <w:bottom w:w="90" w:type="dxa"/>
              <w:left w:w="110" w:type="dxa"/>
              <w:right w:w="110" w:type="dxa"/>
            </w:tcMar>
          </w:tcPr>
          <w:p>
            <w:pPr>
              <w:jc w:val="left"/>
            </w:pPr>
            <w:r>
              <w:rPr>
                <w:color w:val="0F172A"/>
                <w:sz w:val="18"/>
              </w:rPr>
              <w:t>Guarantees seamless handling of high-concurrency peak transaction windows without system degradation.</w:t>
            </w:r>
          </w:p>
        </w:tc>
      </w:tr>
      <w:tr>
        <w:tc>
          <w:tcPr>
            <w:tcW w:type="dxa" w:w="2880"/>
            <w:shd w:fill="FDF2F8"/>
            <w:tcMar>
              <w:top w:w="90" w:type="dxa"/>
              <w:bottom w:w="90" w:type="dxa"/>
              <w:left w:w="110" w:type="dxa"/>
              <w:right w:w="110" w:type="dxa"/>
            </w:tcMar>
          </w:tcPr>
          <w:p>
            <w:pPr>
              <w:jc w:val="left"/>
            </w:pPr>
            <w:r>
              <w:rPr>
                <w:color w:val="0F172A"/>
                <w:sz w:val="18"/>
              </w:rPr>
              <w:t>Engine Processing Latency</w:t>
            </w:r>
          </w:p>
        </w:tc>
        <w:tc>
          <w:tcPr>
            <w:tcW w:type="dxa" w:w="2880"/>
            <w:shd w:fill="FDF2F8"/>
            <w:tcMar>
              <w:top w:w="90" w:type="dxa"/>
              <w:bottom w:w="90" w:type="dxa"/>
              <w:left w:w="110" w:type="dxa"/>
              <w:right w:w="110" w:type="dxa"/>
            </w:tcMar>
          </w:tcPr>
          <w:p>
            <w:pPr>
              <w:jc w:val="left"/>
            </w:pPr>
            <w:r>
              <w:rPr>
                <w:color w:val="0F172A"/>
                <w:sz w:val="18"/>
              </w:rPr>
              <w:t>P95 &lt;= 50 ms</w:t>
            </w:r>
          </w:p>
        </w:tc>
        <w:tc>
          <w:tcPr>
            <w:tcW w:type="dxa" w:w="3600"/>
            <w:shd w:fill="FDF2F8"/>
            <w:tcMar>
              <w:top w:w="90" w:type="dxa"/>
              <w:bottom w:w="90" w:type="dxa"/>
              <w:left w:w="110" w:type="dxa"/>
              <w:right w:w="110" w:type="dxa"/>
            </w:tcMar>
          </w:tcPr>
          <w:p>
            <w:pPr>
              <w:jc w:val="left"/>
            </w:pPr>
            <w:r>
              <w:rPr>
                <w:color w:val="0F172A"/>
                <w:sz w:val="18"/>
              </w:rPr>
              <w:t>Ensures sub-second responsiveness for mobile banking transfers and POS terminal checkouts.</w:t>
            </w:r>
          </w:p>
        </w:tc>
      </w:tr>
      <w:tr>
        <w:tc>
          <w:tcPr>
            <w:tcW w:type="dxa" w:w="2880"/>
            <w:shd w:fill="FFFFFF"/>
            <w:tcMar>
              <w:top w:w="90" w:type="dxa"/>
              <w:bottom w:w="90" w:type="dxa"/>
              <w:left w:w="110" w:type="dxa"/>
              <w:right w:w="110" w:type="dxa"/>
            </w:tcMar>
          </w:tcPr>
          <w:p>
            <w:pPr>
              <w:jc w:val="left"/>
            </w:pPr>
            <w:r>
              <w:rPr>
                <w:color w:val="0F172A"/>
                <w:sz w:val="18"/>
              </w:rPr>
              <w:t>Idempotency Turnaround</w:t>
            </w:r>
          </w:p>
        </w:tc>
        <w:tc>
          <w:tcPr>
            <w:tcW w:type="dxa" w:w="2880"/>
            <w:shd w:fill="FFFFFF"/>
            <w:tcMar>
              <w:top w:w="90" w:type="dxa"/>
              <w:bottom w:w="90" w:type="dxa"/>
              <w:left w:w="110" w:type="dxa"/>
              <w:right w:w="110" w:type="dxa"/>
            </w:tcMar>
          </w:tcPr>
          <w:p>
            <w:pPr>
              <w:jc w:val="left"/>
            </w:pPr>
            <w:r>
              <w:rPr>
                <w:color w:val="0F172A"/>
                <w:sz w:val="18"/>
              </w:rPr>
              <w:t>&lt;= 5.00 ms</w:t>
            </w:r>
          </w:p>
        </w:tc>
        <w:tc>
          <w:tcPr>
            <w:tcW w:type="dxa" w:w="3600"/>
            <w:shd w:fill="FFFFFF"/>
            <w:tcMar>
              <w:top w:w="90" w:type="dxa"/>
              <w:bottom w:w="90" w:type="dxa"/>
              <w:left w:w="110" w:type="dxa"/>
              <w:right w:w="110" w:type="dxa"/>
            </w:tcMar>
          </w:tcPr>
          <w:p>
            <w:pPr>
              <w:jc w:val="left"/>
            </w:pPr>
            <w:r>
              <w:rPr>
                <w:color w:val="0F172A"/>
                <w:sz w:val="18"/>
              </w:rPr>
              <w:t>Sub-millisecond verification via Redis in-memory matrix prevents accidental double-debiting upon network retries.</w:t>
            </w:r>
          </w:p>
        </w:tc>
      </w:tr>
      <w:tr>
        <w:tc>
          <w:tcPr>
            <w:tcW w:type="dxa" w:w="2880"/>
            <w:shd w:fill="FDF2F8"/>
            <w:tcMar>
              <w:top w:w="90" w:type="dxa"/>
              <w:bottom w:w="90" w:type="dxa"/>
              <w:left w:w="110" w:type="dxa"/>
              <w:right w:w="110" w:type="dxa"/>
            </w:tcMar>
          </w:tcPr>
          <w:p>
            <w:pPr>
              <w:jc w:val="left"/>
            </w:pPr>
            <w:r>
              <w:rPr>
                <w:color w:val="0F172A"/>
                <w:sz w:val="18"/>
              </w:rPr>
              <w:t>Overdraft Rate</w:t>
            </w:r>
          </w:p>
        </w:tc>
        <w:tc>
          <w:tcPr>
            <w:tcW w:type="dxa" w:w="2880"/>
            <w:shd w:fill="FDF2F8"/>
            <w:tcMar>
              <w:top w:w="90" w:type="dxa"/>
              <w:bottom w:w="90" w:type="dxa"/>
              <w:left w:w="110" w:type="dxa"/>
              <w:right w:w="110" w:type="dxa"/>
            </w:tcMar>
          </w:tcPr>
          <w:p>
            <w:pPr>
              <w:jc w:val="left"/>
            </w:pPr>
            <w:r>
              <w:rPr>
                <w:color w:val="0F172A"/>
                <w:sz w:val="18"/>
              </w:rPr>
              <w:t>0.00% (Zero Overdrafts)</w:t>
            </w:r>
          </w:p>
        </w:tc>
        <w:tc>
          <w:tcPr>
            <w:tcW w:type="dxa" w:w="3600"/>
            <w:shd w:fill="FDF2F8"/>
            <w:tcMar>
              <w:top w:w="90" w:type="dxa"/>
              <w:bottom w:w="90" w:type="dxa"/>
              <w:left w:w="110" w:type="dxa"/>
              <w:right w:w="110" w:type="dxa"/>
            </w:tcMar>
          </w:tcPr>
          <w:p>
            <w:pPr>
              <w:jc w:val="left"/>
            </w:pPr>
            <w:r>
              <w:rPr>
                <w:color w:val="0F172A"/>
                <w:sz w:val="18"/>
              </w:rPr>
              <w:t>Strict mathematical and row-lock enforcement eliminating balance leaks and regulatory compliance breaches.</w:t>
            </w:r>
          </w:p>
        </w:tc>
      </w:tr>
      <w:tr>
        <w:tc>
          <w:tcPr>
            <w:tcW w:type="dxa" w:w="2880"/>
            <w:shd w:fill="FFFFFF"/>
            <w:tcMar>
              <w:top w:w="90" w:type="dxa"/>
              <w:bottom w:w="90" w:type="dxa"/>
              <w:left w:w="110" w:type="dxa"/>
              <w:right w:w="110" w:type="dxa"/>
            </w:tcMar>
          </w:tcPr>
          <w:p>
            <w:pPr>
              <w:jc w:val="left"/>
            </w:pPr>
            <w:r>
              <w:rPr>
                <w:color w:val="0F172A"/>
                <w:sz w:val="18"/>
              </w:rPr>
              <w:t>Audit Reconciliation Sweep</w:t>
            </w:r>
          </w:p>
        </w:tc>
        <w:tc>
          <w:tcPr>
            <w:tcW w:type="dxa" w:w="2880"/>
            <w:shd w:fill="FFFFFF"/>
            <w:tcMar>
              <w:top w:w="90" w:type="dxa"/>
              <w:bottom w:w="90" w:type="dxa"/>
              <w:left w:w="110" w:type="dxa"/>
              <w:right w:w="110" w:type="dxa"/>
            </w:tcMar>
          </w:tcPr>
          <w:p>
            <w:pPr>
              <w:jc w:val="left"/>
            </w:pPr>
            <w:r>
              <w:rPr>
                <w:color w:val="0F172A"/>
                <w:sz w:val="18"/>
              </w:rPr>
              <w:t>15-Minute Automated Cycle</w:t>
            </w:r>
          </w:p>
        </w:tc>
        <w:tc>
          <w:tcPr>
            <w:tcW w:type="dxa" w:w="3600"/>
            <w:shd w:fill="FFFFFF"/>
            <w:tcMar>
              <w:top w:w="90" w:type="dxa"/>
              <w:bottom w:w="90" w:type="dxa"/>
              <w:left w:w="110" w:type="dxa"/>
              <w:right w:w="110" w:type="dxa"/>
            </w:tcMar>
          </w:tcPr>
          <w:p>
            <w:pPr>
              <w:jc w:val="left"/>
            </w:pPr>
            <w:r>
              <w:rPr>
                <w:color w:val="0F172A"/>
                <w:sz w:val="18"/>
              </w:rPr>
              <w:t>Automated drift detection comparing Oracle XE master transactions against PostgreSQL immutable audit records.</w:t>
            </w:r>
          </w:p>
        </w:tc>
      </w:tr>
    </w:tbl>
    <w:p>
      <w:pPr>
        <w:pStyle w:val="Heading2"/>
        <w:spacing w:before="280" w:after="120"/>
      </w:pPr>
      <w:r>
        <w:rPr>
          <w:b/>
          <w:color w:val="E11D48"/>
          <w:sz w:val="28"/>
        </w:rPr>
        <w:t>3. Stakeholder &amp; Target User Personas</w:t>
      </w:r>
    </w:p>
    <w:p>
      <w:r>
        <w:t>• Retail Banking Customer (e.g., Juan Dela Cruz, Levi Viernes): Mobile and web banking user performing P2P fund transfers, bill payments, and merchant checkouts in Philippine Peso (PHP).</w:t>
        <w:br/>
        <w:t>• Bank Treasury &amp; Compliance Officer: Internal auditor requiring verifiable, immutable, non-repudiated financial audit trails and automated reconciliation logs.</w:t>
        <w:br/>
        <w:t>• Core Banking Site Reliability Engineer (SRE): Operational engineer monitoring real-time transaction throughput, P95 latency spans, Kafka lag, and connection pool health via Grafana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