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9F1C4D"/>
          <w:sz w:val="52"/>
        </w:rPr>
        <w:t>PayPink Core Retail Ledger</w:t>
      </w:r>
    </w:p>
    <w:p>
      <w:pPr>
        <w:spacing w:after="600"/>
        <w:jc w:val="center"/>
      </w:pPr>
      <w:r>
        <w:rPr>
          <w:color w:val="E11D48"/>
          <w:sz w:val="28"/>
        </w:rPr>
        <w:t>Document 4: ER Diagram &amp; Data Dictionary Specification</w:t>
      </w:r>
    </w:p>
    <w:p>
      <w:pPr>
        <w:jc w:val="center"/>
      </w:pPr>
      <w:r>
        <w:rPr>
          <w:color w:val="64748B"/>
        </w:rPr>
        <w:t>―――――――――――――――――――――――――――――――――――</w:t>
      </w:r>
    </w:p>
    <w:p>
      <w:pPr>
        <w:spacing w:before="800"/>
        <w:jc w:val="center"/>
      </w:pPr>
      <w:r>
        <w:rPr>
          <w:b/>
          <w:color w:val="0F172A"/>
          <w:sz w:val="24"/>
        </w:rPr>
        <w:t>Full-Stack Software Engineering Capstone Defense Project</w:t>
        <w:br/>
      </w:r>
      <w:r>
        <w:rPr>
          <w:color w:val="0F172A"/>
          <w:sz w:val="22"/>
        </w:rPr>
        <w:t>Project Team: Levi Viernes, Aly Rosales, Gill Lim, Francis Tolentino, Cisko Reyes</w:t>
        <w:br/>
      </w:r>
      <w:r>
        <w:rPr>
          <w:color w:val="64748B"/>
          <w:sz w:val="21"/>
        </w:rPr>
        <w:t>Date: September 28, 2026</w:t>
        <w:br/>
        <w:t>Location: Metro Manila, Philippines</w:t>
        <w:br/>
        <w:t>Currencies: PHP (₱) Standard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9F1C4D"/>
          <w:sz w:val="36"/>
        </w:rPr>
        <w:t>1. Database Entities &amp; Schema Topology</w:t>
      </w:r>
    </w:p>
    <w:p>
      <w:r>
        <w:t>The PayPink data architecture is organized into an 8-table relational model distributed across Oracle XE 21c and PostgreSQL 15 datastores.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728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Datastore</w:t>
            </w:r>
          </w:p>
        </w:tc>
        <w:tc>
          <w:tcPr>
            <w:tcW w:type="dxa" w:w="216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2880"/>
            <w:shd w:fill="831843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 &amp; Constraints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CUSTOMER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XE (Master)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customer_id (NUMBER 19)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Stores customer identity, username (UK), BCrypt password hash, and contact details.</w:t>
            </w:r>
          </w:p>
        </w:tc>
      </w:tr>
      <w:tr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ACCOUNT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XE (Master)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account_id (NUMBER 19)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Master balance store. current_balance (NUMBER 18,4) with CHECK (current_balance &gt;= 0).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TRANSACTION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XE (Master)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transaction_id (NUMBER 19)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OLTP financial ledger records with reference_no (UK), amounts, currencies, and status.</w:t>
            </w:r>
          </w:p>
        </w:tc>
      </w:tr>
      <w:tr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OUTBOX_EVENT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XE (Master)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event_id (NUMBER 19)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Staging table for Transactional Outbox pattern. Stores JSON payload and status (PENDING/PROCESSED).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AUDIT_LOG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Oracle XE (Master)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audit_id (NUMBER 19)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Synchronous security and operational non-repudiation audit log.</w:t>
            </w:r>
          </w:p>
        </w:tc>
      </w:tr>
      <w:tr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LEDGER_MUTATION_AUDIT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PostgreSQL (Audit)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audit_id (BIGSERIAL)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Asynchronous immutable double-entry audit trail written by Audit Consumer from Kafka.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RECONCILIATION_LOG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PostgreSQL (Audit)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recon_id (BIGSERIAL)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Cross-database 15-minute drift audit log comparing Oracle vs Postgres counts.</w:t>
            </w:r>
          </w:p>
        </w:tc>
      </w:tr>
      <w:tr>
        <w:tc>
          <w:tcPr>
            <w:tcW w:type="dxa" w:w="2592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NOTIFICATION</w:t>
            </w:r>
          </w:p>
        </w:tc>
        <w:tc>
          <w:tcPr>
            <w:tcW w:type="dxa" w:w="1728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PostgreSQL (Audit)</w:t>
            </w:r>
          </w:p>
        </w:tc>
        <w:tc>
          <w:tcPr>
            <w:tcW w:type="dxa" w:w="216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notification_id (BIGSERIAL)</w:t>
            </w:r>
          </w:p>
        </w:tc>
        <w:tc>
          <w:tcPr>
            <w:tcW w:type="dxa" w:w="2880"/>
            <w:shd w:fill="FDF2F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Customer alerts log for SMS, Email, and Push notifications.</w:t>
            </w:r>
          </w:p>
        </w:tc>
      </w:tr>
    </w:tbl>
    <w:p>
      <w:pPr>
        <w:pStyle w:val="Heading2"/>
        <w:spacing w:before="280" w:after="120"/>
      </w:pPr>
      <w:r>
        <w:rPr>
          <w:b/>
          <w:color w:val="E11D48"/>
          <w:sz w:val="28"/>
        </w:rPr>
        <w:t>2. High-Throughput Indexing Strategy</w:t>
      </w:r>
    </w:p>
    <w:p>
      <w:r>
        <w:t>• idx_account_cust_id: B-Tree index on ACCOUNT(customer_id) for sub-millisecond account retrieval.</w:t>
        <w:br/>
        <w:t>• idx_account_num: Unique index on ACCOUNT(account_number).</w:t>
        <w:br/>
        <w:t>• idx_tx_from_acc: Index on TRANSACTION(from_account_id) for rapid statement generation.</w:t>
        <w:br/>
        <w:t>• idx_tx_ref_no: Unique index on TRANSACTION(reference_no) for transaction deduplication.</w:t>
        <w:br/>
        <w:t>• idx_outbox_status: Composite index on OUTBOX_EVENT(status, created_date) for high-speed poller sweeps.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