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883715"/>
            <wp:docPr id="1" name="Picture 1"/>
            <wp:cNvGraphicFramePr>
              <a:graphicFrameLocks noChangeAspect="1"/>
            </wp:cNvGraphicFramePr>
            <a:graphic>
              <a:graphicData uri="http://schemas.openxmlformats.org/drawingml/2006/picture">
                <pic:pic>
                  <pic:nvPicPr>
                    <pic:cNvPr id="0" name="TechStone.png"/>
                    <pic:cNvPicPr/>
                  </pic:nvPicPr>
                  <pic:blipFill>
                    <a:blip r:embed="rId9"/>
                    <a:stretch>
                      <a:fillRect/>
                    </a:stretch>
                  </pic:blipFill>
                  <pic:spPr>
                    <a:xfrm>
                      <a:off x="0" y="0"/>
                      <a:ext cx="1645920" cy="883715"/>
                    </a:xfrm>
                    <a:prstGeom prst="rect"/>
                  </pic:spPr>
                </pic:pic>
              </a:graphicData>
            </a:graphic>
          </wp:inline>
        </w:drawing>
      </w:r>
    </w:p>
    <w:p>
      <w:pPr>
        <w:spacing w:before="600"/>
        <w:jc w:val="center"/>
      </w:pPr>
      <w:r>
        <w:rPr>
          <w:b/>
          <w:color w:val="1F4E79"/>
          <w:sz w:val="60"/>
        </w:rPr>
        <w:t>MigrAIte</w:t>
      </w:r>
    </w:p>
    <w:p>
      <w:pPr>
        <w:jc w:val="center"/>
      </w:pPr>
      <w:r>
        <w:rPr>
          <w:color w:val="2E74B5"/>
          <w:sz w:val="30"/>
        </w:rPr>
        <w:t>GUI Field Reference</w:t>
      </w:r>
    </w:p>
    <w:p>
      <w:pPr>
        <w:spacing w:before="200"/>
        <w:jc w:val="center"/>
      </w:pPr>
      <w:r>
        <w:rPr>
          <w:i/>
          <w:color w:val="6B6B6B"/>
          <w:sz w:val="21"/>
        </w:rPr>
        <w:t>What every field, button, and toggle in the MigrAIte Streamlit app does, grouped by the screen it appears on.</w:t>
      </w:r>
    </w:p>
    <w:p>
      <w:pPr>
        <w:spacing w:before="480"/>
        <w:jc w:val="center"/>
      </w:pPr>
      <w:r>
        <w:rPr>
          <w:color w:val="6B6B6B"/>
          <w:sz w:val="18"/>
        </w:rPr>
        <w:t>Written against the current build of app.py</w:t>
      </w:r>
    </w:p>
    <w:p>
      <w:r>
        <w:br w:type="page"/>
      </w:r>
    </w:p>
    <w:p>
      <w:pPr>
        <w:keepNext/>
        <w:spacing w:before="440" w:after="160"/>
        <w:pBdr>
          <w:top w:val="single" w:sz="6" w:space="6" w:color="1F4E79"/>
        </w:pBdr>
      </w:pPr>
      <w:r>
        <w:rPr>
          <w:rFonts w:ascii="Calibri" w:hAnsi="Calibri"/>
          <w:b/>
          <w:color w:val="1F4E79"/>
          <w:sz w:val="34"/>
        </w:rPr>
        <w:t>Global Controls</w:t>
      </w:r>
    </w:p>
    <w:p>
      <w:pPr>
        <w:spacing w:after="120"/>
      </w:pPr>
      <w:r>
        <w:rPr>
          <w:i w:val="0"/>
          <w:color w:val="404040"/>
          <w:sz w:val="21"/>
        </w:rPr>
        <w:t>Two controls sit above the three mode tabs and apply no matter which mode you're in.</w:t>
      </w:r>
    </w:p>
    <w:tbl>
      <w:tblPr>
        <w:tblStyle w:val="TableGrid"/>
        <w:tblW w:type="auto" w:w="0"/>
        <w:jc w:val="left"/>
        <w:tblLook w:firstColumn="1" w:firstRow="1" w:lastColumn="0" w:lastRow="0" w:noHBand="0" w:noVBand="1" w:val="04A0"/>
      </w:tblPr>
      <w:tblGrid>
        <w:gridCol w:w="3216"/>
        <w:gridCol w:w="3216"/>
        <w:gridCol w:w="3216"/>
      </w:tblGrid>
      <w:tr>
        <w:tc>
          <w:tcPr>
            <w:tcW w:type="dxa" w:w="1872"/>
            <w:shd w:fill="1F4E79"/>
          </w:tcPr>
          <w:p>
            <w:r/>
            <w:r>
              <w:rPr>
                <w:b/>
                <w:color w:val="FFFFFF"/>
                <w:sz w:val="19"/>
              </w:rPr>
              <w:t>Control</w:t>
            </w:r>
          </w:p>
        </w:tc>
        <w:tc>
          <w:tcPr>
            <w:tcW w:type="dxa" w:w="2304"/>
            <w:shd w:fill="1F4E79"/>
          </w:tcPr>
          <w:p>
            <w:r/>
            <w:r>
              <w:rPr>
                <w:b/>
                <w:color w:val="FFFFFF"/>
                <w:sz w:val="19"/>
              </w:rPr>
              <w:t>Type</w:t>
            </w:r>
          </w:p>
        </w:tc>
        <w:tc>
          <w:tcPr>
            <w:tcW w:type="dxa" w:w="4896"/>
            <w:shd w:fill="1F4E79"/>
          </w:tcPr>
          <w:p>
            <w:r/>
            <w:r>
              <w:rPr>
                <w:b/>
                <w:color w:val="FFFFFF"/>
                <w:sz w:val="19"/>
              </w:rPr>
              <w:t>Description</w:t>
            </w:r>
          </w:p>
        </w:tc>
      </w:tr>
      <w:tr>
        <w:tc>
          <w:tcPr>
            <w:tcW w:type="dxa" w:w="1872"/>
          </w:tcPr>
          <w:p>
            <w:r/>
            <w:r>
              <w:rPr>
                <w:color w:val="404040"/>
                <w:sz w:val="19"/>
              </w:rPr>
              <w:t>Theme</w:t>
            </w:r>
          </w:p>
        </w:tc>
        <w:tc>
          <w:tcPr>
            <w:tcW w:type="dxa" w:w="2304"/>
          </w:tcPr>
          <w:p>
            <w:r/>
            <w:r>
              <w:rPr>
                <w:color w:val="404040"/>
                <w:sz w:val="19"/>
              </w:rPr>
              <w:t>Dark / Light toggle</w:t>
            </w:r>
          </w:p>
        </w:tc>
        <w:tc>
          <w:tcPr>
            <w:tcW w:type="dxa" w:w="4896"/>
          </w:tcPr>
          <w:p>
            <w:r/>
            <w:r>
              <w:rPr>
                <w:color w:val="404040"/>
                <w:sz w:val="19"/>
              </w:rPr>
              <w:t>Switches the whole app's palette. Dark is the default. Every color in the UI routes through one shared token set, so this is a full re-theme, not a partial one — including the platform tiles, inputs, badges, and the terminal log panel (which stays black in both themes, like a code editor's console).</w:t>
            </w:r>
          </w:p>
        </w:tc>
      </w:tr>
      <w:tr>
        <w:tc>
          <w:tcPr>
            <w:tcW w:type="dxa" w:w="1872"/>
            <w:shd w:fill="F2F7FD"/>
          </w:tcPr>
          <w:p>
            <w:r/>
            <w:r>
              <w:rPr>
                <w:color w:val="404040"/>
                <w:sz w:val="19"/>
              </w:rPr>
              <w:t>Mode selector</w:t>
            </w:r>
          </w:p>
        </w:tc>
        <w:tc>
          <w:tcPr>
            <w:tcW w:type="dxa" w:w="2304"/>
            <w:shd w:fill="F2F7FD"/>
          </w:tcPr>
          <w:p>
            <w:r/>
            <w:r>
              <w:rPr>
                <w:color w:val="404040"/>
                <w:sz w:val="19"/>
              </w:rPr>
              <w:t>3-way segmented control</w:t>
            </w:r>
          </w:p>
        </w:tc>
        <w:tc>
          <w:tcPr>
            <w:tcW w:type="dxa" w:w="4896"/>
            <w:shd w:fill="F2F7FD"/>
          </w:tcPr>
          <w:p>
            <w:r/>
            <w:r>
              <w:rPr>
                <w:color w:val="404040"/>
                <w:sz w:val="19"/>
              </w:rPr>
              <w:t>Migrate Package runs the full pull → analyze → enrich → document → generate pipeline. Generate from Analysis skips straight to recipe generation from an existing analysis document. Push Recipe JSON skips generation entirely and just pushes an already-built recipe file. Switching modes resets the fields below it.</w:t>
            </w:r>
          </w:p>
        </w:tc>
      </w:tr>
    </w:tbl>
    <w:p>
      <w:pPr>
        <w:keepNext/>
        <w:spacing w:before="440" w:after="160"/>
        <w:pBdr>
          <w:top w:val="single" w:sz="6" w:space="6" w:color="1F4E79"/>
        </w:pBdr>
      </w:pPr>
      <w:r>
        <w:rPr>
          <w:rFonts w:ascii="Calibri" w:hAnsi="Calibri"/>
          <w:b/>
          <w:color w:val="1F4E79"/>
          <w:sz w:val="34"/>
        </w:rPr>
        <w:t>Mode 1 — Migrate Package</w:t>
      </w:r>
    </w:p>
    <w:p>
      <w:pPr>
        <w:spacing w:after="120"/>
      </w:pPr>
      <w:r>
        <w:rPr>
          <w:i w:val="0"/>
          <w:color w:val="404040"/>
          <w:sz w:val="21"/>
        </w:rPr>
        <w:t>The default mode: a full pipeline run from a source platform to a target platform. The screen is built as two side-by-side cards — Source Platform on the left, Target Platform on the right — followed by a shared Migration Options bar and a Run button.</w:t>
      </w:r>
    </w:p>
    <w:p>
      <w:pPr>
        <w:keepNext/>
        <w:spacing w:before="280" w:after="80"/>
      </w:pPr>
      <w:r>
        <w:rPr>
          <w:b/>
          <w:color w:val="2E74B5"/>
          <w:sz w:val="25"/>
        </w:rPr>
        <w:t>Source Platform</w:t>
      </w:r>
    </w:p>
    <w:p>
      <w:pPr>
        <w:spacing w:after="120"/>
      </w:pPr>
      <w:r>
        <w:rPr>
          <w:i w:val="0"/>
          <w:color w:val="404040"/>
          <w:sz w:val="21"/>
        </w:rPr>
        <w:t>Pick one of five platforms as tiles (logo + name). The fields that appear below the tiles change completely depending on which one is selected — each platform has its own intake flow, shown as sub-sections below.</w:t>
      </w:r>
    </w:p>
    <w:p>
      <w:pPr>
        <w:keepNext/>
        <w:spacing w:before="200" w:after="60"/>
      </w:pPr>
      <w:r>
        <w:rPr>
          <w:b/>
          <w:color w:val="0070C0"/>
          <w:sz w:val="22"/>
        </w:rPr>
        <w:t>Boomi</w:t>
      </w:r>
    </w:p>
    <w:p>
      <w:pPr>
        <w:spacing w:after="120"/>
      </w:pPr>
      <w:r>
        <w:rPr>
          <w:i w:val="0"/>
          <w:color w:val="404040"/>
          <w:sz w:val="21"/>
        </w:rPr>
        <w:t>A second-level toggle chooses between a live pull from the Boomi platform API, or an already-pulled local directory.</w:t>
      </w:r>
    </w:p>
    <w:p>
      <w:pPr>
        <w:keepNext/>
        <w:spacing w:before="200" w:after="40"/>
      </w:pPr>
      <w:r>
        <w:rPr>
          <w:b/>
          <w:color w:val="404040"/>
          <w:sz w:val="20"/>
        </w:rPr>
        <w:t>Live pull from Boomi</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Boomi folder name or ID</w:t>
            </w:r>
          </w:p>
        </w:tc>
        <w:tc>
          <w:tcPr>
            <w:tcW w:type="dxa" w:w="1008"/>
          </w:tcPr>
          <w:p>
            <w:r/>
            <w:r>
              <w:rPr>
                <w:color w:val="404040"/>
                <w:sz w:val="19"/>
              </w:rPr>
              <w:t>text</w:t>
            </w:r>
          </w:p>
        </w:tc>
        <w:tc>
          <w:tcPr>
            <w:tcW w:type="dxa" w:w="2160"/>
          </w:tcPr>
          <w:p>
            <w:r/>
            <w:r>
              <w:rPr>
                <w:color w:val="404040"/>
                <w:sz w:val="19"/>
              </w:rPr>
              <w:t>e.g. MIG_CustomerAPI</w:t>
            </w:r>
          </w:p>
        </w:tc>
        <w:tc>
          <w:tcPr>
            <w:tcW w:type="dxa" w:w="3888"/>
          </w:tcPr>
          <w:p>
            <w:r/>
            <w:r>
              <w:rPr>
                <w:color w:val="404040"/>
                <w:sz w:val="19"/>
              </w:rPr>
              <w:t>The Boomi folder to pull components from.</w:t>
            </w:r>
          </w:p>
        </w:tc>
      </w:tr>
      <w:tr>
        <w:tc>
          <w:tcPr>
            <w:tcW w:type="dxa" w:w="2016"/>
            <w:shd w:fill="F2F7FD"/>
          </w:tcPr>
          <w:p>
            <w:r/>
            <w:r>
              <w:rPr>
                <w:color w:val="404040"/>
                <w:sz w:val="19"/>
              </w:rPr>
              <w:t>Process name(s) — optional</w:t>
            </w:r>
          </w:p>
        </w:tc>
        <w:tc>
          <w:tcPr>
            <w:tcW w:type="dxa" w:w="1008"/>
            <w:shd w:fill="F2F7FD"/>
          </w:tcPr>
          <w:p>
            <w:r/>
            <w:r>
              <w:rPr>
                <w:color w:val="404040"/>
                <w:sz w:val="19"/>
              </w:rPr>
              <w:t>text</w:t>
            </w:r>
          </w:p>
        </w:tc>
        <w:tc>
          <w:tcPr>
            <w:tcW w:type="dxa" w:w="2160"/>
            <w:shd w:fill="F2F7FD"/>
          </w:tcPr>
          <w:p>
            <w:r/>
            <w:r>
              <w:rPr>
                <w:color w:val="404040"/>
                <w:sz w:val="19"/>
              </w:rPr>
              <w:t>(blank = whole folder)</w:t>
            </w:r>
          </w:p>
        </w:tc>
        <w:tc>
          <w:tcPr>
            <w:tcW w:type="dxa" w:w="3888"/>
            <w:shd w:fill="F2F7FD"/>
          </w:tcPr>
          <w:p>
            <w:r/>
            <w:r>
              <w:rPr>
                <w:color w:val="404040"/>
                <w:sz w:val="19"/>
              </w:rPr>
              <w:t>Leave blank to migrate every component in the folder. Otherwise migrates only the named process(es) plus their actual dependencies (connections, maps, profiles) — not everything else sitting in the folder. Comma-separate multiple names; % wildcards allowed (e.g. 'Sync %').</w:t>
            </w:r>
          </w:p>
        </w:tc>
      </w:tr>
      <w:tr>
        <w:tc>
          <w:tcPr>
            <w:tcW w:type="dxa" w:w="2016"/>
          </w:tcPr>
          <w:p>
            <w:r/>
            <w:r>
              <w:rPr>
                <w:color w:val="404040"/>
                <w:sz w:val="19"/>
              </w:rPr>
              <w:t>API URL</w:t>
            </w:r>
          </w:p>
        </w:tc>
        <w:tc>
          <w:tcPr>
            <w:tcW w:type="dxa" w:w="1008"/>
          </w:tcPr>
          <w:p>
            <w:r/>
            <w:r>
              <w:rPr>
                <w:color w:val="404040"/>
                <w:sz w:val="19"/>
              </w:rPr>
              <w:t>text</w:t>
            </w:r>
          </w:p>
        </w:tc>
        <w:tc>
          <w:tcPr>
            <w:tcW w:type="dxa" w:w="2160"/>
          </w:tcPr>
          <w:p>
            <w:r/>
            <w:r>
              <w:rPr>
                <w:color w:val="404040"/>
                <w:sz w:val="19"/>
              </w:rPr>
              <w:t>https://api.boomi.com/api/rest/v1</w:t>
            </w:r>
          </w:p>
        </w:tc>
        <w:tc>
          <w:tcPr>
            <w:tcW w:type="dxa" w:w="3888"/>
          </w:tcPr>
          <w:p>
            <w:r/>
            <w:r>
              <w:rPr>
                <w:color w:val="404040"/>
                <w:sz w:val="19"/>
              </w:rPr>
              <w:t>Boomi REST API base URL.</w:t>
            </w:r>
          </w:p>
        </w:tc>
      </w:tr>
      <w:tr>
        <w:tc>
          <w:tcPr>
            <w:tcW w:type="dxa" w:w="2016"/>
            <w:shd w:fill="F2F7FD"/>
          </w:tcPr>
          <w:p>
            <w:r/>
            <w:r>
              <w:rPr>
                <w:color w:val="404040"/>
                <w:sz w:val="19"/>
              </w:rPr>
              <w:t>Account ID</w:t>
            </w:r>
          </w:p>
        </w:tc>
        <w:tc>
          <w:tcPr>
            <w:tcW w:type="dxa" w:w="1008"/>
            <w:shd w:fill="F2F7FD"/>
          </w:tcPr>
          <w:p>
            <w:r/>
            <w:r>
              <w:rPr>
                <w:color w:val="404040"/>
                <w:sz w:val="19"/>
              </w:rPr>
              <w:t>text</w:t>
            </w:r>
          </w:p>
        </w:tc>
        <w:tc>
          <w:tcPr>
            <w:tcW w:type="dxa" w:w="2160"/>
            <w:shd w:fill="F2F7FD"/>
          </w:tcPr>
          <w:p>
            <w:r/>
            <w:r>
              <w:rPr>
                <w:color w:val="404040"/>
                <w:sz w:val="19"/>
              </w:rPr>
              <w:t>—</w:t>
            </w:r>
          </w:p>
        </w:tc>
        <w:tc>
          <w:tcPr>
            <w:tcW w:type="dxa" w:w="3888"/>
            <w:shd w:fill="F2F7FD"/>
          </w:tcPr>
          <w:p>
            <w:r/>
            <w:r>
              <w:rPr>
                <w:color w:val="404040"/>
                <w:sz w:val="19"/>
              </w:rPr>
              <w:t>Boomi account ID.</w:t>
            </w:r>
          </w:p>
        </w:tc>
      </w:tr>
      <w:tr>
        <w:tc>
          <w:tcPr>
            <w:tcW w:type="dxa" w:w="2016"/>
          </w:tcPr>
          <w:p>
            <w:r/>
            <w:r>
              <w:rPr>
                <w:color w:val="404040"/>
                <w:sz w:val="19"/>
              </w:rPr>
              <w:t>Username (email)</w:t>
            </w:r>
          </w:p>
        </w:tc>
        <w:tc>
          <w:tcPr>
            <w:tcW w:type="dxa" w:w="1008"/>
          </w:tcPr>
          <w:p>
            <w:r/>
            <w:r>
              <w:rPr>
                <w:color w:val="404040"/>
                <w:sz w:val="19"/>
              </w:rPr>
              <w:t>text</w:t>
            </w:r>
          </w:p>
        </w:tc>
        <w:tc>
          <w:tcPr>
            <w:tcW w:type="dxa" w:w="2160"/>
          </w:tcPr>
          <w:p>
            <w:r/>
            <w:r>
              <w:rPr>
                <w:color w:val="404040"/>
                <w:sz w:val="19"/>
              </w:rPr>
              <w:t>—</w:t>
            </w:r>
          </w:p>
        </w:tc>
        <w:tc>
          <w:tcPr>
            <w:tcW w:type="dxa" w:w="3888"/>
          </w:tcPr>
          <w:p>
            <w:r/>
            <w:r>
              <w:rPr>
                <w:color w:val="404040"/>
                <w:sz w:val="19"/>
              </w:rPr>
              <w:t>Boomi login email.</w:t>
            </w:r>
          </w:p>
        </w:tc>
      </w:tr>
      <w:tr>
        <w:tc>
          <w:tcPr>
            <w:tcW w:type="dxa" w:w="2016"/>
            <w:shd w:fill="F2F7FD"/>
          </w:tcPr>
          <w:p>
            <w:r/>
            <w:r>
              <w:rPr>
                <w:color w:val="404040"/>
                <w:sz w:val="19"/>
              </w:rPr>
              <w:t>API Token</w:t>
            </w:r>
          </w:p>
        </w:tc>
        <w:tc>
          <w:tcPr>
            <w:tcW w:type="dxa" w:w="1008"/>
            <w:shd w:fill="F2F7FD"/>
          </w:tcPr>
          <w:p>
            <w:r/>
            <w:r>
              <w:rPr>
                <w:color w:val="404040"/>
                <w:sz w:val="19"/>
              </w:rPr>
              <w:t>password</w:t>
            </w:r>
          </w:p>
        </w:tc>
        <w:tc>
          <w:tcPr>
            <w:tcW w:type="dxa" w:w="2160"/>
            <w:shd w:fill="F2F7FD"/>
          </w:tcPr>
          <w:p>
            <w:r/>
            <w:r>
              <w:rPr>
                <w:color w:val="404040"/>
                <w:sz w:val="19"/>
              </w:rPr>
              <w:t>—</w:t>
            </w:r>
          </w:p>
        </w:tc>
        <w:tc>
          <w:tcPr>
            <w:tcW w:type="dxa" w:w="3888"/>
            <w:shd w:fill="F2F7FD"/>
          </w:tcPr>
          <w:p>
            <w:r/>
            <w:r>
              <w:rPr>
                <w:color w:val="404040"/>
                <w:sz w:val="19"/>
              </w:rPr>
              <w:t>Boomi API token. Session-only — merged into the migration subprocess's environment for this run and never written to disk.</w:t>
            </w:r>
          </w:p>
        </w:tc>
      </w:tr>
    </w:tbl>
    <w:p>
      <w:pPr>
        <w:keepNext/>
        <w:spacing w:before="200" w:after="40"/>
      </w:pPr>
      <w:r>
        <w:rPr>
          <w:b/>
          <w:color w:val="404040"/>
          <w:sz w:val="20"/>
        </w:rPr>
        <w:t>Local directory (already pulled)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Local directory path</w:t>
            </w:r>
          </w:p>
        </w:tc>
        <w:tc>
          <w:tcPr>
            <w:tcW w:type="dxa" w:w="1008"/>
          </w:tcPr>
          <w:p>
            <w:r/>
            <w:r>
              <w:rPr>
                <w:color w:val="404040"/>
                <w:sz w:val="19"/>
              </w:rPr>
              <w:t>text</w:t>
            </w:r>
          </w:p>
        </w:tc>
        <w:tc>
          <w:tcPr>
            <w:tcW w:type="dxa" w:w="2160"/>
          </w:tcPr>
          <w:p>
            <w:r/>
            <w:r>
              <w:rPr>
                <w:color w:val="404040"/>
                <w:sz w:val="19"/>
              </w:rPr>
              <w:t>active-development/</w:t>
            </w:r>
          </w:p>
        </w:tc>
        <w:tc>
          <w:tcPr>
            <w:tcW w:type="dxa" w:w="3888"/>
          </w:tcPr>
          <w:p>
            <w:r/>
            <w:r>
              <w:rPr>
                <w:color w:val="404040"/>
                <w:sz w:val="19"/>
              </w:rPr>
              <w:t>Path to a directory of already-pulled Boomi component XML.</w:t>
            </w:r>
          </w:p>
        </w:tc>
      </w:tr>
    </w:tbl>
    <w:p>
      <w:pPr>
        <w:keepNext/>
        <w:spacing w:before="200" w:after="60"/>
      </w:pPr>
      <w:r>
        <w:rPr>
          <w:b/>
          <w:color w:val="0070C0"/>
          <w:sz w:val="22"/>
        </w:rPr>
        <w:t>MuleSoft</w:t>
      </w:r>
    </w:p>
    <w:p>
      <w:pPr>
        <w:spacing w:after="120"/>
      </w:pPr>
      <w:r>
        <w:rPr>
          <w:i w:val="0"/>
          <w:color w:val="404040"/>
          <w:sz w:val="21"/>
        </w:rPr>
        <w:t>No live pull exists for MuleSoft today — it's local-file-only.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MuleSoft project directory</w:t>
            </w:r>
          </w:p>
        </w:tc>
        <w:tc>
          <w:tcPr>
            <w:tcW w:type="dxa" w:w="1008"/>
          </w:tcPr>
          <w:p>
            <w:r/>
            <w:r>
              <w:rPr>
                <w:color w:val="404040"/>
                <w:sz w:val="19"/>
              </w:rPr>
              <w:t>text</w:t>
            </w:r>
          </w:p>
        </w:tc>
        <w:tc>
          <w:tcPr>
            <w:tcW w:type="dxa" w:w="2160"/>
          </w:tcPr>
          <w:p>
            <w:r/>
            <w:r>
              <w:rPr>
                <w:color w:val="404040"/>
                <w:sz w:val="19"/>
              </w:rPr>
              <w:t>e.g. samples/mulesoft/customer-api/</w:t>
            </w:r>
          </w:p>
        </w:tc>
        <w:tc>
          <w:tcPr>
            <w:tcW w:type="dxa" w:w="3888"/>
          </w:tcPr>
          <w:p>
            <w:r/>
            <w:r>
              <w:rPr>
                <w:color w:val="404040"/>
                <w:sz w:val="19"/>
              </w:rPr>
              <w:t>Path to a local MuleSoft project folder or export.</w:t>
            </w:r>
          </w:p>
        </w:tc>
      </w:tr>
    </w:tbl>
    <w:p>
      <w:pPr>
        <w:keepNext/>
        <w:spacing w:before="200" w:after="60"/>
      </w:pPr>
      <w:r>
        <w:rPr>
          <w:b/>
          <w:color w:val="0070C0"/>
          <w:sz w:val="22"/>
        </w:rPr>
        <w:t>Workato</w:t>
      </w:r>
    </w:p>
    <w:p>
      <w:pPr>
        <w:spacing w:after="120"/>
      </w:pPr>
      <w:r>
        <w:rPr>
          <w:i w:val="0"/>
          <w:color w:val="404040"/>
          <w:sz w:val="21"/>
        </w:rPr>
        <w:t>A second-level toggle chooses between a live pull from Workato, or a local export directory.</w:t>
      </w:r>
    </w:p>
    <w:p>
      <w:pPr>
        <w:keepNext/>
        <w:spacing w:before="200" w:after="40"/>
      </w:pPr>
      <w:r>
        <w:rPr>
          <w:b/>
          <w:color w:val="404040"/>
          <w:sz w:val="20"/>
        </w:rPr>
        <w:t>Live pull from Workato</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Workato folder name or ID</w:t>
            </w:r>
          </w:p>
        </w:tc>
        <w:tc>
          <w:tcPr>
            <w:tcW w:type="dxa" w:w="1008"/>
          </w:tcPr>
          <w:p>
            <w:r/>
            <w:r>
              <w:rPr>
                <w:color w:val="404040"/>
                <w:sz w:val="19"/>
              </w:rPr>
              <w:t>text</w:t>
            </w:r>
          </w:p>
        </w:tc>
        <w:tc>
          <w:tcPr>
            <w:tcW w:type="dxa" w:w="2160"/>
          </w:tcPr>
          <w:p>
            <w:r/>
            <w:r>
              <w:rPr>
                <w:color w:val="404040"/>
                <w:sz w:val="19"/>
              </w:rPr>
              <w:t>e.g. WebMethodsMigration</w:t>
            </w:r>
          </w:p>
        </w:tc>
        <w:tc>
          <w:tcPr>
            <w:tcW w:type="dxa" w:w="3888"/>
          </w:tcPr>
          <w:p>
            <w:r/>
            <w:r>
              <w:rPr>
                <w:color w:val="404040"/>
                <w:sz w:val="19"/>
              </w:rPr>
              <w:t>The Workato folder to pull recipes from.</w:t>
            </w:r>
          </w:p>
        </w:tc>
      </w:tr>
      <w:tr>
        <w:tc>
          <w:tcPr>
            <w:tcW w:type="dxa" w:w="2016"/>
            <w:shd w:fill="F2F7FD"/>
          </w:tcPr>
          <w:p>
            <w:r/>
            <w:r>
              <w:rPr>
                <w:color w:val="404040"/>
                <w:sz w:val="19"/>
              </w:rPr>
              <w:t>API Token</w:t>
            </w:r>
          </w:p>
        </w:tc>
        <w:tc>
          <w:tcPr>
            <w:tcW w:type="dxa" w:w="1008"/>
            <w:shd w:fill="F2F7FD"/>
          </w:tcPr>
          <w:p>
            <w:r/>
            <w:r>
              <w:rPr>
                <w:color w:val="404040"/>
                <w:sz w:val="19"/>
              </w:rPr>
              <w:t>password</w:t>
            </w:r>
          </w:p>
        </w:tc>
        <w:tc>
          <w:tcPr>
            <w:tcW w:type="dxa" w:w="2160"/>
            <w:shd w:fill="F2F7FD"/>
          </w:tcPr>
          <w:p>
            <w:r/>
            <w:r>
              <w:rPr>
                <w:color w:val="404040"/>
                <w:sz w:val="19"/>
              </w:rPr>
              <w:t>—</w:t>
            </w:r>
          </w:p>
        </w:tc>
        <w:tc>
          <w:tcPr>
            <w:tcW w:type="dxa" w:w="3888"/>
            <w:shd w:fill="F2F7FD"/>
          </w:tcPr>
          <w:p>
            <w:r/>
            <w:r>
              <w:rPr>
                <w:color w:val="404040"/>
                <w:sz w:val="19"/>
              </w:rPr>
              <w:t>Workato API token for this pull.</w:t>
            </w:r>
          </w:p>
        </w:tc>
      </w:tr>
      <w:tr>
        <w:tc>
          <w:tcPr>
            <w:tcW w:type="dxa" w:w="2016"/>
          </w:tcPr>
          <w:p>
            <w:r/>
            <w:r>
              <w:rPr>
                <w:color w:val="404040"/>
                <w:sz w:val="19"/>
              </w:rPr>
              <w:t>Account email</w:t>
            </w:r>
          </w:p>
        </w:tc>
        <w:tc>
          <w:tcPr>
            <w:tcW w:type="dxa" w:w="1008"/>
          </w:tcPr>
          <w:p>
            <w:r/>
            <w:r>
              <w:rPr>
                <w:color w:val="404040"/>
                <w:sz w:val="19"/>
              </w:rPr>
              <w:t>text</w:t>
            </w:r>
          </w:p>
        </w:tc>
        <w:tc>
          <w:tcPr>
            <w:tcW w:type="dxa" w:w="2160"/>
          </w:tcPr>
          <w:p>
            <w:r/>
            <w:r>
              <w:rPr>
                <w:color w:val="404040"/>
                <w:sz w:val="19"/>
              </w:rPr>
              <w:t>—</w:t>
            </w:r>
          </w:p>
        </w:tc>
        <w:tc>
          <w:tcPr>
            <w:tcW w:type="dxa" w:w="3888"/>
          </w:tcPr>
          <w:p>
            <w:r/>
            <w:r>
              <w:rPr>
                <w:color w:val="404040"/>
                <w:sz w:val="19"/>
              </w:rPr>
              <w:t>Workato account email.</w:t>
            </w:r>
          </w:p>
        </w:tc>
      </w:tr>
    </w:tbl>
    <w:p>
      <w:pPr>
        <w:keepNext/>
        <w:spacing w:before="200" w:after="40"/>
      </w:pPr>
      <w:r>
        <w:rPr>
          <w:b/>
          <w:color w:val="404040"/>
          <w:sz w:val="20"/>
        </w:rPr>
        <w:t>Local export directory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Local export directory</w:t>
            </w:r>
          </w:p>
        </w:tc>
        <w:tc>
          <w:tcPr>
            <w:tcW w:type="dxa" w:w="1008"/>
          </w:tcPr>
          <w:p>
            <w:r/>
            <w:r>
              <w:rPr>
                <w:color w:val="404040"/>
                <w:sz w:val="19"/>
              </w:rPr>
              <w:t>text</w:t>
            </w:r>
          </w:p>
        </w:tc>
        <w:tc>
          <w:tcPr>
            <w:tcW w:type="dxa" w:w="2160"/>
          </w:tcPr>
          <w:p>
            <w:r/>
            <w:r>
              <w:rPr>
                <w:color w:val="404040"/>
                <w:sz w:val="19"/>
              </w:rPr>
              <w:t>e.g. exports/workato/</w:t>
            </w:r>
          </w:p>
        </w:tc>
        <w:tc>
          <w:tcPr>
            <w:tcW w:type="dxa" w:w="3888"/>
          </w:tcPr>
          <w:p>
            <w:r/>
            <w:r>
              <w:rPr>
                <w:color w:val="404040"/>
                <w:sz w:val="19"/>
              </w:rPr>
              <w:t>Path to a previously-exported Workato directory.</w:t>
            </w:r>
          </w:p>
        </w:tc>
      </w:tr>
    </w:tbl>
    <w:p>
      <w:pPr>
        <w:keepNext/>
        <w:spacing w:before="200" w:after="60"/>
      </w:pPr>
      <w:r>
        <w:rPr>
          <w:b/>
          <w:color w:val="0070C0"/>
          <w:sz w:val="22"/>
        </w:rPr>
        <w:t>Celigo</w:t>
      </w:r>
    </w:p>
    <w:p>
      <w:pPr>
        <w:spacing w:after="120"/>
      </w:pPr>
      <w:r>
        <w:rPr>
          <w:i w:val="0"/>
          <w:color w:val="404040"/>
          <w:sz w:val="21"/>
        </w:rPr>
        <w:t>A second-level toggle chooses between a live pull from Celigo, or a local export directory.</w:t>
      </w:r>
    </w:p>
    <w:p>
      <w:pPr>
        <w:keepNext/>
        <w:spacing w:before="200" w:after="40"/>
      </w:pPr>
      <w:r>
        <w:rPr>
          <w:b/>
          <w:color w:val="404040"/>
          <w:sz w:val="20"/>
        </w:rPr>
        <w:t>Live pull from Celigo</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Celigo integration name</w:t>
            </w:r>
          </w:p>
        </w:tc>
        <w:tc>
          <w:tcPr>
            <w:tcW w:type="dxa" w:w="1008"/>
          </w:tcPr>
          <w:p>
            <w:r/>
            <w:r>
              <w:rPr>
                <w:color w:val="404040"/>
                <w:sz w:val="19"/>
              </w:rPr>
              <w:t>text</w:t>
            </w:r>
          </w:p>
        </w:tc>
        <w:tc>
          <w:tcPr>
            <w:tcW w:type="dxa" w:w="2160"/>
          </w:tcPr>
          <w:p>
            <w:r/>
            <w:r>
              <w:rPr>
                <w:color w:val="404040"/>
                <w:sz w:val="19"/>
              </w:rPr>
              <w:t>e.g. Order Sync</w:t>
            </w:r>
          </w:p>
        </w:tc>
        <w:tc>
          <w:tcPr>
            <w:tcW w:type="dxa" w:w="3888"/>
          </w:tcPr>
          <w:p>
            <w:r/>
            <w:r>
              <w:rPr>
                <w:color w:val="404040"/>
                <w:sz w:val="19"/>
              </w:rPr>
              <w:t>The Celigo integration to pull.</w:t>
            </w:r>
          </w:p>
        </w:tc>
      </w:tr>
      <w:tr>
        <w:tc>
          <w:tcPr>
            <w:tcW w:type="dxa" w:w="2016"/>
            <w:shd w:fill="F2F7FD"/>
          </w:tcPr>
          <w:p>
            <w:r/>
            <w:r>
              <w:rPr>
                <w:color w:val="404040"/>
                <w:sz w:val="19"/>
              </w:rPr>
              <w:t>API Token</w:t>
            </w:r>
          </w:p>
        </w:tc>
        <w:tc>
          <w:tcPr>
            <w:tcW w:type="dxa" w:w="1008"/>
            <w:shd w:fill="F2F7FD"/>
          </w:tcPr>
          <w:p>
            <w:r/>
            <w:r>
              <w:rPr>
                <w:color w:val="404040"/>
                <w:sz w:val="19"/>
              </w:rPr>
              <w:t>password</w:t>
            </w:r>
          </w:p>
        </w:tc>
        <w:tc>
          <w:tcPr>
            <w:tcW w:type="dxa" w:w="2160"/>
            <w:shd w:fill="F2F7FD"/>
          </w:tcPr>
          <w:p>
            <w:r/>
            <w:r>
              <w:rPr>
                <w:color w:val="404040"/>
                <w:sz w:val="19"/>
              </w:rPr>
              <w:t>—</w:t>
            </w:r>
          </w:p>
        </w:tc>
        <w:tc>
          <w:tcPr>
            <w:tcW w:type="dxa" w:w="3888"/>
            <w:shd w:fill="F2F7FD"/>
          </w:tcPr>
          <w:p>
            <w:r/>
            <w:r>
              <w:rPr>
                <w:color w:val="404040"/>
                <w:sz w:val="19"/>
              </w:rPr>
              <w:t>Celigo API token for this pull.</w:t>
            </w:r>
          </w:p>
        </w:tc>
      </w:tr>
    </w:tbl>
    <w:p>
      <w:pPr>
        <w:keepNext/>
        <w:spacing w:before="200" w:after="40"/>
      </w:pPr>
      <w:r>
        <w:rPr>
          <w:b/>
          <w:color w:val="404040"/>
          <w:sz w:val="20"/>
        </w:rPr>
        <w:t>Local export directory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Local export directory</w:t>
            </w:r>
          </w:p>
        </w:tc>
        <w:tc>
          <w:tcPr>
            <w:tcW w:type="dxa" w:w="1008"/>
          </w:tcPr>
          <w:p>
            <w:r/>
            <w:r>
              <w:rPr>
                <w:color w:val="404040"/>
                <w:sz w:val="19"/>
              </w:rPr>
              <w:t>text</w:t>
            </w:r>
          </w:p>
        </w:tc>
        <w:tc>
          <w:tcPr>
            <w:tcW w:type="dxa" w:w="2160"/>
          </w:tcPr>
          <w:p>
            <w:r/>
            <w:r>
              <w:rPr>
                <w:color w:val="404040"/>
                <w:sz w:val="19"/>
              </w:rPr>
              <w:t>e.g. exports/celigo/</w:t>
            </w:r>
          </w:p>
        </w:tc>
        <w:tc>
          <w:tcPr>
            <w:tcW w:type="dxa" w:w="3888"/>
          </w:tcPr>
          <w:p>
            <w:r/>
            <w:r>
              <w:rPr>
                <w:color w:val="404040"/>
                <w:sz w:val="19"/>
              </w:rPr>
              <w:t>Path to a previously-exported Celigo directory.</w:t>
            </w:r>
          </w:p>
        </w:tc>
      </w:tr>
    </w:tbl>
    <w:p>
      <w:pPr>
        <w:keepNext/>
        <w:spacing w:before="200" w:after="60"/>
      </w:pPr>
      <w:r>
        <w:rPr>
          <w:b/>
          <w:color w:val="0070C0"/>
          <w:sz w:val="22"/>
        </w:rPr>
        <w:t>webMethods</w:t>
      </w:r>
    </w:p>
    <w:p>
      <w:pPr>
        <w:spacing w:after="120"/>
      </w:pPr>
      <w:r>
        <w:rPr>
          <w:i w:val="0"/>
          <w:color w:val="404040"/>
          <w:sz w:val="21"/>
        </w:rPr>
        <w:t>A three-way toggle: upload a package zip directly, paste a Google Drive link, or live-pull from webMethods.io.</w:t>
      </w:r>
    </w:p>
    <w:p>
      <w:pPr>
        <w:keepNext/>
        <w:spacing w:before="200" w:after="40"/>
      </w:pPr>
      <w:r>
        <w:rPr>
          <w:b/>
          <w:color w:val="404040"/>
          <w:sz w:val="20"/>
        </w:rPr>
        <w:t>Upload from computer</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Upload webMethods package (.zip)</w:t>
            </w:r>
          </w:p>
        </w:tc>
        <w:tc>
          <w:tcPr>
            <w:tcW w:type="dxa" w:w="1008"/>
          </w:tcPr>
          <w:p>
            <w:r/>
            <w:r>
              <w:rPr>
                <w:color w:val="404040"/>
                <w:sz w:val="19"/>
              </w:rPr>
              <w:t>file upload</w:t>
            </w:r>
          </w:p>
        </w:tc>
        <w:tc>
          <w:tcPr>
            <w:tcW w:type="dxa" w:w="2160"/>
          </w:tcPr>
          <w:p>
            <w:r/>
            <w:r>
              <w:rPr>
                <w:color w:val="404040"/>
                <w:sz w:val="19"/>
              </w:rPr>
              <w:t>.zip only</w:t>
            </w:r>
          </w:p>
        </w:tc>
        <w:tc>
          <w:tcPr>
            <w:tcW w:type="dxa" w:w="3888"/>
          </w:tcPr>
          <w:p>
            <w:r/>
            <w:r>
              <w:rPr>
                <w:color w:val="404040"/>
                <w:sz w:val="19"/>
              </w:rPr>
              <w:t>Extracted into a fresh, uniquely-named working directory on each run — nothing is overwritten between runs.</w:t>
            </w:r>
          </w:p>
        </w:tc>
      </w:tr>
    </w:tbl>
    <w:p>
      <w:pPr>
        <w:keepNext/>
        <w:spacing w:before="200" w:after="40"/>
      </w:pPr>
      <w:r>
        <w:rPr>
          <w:b/>
          <w:color w:val="404040"/>
          <w:sz w:val="20"/>
        </w:rPr>
        <w:t>Google Drive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Google Drive share URL or File ID</w:t>
            </w:r>
          </w:p>
        </w:tc>
        <w:tc>
          <w:tcPr>
            <w:tcW w:type="dxa" w:w="1008"/>
          </w:tcPr>
          <w:p>
            <w:r/>
            <w:r>
              <w:rPr>
                <w:color w:val="404040"/>
                <w:sz w:val="19"/>
              </w:rPr>
              <w:t>text</w:t>
            </w:r>
          </w:p>
        </w:tc>
        <w:tc>
          <w:tcPr>
            <w:tcW w:type="dxa" w:w="2160"/>
          </w:tcPr>
          <w:p>
            <w:r/>
            <w:r>
              <w:rPr>
                <w:color w:val="404040"/>
                <w:sz w:val="19"/>
              </w:rPr>
              <w:t>https://drive.google.com/file/d/…</w:t>
            </w:r>
          </w:p>
        </w:tc>
        <w:tc>
          <w:tcPr>
            <w:tcW w:type="dxa" w:w="3888"/>
          </w:tcPr>
          <w:p>
            <w:r/>
            <w:r>
              <w:rPr>
                <w:color w:val="404040"/>
                <w:sz w:val="19"/>
              </w:rPr>
              <w:t>A shareable Drive link (or bare file ID) to a package zip. Downloaded server-side when you click Run.</w:t>
            </w:r>
          </w:p>
        </w:tc>
      </w:tr>
    </w:tbl>
    <w:p>
      <w:pPr>
        <w:keepNext/>
        <w:spacing w:before="200" w:after="40"/>
      </w:pPr>
      <w:r>
        <w:rPr>
          <w:b/>
          <w:color w:val="404040"/>
          <w:sz w:val="20"/>
        </w:rPr>
        <w:t>Live pull (webMethods.io)</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fill="1F4E79"/>
          </w:tcPr>
          <w:p>
            <w:r/>
            <w:r>
              <w:rPr>
                <w:b/>
                <w:color w:val="FFFFFF"/>
                <w:sz w:val="19"/>
              </w:rPr>
              <w:t>Field</w:t>
            </w:r>
          </w:p>
        </w:tc>
        <w:tc>
          <w:tcPr>
            <w:tcW w:type="dxa" w:w="1008"/>
            <w:shd w:fill="1F4E79"/>
          </w:tcPr>
          <w:p>
            <w:r/>
            <w:r>
              <w:rPr>
                <w:b/>
                <w:color w:val="FFFFFF"/>
                <w:sz w:val="19"/>
              </w:rPr>
              <w:t>Type</w:t>
            </w:r>
          </w:p>
        </w:tc>
        <w:tc>
          <w:tcPr>
            <w:tcW w:type="dxa" w:w="2160"/>
            <w:shd w:fill="1F4E79"/>
          </w:tcPr>
          <w:p>
            <w:r/>
            <w:r>
              <w:rPr>
                <w:b/>
                <w:color w:val="FFFFFF"/>
                <w:sz w:val="19"/>
              </w:rPr>
              <w:t>Default / placeholder</w:t>
            </w:r>
          </w:p>
        </w:tc>
        <w:tc>
          <w:tcPr>
            <w:tcW w:type="dxa" w:w="3888"/>
            <w:shd w:fill="1F4E79"/>
          </w:tcPr>
          <w:p>
            <w:r/>
            <w:r>
              <w:rPr>
                <w:b/>
                <w:color w:val="FFFFFF"/>
                <w:sz w:val="19"/>
              </w:rPr>
              <w:t>Description</w:t>
            </w:r>
          </w:p>
        </w:tc>
      </w:tr>
      <w:tr>
        <w:tc>
          <w:tcPr>
            <w:tcW w:type="dxa" w:w="2016"/>
          </w:tcPr>
          <w:p>
            <w:r/>
            <w:r>
              <w:rPr>
                <w:color w:val="404040"/>
                <w:sz w:val="19"/>
              </w:rPr>
              <w:t>webMethods.io project name</w:t>
            </w:r>
          </w:p>
        </w:tc>
        <w:tc>
          <w:tcPr>
            <w:tcW w:type="dxa" w:w="1008"/>
          </w:tcPr>
          <w:p>
            <w:r/>
            <w:r>
              <w:rPr>
                <w:color w:val="404040"/>
                <w:sz w:val="19"/>
              </w:rPr>
              <w:t>text</w:t>
            </w:r>
          </w:p>
        </w:tc>
        <w:tc>
          <w:tcPr>
            <w:tcW w:type="dxa" w:w="2160"/>
          </w:tcPr>
          <w:p>
            <w:r/>
            <w:r>
              <w:rPr>
                <w:color w:val="404040"/>
                <w:sz w:val="19"/>
              </w:rPr>
              <w:t>e.g. GLD Compliance</w:t>
            </w:r>
          </w:p>
        </w:tc>
        <w:tc>
          <w:tcPr>
            <w:tcW w:type="dxa" w:w="3888"/>
          </w:tcPr>
          <w:p>
            <w:r/>
            <w:r>
              <w:rPr>
                <w:color w:val="404040"/>
                <w:sz w:val="19"/>
              </w:rPr>
              <w:t>The webMethods.io project to pull.</w:t>
            </w:r>
          </w:p>
        </w:tc>
      </w:tr>
      <w:tr>
        <w:tc>
          <w:tcPr>
            <w:tcW w:type="dxa" w:w="2016"/>
            <w:shd w:fill="F2F7FD"/>
          </w:tcPr>
          <w:p>
            <w:r/>
            <w:r>
              <w:rPr>
                <w:color w:val="404040"/>
                <w:sz w:val="19"/>
              </w:rPr>
              <w:t>Tenant URL</w:t>
            </w:r>
          </w:p>
        </w:tc>
        <w:tc>
          <w:tcPr>
            <w:tcW w:type="dxa" w:w="1008"/>
            <w:shd w:fill="F2F7FD"/>
          </w:tcPr>
          <w:p>
            <w:r/>
            <w:r>
              <w:rPr>
                <w:color w:val="404040"/>
                <w:sz w:val="19"/>
              </w:rPr>
              <w:t>text</w:t>
            </w:r>
          </w:p>
        </w:tc>
        <w:tc>
          <w:tcPr>
            <w:tcW w:type="dxa" w:w="2160"/>
            <w:shd w:fill="F2F7FD"/>
          </w:tcPr>
          <w:p>
            <w:r/>
            <w:r>
              <w:rPr>
                <w:color w:val="404040"/>
                <w:sz w:val="19"/>
              </w:rPr>
              <w:t>https://mycompany.int-aws-us.webmethods.io</w:t>
            </w:r>
          </w:p>
        </w:tc>
        <w:tc>
          <w:tcPr>
            <w:tcW w:type="dxa" w:w="3888"/>
            <w:shd w:fill="F2F7FD"/>
          </w:tcPr>
          <w:p>
            <w:r/>
            <w:r>
              <w:rPr>
                <w:color w:val="404040"/>
                <w:sz w:val="19"/>
              </w:rPr>
              <w:t>Your webMethods.io tenant URL.</w:t>
            </w:r>
          </w:p>
        </w:tc>
      </w:tr>
      <w:tr>
        <w:tc>
          <w:tcPr>
            <w:tcW w:type="dxa" w:w="2016"/>
          </w:tcPr>
          <w:p>
            <w:r/>
            <w:r>
              <w:rPr>
                <w:color w:val="404040"/>
                <w:sz w:val="19"/>
              </w:rPr>
              <w:t>Username</w:t>
            </w:r>
          </w:p>
        </w:tc>
        <w:tc>
          <w:tcPr>
            <w:tcW w:type="dxa" w:w="1008"/>
          </w:tcPr>
          <w:p>
            <w:r/>
            <w:r>
              <w:rPr>
                <w:color w:val="404040"/>
                <w:sz w:val="19"/>
              </w:rPr>
              <w:t>text</w:t>
            </w:r>
          </w:p>
        </w:tc>
        <w:tc>
          <w:tcPr>
            <w:tcW w:type="dxa" w:w="2160"/>
          </w:tcPr>
          <w:p>
            <w:r/>
            <w:r>
              <w:rPr>
                <w:color w:val="404040"/>
                <w:sz w:val="19"/>
              </w:rPr>
              <w:t>—</w:t>
            </w:r>
          </w:p>
        </w:tc>
        <w:tc>
          <w:tcPr>
            <w:tcW w:type="dxa" w:w="3888"/>
          </w:tcPr>
          <w:p>
            <w:r/>
            <w:r>
              <w:rPr>
                <w:color w:val="404040"/>
                <w:sz w:val="19"/>
              </w:rPr>
              <w:t>webMethods.io username.</w:t>
            </w:r>
          </w:p>
        </w:tc>
      </w:tr>
      <w:tr>
        <w:tc>
          <w:tcPr>
            <w:tcW w:type="dxa" w:w="2016"/>
            <w:shd w:fill="F2F7FD"/>
          </w:tcPr>
          <w:p>
            <w:r/>
            <w:r>
              <w:rPr>
                <w:color w:val="404040"/>
                <w:sz w:val="19"/>
              </w:rPr>
              <w:t>Password</w:t>
            </w:r>
          </w:p>
        </w:tc>
        <w:tc>
          <w:tcPr>
            <w:tcW w:type="dxa" w:w="1008"/>
            <w:shd w:fill="F2F7FD"/>
          </w:tcPr>
          <w:p>
            <w:r/>
            <w:r>
              <w:rPr>
                <w:color w:val="404040"/>
                <w:sz w:val="19"/>
              </w:rPr>
              <w:t>password</w:t>
            </w:r>
          </w:p>
        </w:tc>
        <w:tc>
          <w:tcPr>
            <w:tcW w:type="dxa" w:w="2160"/>
            <w:shd w:fill="F2F7FD"/>
          </w:tcPr>
          <w:p>
            <w:r/>
            <w:r>
              <w:rPr>
                <w:color w:val="404040"/>
                <w:sz w:val="19"/>
              </w:rPr>
              <w:t>—</w:t>
            </w:r>
          </w:p>
        </w:tc>
        <w:tc>
          <w:tcPr>
            <w:tcW w:type="dxa" w:w="3888"/>
            <w:shd w:fill="F2F7FD"/>
          </w:tcPr>
          <w:p>
            <w:r/>
            <w:r>
              <w:rPr>
                <w:color w:val="404040"/>
                <w:sz w:val="19"/>
              </w:rPr>
              <w:t>webMethods.io password.</w:t>
            </w:r>
          </w:p>
        </w:tc>
      </w:tr>
    </w:tbl>
    <w:p>
      <w:pPr>
        <w:spacing w:before="120" w:after="200"/>
        <w:ind w:left="216"/>
        <w:shd w:fill="E8EFFA"/>
      </w:pPr>
      <w:r>
        <w:rPr>
          <w:b/>
          <w:color w:val="2B5FB8"/>
          <w:sz w:val="17"/>
        </w:rPr>
        <w:t>NOTE</w:t>
        <w:br/>
      </w:r>
      <w:r>
        <w:rPr>
          <w:color w:val="404040"/>
          <w:sz w:val="20"/>
        </w:rPr>
        <w:t>All source credential fields are session-only. They're merged into the migration subprocess's environment for that one run and are never written to .env or any file on disk.</w:t>
      </w:r>
    </w:p>
    <w:p>
      <w:pPr>
        <w:keepNext/>
        <w:spacing w:before="280" w:after="80"/>
      </w:pPr>
      <w:r>
        <w:rPr>
          <w:b/>
          <w:color w:val="2E74B5"/>
          <w:sz w:val="25"/>
        </w:rPr>
        <w:t>Target Platform</w:t>
      </w:r>
    </w:p>
    <w:p>
      <w:pPr>
        <w:spacing w:after="120"/>
      </w:pPr>
      <w:r>
        <w:rPr>
          <w:i w:val="0"/>
          <w:color w:val="404040"/>
          <w:sz w:val="21"/>
        </w:rPr>
        <w:t>Four platforms, same tile pattern as the source side. The credential fields underneath change based on which target is selected.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592"/>
            <w:shd w:fill="1F4E79"/>
          </w:tcPr>
          <w:p>
            <w:r/>
            <w:r>
              <w:rPr>
                <w:b/>
                <w:color w:val="FFFFFF"/>
                <w:sz w:val="19"/>
              </w:rPr>
              <w:t>Field</w:t>
            </w:r>
          </w:p>
        </w:tc>
        <w:tc>
          <w:tcPr>
            <w:tcW w:type="dxa" w:w="1008"/>
            <w:shd w:fill="1F4E79"/>
          </w:tcPr>
          <w:p>
            <w:r/>
            <w:r>
              <w:rPr>
                <w:b/>
                <w:color w:val="FFFFFF"/>
                <w:sz w:val="19"/>
              </w:rPr>
              <w:t>Type</w:t>
            </w:r>
          </w:p>
        </w:tc>
        <w:tc>
          <w:tcPr>
            <w:tcW w:type="dxa" w:w="2016"/>
            <w:shd w:fill="1F4E79"/>
          </w:tcPr>
          <w:p>
            <w:r/>
            <w:r>
              <w:rPr>
                <w:b/>
                <w:color w:val="FFFFFF"/>
                <w:sz w:val="19"/>
              </w:rPr>
              <w:t>Default</w:t>
            </w:r>
          </w:p>
        </w:tc>
        <w:tc>
          <w:tcPr>
            <w:tcW w:type="dxa" w:w="3456"/>
            <w:shd w:fill="1F4E79"/>
          </w:tcPr>
          <w:p>
            <w:r/>
            <w:r>
              <w:rPr>
                <w:b/>
                <w:color w:val="FFFFFF"/>
                <w:sz w:val="19"/>
              </w:rPr>
              <w:t>Description</w:t>
            </w:r>
          </w:p>
        </w:tc>
      </w:tr>
      <w:tr>
        <w:tc>
          <w:tcPr>
            <w:tcW w:type="dxa" w:w="2592"/>
          </w:tcPr>
          <w:p>
            <w:r/>
            <w:r>
              <w:rPr>
                <w:color w:val="404040"/>
                <w:sz w:val="19"/>
              </w:rPr>
              <w:t>Boomi — API URL</w:t>
            </w:r>
          </w:p>
        </w:tc>
        <w:tc>
          <w:tcPr>
            <w:tcW w:type="dxa" w:w="1008"/>
          </w:tcPr>
          <w:p>
            <w:r/>
            <w:r>
              <w:rPr>
                <w:color w:val="404040"/>
                <w:sz w:val="19"/>
              </w:rPr>
              <w:t>text</w:t>
            </w:r>
          </w:p>
        </w:tc>
        <w:tc>
          <w:tcPr>
            <w:tcW w:type="dxa" w:w="2016"/>
          </w:tcPr>
          <w:p>
            <w:r/>
            <w:r>
              <w:rPr>
                <w:color w:val="404040"/>
                <w:sz w:val="19"/>
              </w:rPr>
              <w:t>https://api.boomi.com/api/rest/v1</w:t>
            </w:r>
          </w:p>
        </w:tc>
        <w:tc>
          <w:tcPr>
            <w:tcW w:type="dxa" w:w="3456"/>
          </w:tcPr>
          <w:p>
            <w:r/>
            <w:r>
              <w:rPr>
                <w:color w:val="404040"/>
                <w:sz w:val="19"/>
              </w:rPr>
              <w:t>Boomi REST API base URL.</w:t>
            </w:r>
          </w:p>
        </w:tc>
      </w:tr>
      <w:tr>
        <w:tc>
          <w:tcPr>
            <w:tcW w:type="dxa" w:w="2592"/>
            <w:shd w:fill="F2F7FD"/>
          </w:tcPr>
          <w:p>
            <w:r/>
            <w:r>
              <w:rPr>
                <w:color w:val="404040"/>
                <w:sz w:val="19"/>
              </w:rPr>
              <w:t>Boomi — Account ID</w:t>
            </w:r>
          </w:p>
        </w:tc>
        <w:tc>
          <w:tcPr>
            <w:tcW w:type="dxa" w:w="1008"/>
            <w:shd w:fill="F2F7FD"/>
          </w:tcPr>
          <w:p>
            <w:r/>
            <w:r>
              <w:rPr>
                <w:color w:val="404040"/>
                <w:sz w:val="19"/>
              </w:rPr>
              <w:t>text</w:t>
            </w:r>
          </w:p>
        </w:tc>
        <w:tc>
          <w:tcPr>
            <w:tcW w:type="dxa" w:w="2016"/>
            <w:shd w:fill="F2F7FD"/>
          </w:tcPr>
          <w:p>
            <w:r/>
            <w:r>
              <w:rPr>
                <w:color w:val="404040"/>
                <w:sz w:val="19"/>
              </w:rPr>
              <w:t>—</w:t>
            </w:r>
          </w:p>
        </w:tc>
        <w:tc>
          <w:tcPr>
            <w:tcW w:type="dxa" w:w="3456"/>
            <w:shd w:fill="F2F7FD"/>
          </w:tcPr>
          <w:p>
            <w:r/>
            <w:r>
              <w:rPr>
                <w:color w:val="404040"/>
                <w:sz w:val="19"/>
              </w:rPr>
              <w:t>Boomi account to push into.</w:t>
            </w:r>
          </w:p>
        </w:tc>
      </w:tr>
      <w:tr>
        <w:tc>
          <w:tcPr>
            <w:tcW w:type="dxa" w:w="2592"/>
          </w:tcPr>
          <w:p>
            <w:r/>
            <w:r>
              <w:rPr>
                <w:color w:val="404040"/>
                <w:sz w:val="19"/>
              </w:rPr>
              <w:t>Boomi — Username (email)</w:t>
            </w:r>
          </w:p>
        </w:tc>
        <w:tc>
          <w:tcPr>
            <w:tcW w:type="dxa" w:w="1008"/>
          </w:tcPr>
          <w:p>
            <w:r/>
            <w:r>
              <w:rPr>
                <w:color w:val="404040"/>
                <w:sz w:val="19"/>
              </w:rPr>
              <w:t>text</w:t>
            </w:r>
          </w:p>
        </w:tc>
        <w:tc>
          <w:tcPr>
            <w:tcW w:type="dxa" w:w="2016"/>
          </w:tcPr>
          <w:p>
            <w:r/>
            <w:r>
              <w:rPr>
                <w:color w:val="404040"/>
                <w:sz w:val="19"/>
              </w:rPr>
              <w:t>—</w:t>
            </w:r>
          </w:p>
        </w:tc>
        <w:tc>
          <w:tcPr>
            <w:tcW w:type="dxa" w:w="3456"/>
          </w:tcPr>
          <w:p>
            <w:r/>
            <w:r>
              <w:rPr>
                <w:color w:val="404040"/>
                <w:sz w:val="19"/>
              </w:rPr>
              <w:t>Boomi login email.</w:t>
            </w:r>
          </w:p>
        </w:tc>
      </w:tr>
      <w:tr>
        <w:tc>
          <w:tcPr>
            <w:tcW w:type="dxa" w:w="2592"/>
            <w:shd w:fill="F2F7FD"/>
          </w:tcPr>
          <w:p>
            <w:r/>
            <w:r>
              <w:rPr>
                <w:color w:val="404040"/>
                <w:sz w:val="19"/>
              </w:rPr>
              <w:t>Boomi — API Token</w:t>
            </w:r>
          </w:p>
        </w:tc>
        <w:tc>
          <w:tcPr>
            <w:tcW w:type="dxa" w:w="1008"/>
            <w:shd w:fill="F2F7FD"/>
          </w:tcPr>
          <w:p>
            <w:r/>
            <w:r>
              <w:rPr>
                <w:color w:val="404040"/>
                <w:sz w:val="19"/>
              </w:rPr>
              <w:t>password</w:t>
            </w:r>
          </w:p>
        </w:tc>
        <w:tc>
          <w:tcPr>
            <w:tcW w:type="dxa" w:w="2016"/>
            <w:shd w:fill="F2F7FD"/>
          </w:tcPr>
          <w:p>
            <w:r/>
            <w:r>
              <w:rPr>
                <w:color w:val="404040"/>
                <w:sz w:val="19"/>
              </w:rPr>
              <w:t>—</w:t>
            </w:r>
          </w:p>
        </w:tc>
        <w:tc>
          <w:tcPr>
            <w:tcW w:type="dxa" w:w="3456"/>
            <w:shd w:fill="F2F7FD"/>
          </w:tcPr>
          <w:p>
            <w:r/>
            <w:r>
              <w:rPr>
                <w:color w:val="404040"/>
                <w:sz w:val="19"/>
              </w:rPr>
              <w:t>Boomi API token with write access.</w:t>
            </w:r>
          </w:p>
        </w:tc>
      </w:tr>
      <w:tr>
        <w:tc>
          <w:tcPr>
            <w:tcW w:type="dxa" w:w="2592"/>
          </w:tcPr>
          <w:p>
            <w:r/>
            <w:r>
              <w:rPr>
                <w:color w:val="404040"/>
                <w:sz w:val="19"/>
              </w:rPr>
              <w:t>Boomi — Environment ID</w:t>
            </w:r>
          </w:p>
        </w:tc>
        <w:tc>
          <w:tcPr>
            <w:tcW w:type="dxa" w:w="1008"/>
          </w:tcPr>
          <w:p>
            <w:r/>
            <w:r>
              <w:rPr>
                <w:color w:val="404040"/>
                <w:sz w:val="19"/>
              </w:rPr>
              <w:t>text</w:t>
            </w:r>
          </w:p>
        </w:tc>
        <w:tc>
          <w:tcPr>
            <w:tcW w:type="dxa" w:w="2016"/>
          </w:tcPr>
          <w:p>
            <w:r/>
            <w:r>
              <w:rPr>
                <w:color w:val="404040"/>
                <w:sz w:val="19"/>
              </w:rPr>
              <w:t>—</w:t>
            </w:r>
          </w:p>
        </w:tc>
        <w:tc>
          <w:tcPr>
            <w:tcW w:type="dxa" w:w="3456"/>
          </w:tcPr>
          <w:p>
            <w:r/>
            <w:r>
              <w:rPr>
                <w:color w:val="404040"/>
                <w:sz w:val="19"/>
              </w:rPr>
              <w:t>Boomi environment to deploy into.</w:t>
            </w:r>
          </w:p>
        </w:tc>
      </w:tr>
      <w:tr>
        <w:tc>
          <w:tcPr>
            <w:tcW w:type="dxa" w:w="2592"/>
            <w:shd w:fill="F2F7FD"/>
          </w:tcPr>
          <w:p>
            <w:r/>
            <w:r>
              <w:rPr>
                <w:color w:val="404040"/>
                <w:sz w:val="19"/>
              </w:rPr>
              <w:t>Boomi — Target Folder ID</w:t>
            </w:r>
          </w:p>
        </w:tc>
        <w:tc>
          <w:tcPr>
            <w:tcW w:type="dxa" w:w="1008"/>
            <w:shd w:fill="F2F7FD"/>
          </w:tcPr>
          <w:p>
            <w:r/>
            <w:r>
              <w:rPr>
                <w:color w:val="404040"/>
                <w:sz w:val="19"/>
              </w:rPr>
              <w:t>text</w:t>
            </w:r>
          </w:p>
        </w:tc>
        <w:tc>
          <w:tcPr>
            <w:tcW w:type="dxa" w:w="2016"/>
            <w:shd w:fill="F2F7FD"/>
          </w:tcPr>
          <w:p>
            <w:r/>
            <w:r>
              <w:rPr>
                <w:color w:val="404040"/>
                <w:sz w:val="19"/>
              </w:rPr>
              <w:t>—</w:t>
            </w:r>
          </w:p>
        </w:tc>
        <w:tc>
          <w:tcPr>
            <w:tcW w:type="dxa" w:w="3456"/>
            <w:shd w:fill="F2F7FD"/>
          </w:tcPr>
          <w:p>
            <w:r/>
            <w:r>
              <w:rPr>
                <w:color w:val="404040"/>
                <w:sz w:val="19"/>
              </w:rPr>
              <w:t>Destination folder ID for generated components.</w:t>
            </w:r>
          </w:p>
        </w:tc>
      </w:tr>
      <w:tr>
        <w:tc>
          <w:tcPr>
            <w:tcW w:type="dxa" w:w="2592"/>
          </w:tcPr>
          <w:p>
            <w:r/>
            <w:r>
              <w:rPr>
                <w:color w:val="404040"/>
                <w:sz w:val="19"/>
              </w:rPr>
              <w:t>Workato — API Token</w:t>
            </w:r>
          </w:p>
        </w:tc>
        <w:tc>
          <w:tcPr>
            <w:tcW w:type="dxa" w:w="1008"/>
          </w:tcPr>
          <w:p>
            <w:r/>
            <w:r>
              <w:rPr>
                <w:color w:val="404040"/>
                <w:sz w:val="19"/>
              </w:rPr>
              <w:t>password</w:t>
            </w:r>
          </w:p>
        </w:tc>
        <w:tc>
          <w:tcPr>
            <w:tcW w:type="dxa" w:w="2016"/>
          </w:tcPr>
          <w:p>
            <w:r/>
            <w:r>
              <w:rPr>
                <w:color w:val="404040"/>
                <w:sz w:val="19"/>
              </w:rPr>
              <w:t>—</w:t>
            </w:r>
          </w:p>
        </w:tc>
        <w:tc>
          <w:tcPr>
            <w:tcW w:type="dxa" w:w="3456"/>
          </w:tcPr>
          <w:p>
            <w:r/>
            <w:r>
              <w:rPr>
                <w:color w:val="404040"/>
                <w:sz w:val="19"/>
              </w:rPr>
              <w:t>Workato API token. Needs write/create scope on recipes and folders — a token that only passes GET /users/me is not sufficient (Workato returns 404, not 401/403, for missing-scope writes).</w:t>
            </w:r>
          </w:p>
        </w:tc>
      </w:tr>
      <w:tr>
        <w:tc>
          <w:tcPr>
            <w:tcW w:type="dxa" w:w="2592"/>
            <w:shd w:fill="F2F7FD"/>
          </w:tcPr>
          <w:p>
            <w:r/>
            <w:r>
              <w:rPr>
                <w:color w:val="404040"/>
                <w:sz w:val="19"/>
              </w:rPr>
              <w:t>Workato — Account email</w:t>
            </w:r>
          </w:p>
        </w:tc>
        <w:tc>
          <w:tcPr>
            <w:tcW w:type="dxa" w:w="1008"/>
            <w:shd w:fill="F2F7FD"/>
          </w:tcPr>
          <w:p>
            <w:r/>
            <w:r>
              <w:rPr>
                <w:color w:val="404040"/>
                <w:sz w:val="19"/>
              </w:rPr>
              <w:t>text</w:t>
            </w:r>
          </w:p>
        </w:tc>
        <w:tc>
          <w:tcPr>
            <w:tcW w:type="dxa" w:w="2016"/>
            <w:shd w:fill="F2F7FD"/>
          </w:tcPr>
          <w:p>
            <w:r/>
            <w:r>
              <w:rPr>
                <w:color w:val="404040"/>
                <w:sz w:val="19"/>
              </w:rPr>
              <w:t>—</w:t>
            </w:r>
          </w:p>
        </w:tc>
        <w:tc>
          <w:tcPr>
            <w:tcW w:type="dxa" w:w="3456"/>
            <w:shd w:fill="F2F7FD"/>
          </w:tcPr>
          <w:p>
            <w:r/>
            <w:r>
              <w:rPr>
                <w:color w:val="404040"/>
                <w:sz w:val="19"/>
              </w:rPr>
              <w:t>Workato account email.</w:t>
            </w:r>
          </w:p>
        </w:tc>
      </w:tr>
      <w:tr>
        <w:tc>
          <w:tcPr>
            <w:tcW w:type="dxa" w:w="2592"/>
          </w:tcPr>
          <w:p>
            <w:r/>
            <w:r>
              <w:rPr>
                <w:color w:val="404040"/>
                <w:sz w:val="19"/>
              </w:rPr>
              <w:t>Celigo — API Token</w:t>
            </w:r>
          </w:p>
        </w:tc>
        <w:tc>
          <w:tcPr>
            <w:tcW w:type="dxa" w:w="1008"/>
          </w:tcPr>
          <w:p>
            <w:r/>
            <w:r>
              <w:rPr>
                <w:color w:val="404040"/>
                <w:sz w:val="19"/>
              </w:rPr>
              <w:t>password</w:t>
            </w:r>
          </w:p>
        </w:tc>
        <w:tc>
          <w:tcPr>
            <w:tcW w:type="dxa" w:w="2016"/>
          </w:tcPr>
          <w:p>
            <w:r/>
            <w:r>
              <w:rPr>
                <w:color w:val="404040"/>
                <w:sz w:val="19"/>
              </w:rPr>
              <w:t>—</w:t>
            </w:r>
          </w:p>
        </w:tc>
        <w:tc>
          <w:tcPr>
            <w:tcW w:type="dxa" w:w="3456"/>
          </w:tcPr>
          <w:p>
            <w:r/>
            <w:r>
              <w:rPr>
                <w:color w:val="404040"/>
                <w:sz w:val="19"/>
              </w:rPr>
              <w:t>Celigo API token.</w:t>
            </w:r>
          </w:p>
        </w:tc>
      </w:tr>
      <w:tr>
        <w:tc>
          <w:tcPr>
            <w:tcW w:type="dxa" w:w="2592"/>
            <w:shd w:fill="F2F7FD"/>
          </w:tcPr>
          <w:p>
            <w:r/>
            <w:r>
              <w:rPr>
                <w:color w:val="404040"/>
                <w:sz w:val="19"/>
              </w:rPr>
              <w:t>webMethods — Tenant URL</w:t>
            </w:r>
          </w:p>
        </w:tc>
        <w:tc>
          <w:tcPr>
            <w:tcW w:type="dxa" w:w="1008"/>
            <w:shd w:fill="F2F7FD"/>
          </w:tcPr>
          <w:p>
            <w:r/>
            <w:r>
              <w:rPr>
                <w:color w:val="404040"/>
                <w:sz w:val="19"/>
              </w:rPr>
              <w:t>text</w:t>
            </w:r>
          </w:p>
        </w:tc>
        <w:tc>
          <w:tcPr>
            <w:tcW w:type="dxa" w:w="2016"/>
            <w:shd w:fill="F2F7FD"/>
          </w:tcPr>
          <w:p>
            <w:r/>
            <w:r>
              <w:rPr>
                <w:color w:val="404040"/>
                <w:sz w:val="19"/>
              </w:rPr>
              <w:t>https://mycompany.int-aws-us.webmethods.io</w:t>
            </w:r>
          </w:p>
        </w:tc>
        <w:tc>
          <w:tcPr>
            <w:tcW w:type="dxa" w:w="3456"/>
            <w:shd w:fill="F2F7FD"/>
          </w:tcPr>
          <w:p>
            <w:r/>
            <w:r>
              <w:rPr>
                <w:color w:val="404040"/>
                <w:sz w:val="19"/>
              </w:rPr>
              <w:t>Target webMethods.io tenant.</w:t>
            </w:r>
          </w:p>
        </w:tc>
      </w:tr>
      <w:tr>
        <w:tc>
          <w:tcPr>
            <w:tcW w:type="dxa" w:w="2592"/>
          </w:tcPr>
          <w:p>
            <w:r/>
            <w:r>
              <w:rPr>
                <w:color w:val="404040"/>
                <w:sz w:val="19"/>
              </w:rPr>
              <w:t>webMethods — Username</w:t>
            </w:r>
          </w:p>
        </w:tc>
        <w:tc>
          <w:tcPr>
            <w:tcW w:type="dxa" w:w="1008"/>
          </w:tcPr>
          <w:p>
            <w:r/>
            <w:r>
              <w:rPr>
                <w:color w:val="404040"/>
                <w:sz w:val="19"/>
              </w:rPr>
              <w:t>text</w:t>
            </w:r>
          </w:p>
        </w:tc>
        <w:tc>
          <w:tcPr>
            <w:tcW w:type="dxa" w:w="2016"/>
          </w:tcPr>
          <w:p>
            <w:r/>
            <w:r>
              <w:rPr>
                <w:color w:val="404040"/>
                <w:sz w:val="19"/>
              </w:rPr>
              <w:t>—</w:t>
            </w:r>
          </w:p>
        </w:tc>
        <w:tc>
          <w:tcPr>
            <w:tcW w:type="dxa" w:w="3456"/>
          </w:tcPr>
          <w:p>
            <w:r/>
            <w:r>
              <w:rPr>
                <w:color w:val="404040"/>
                <w:sz w:val="19"/>
              </w:rPr>
              <w:t>webMethods.io username.</w:t>
            </w:r>
          </w:p>
        </w:tc>
      </w:tr>
      <w:tr>
        <w:tc>
          <w:tcPr>
            <w:tcW w:type="dxa" w:w="2592"/>
            <w:shd w:fill="F2F7FD"/>
          </w:tcPr>
          <w:p>
            <w:r/>
            <w:r>
              <w:rPr>
                <w:color w:val="404040"/>
                <w:sz w:val="19"/>
              </w:rPr>
              <w:t>webMethods — Password</w:t>
            </w:r>
          </w:p>
        </w:tc>
        <w:tc>
          <w:tcPr>
            <w:tcW w:type="dxa" w:w="1008"/>
            <w:shd w:fill="F2F7FD"/>
          </w:tcPr>
          <w:p>
            <w:r/>
            <w:r>
              <w:rPr>
                <w:color w:val="404040"/>
                <w:sz w:val="19"/>
              </w:rPr>
              <w:t>password</w:t>
            </w:r>
          </w:p>
        </w:tc>
        <w:tc>
          <w:tcPr>
            <w:tcW w:type="dxa" w:w="2016"/>
            <w:shd w:fill="F2F7FD"/>
          </w:tcPr>
          <w:p>
            <w:r/>
            <w:r>
              <w:rPr>
                <w:color w:val="404040"/>
                <w:sz w:val="19"/>
              </w:rPr>
              <w:t>—</w:t>
            </w:r>
          </w:p>
        </w:tc>
        <w:tc>
          <w:tcPr>
            <w:tcW w:type="dxa" w:w="3456"/>
            <w:shd w:fill="F2F7FD"/>
          </w:tcPr>
          <w:p>
            <w:r/>
            <w:r>
              <w:rPr>
                <w:color w:val="404040"/>
                <w:sz w:val="19"/>
              </w:rPr>
              <w:t>webMethods.io password.</w:t>
            </w:r>
          </w:p>
        </w:tc>
      </w:tr>
    </w:tbl>
    <w:p>
      <w:pPr>
        <w:keepNext/>
        <w:spacing w:before="280" w:after="80"/>
      </w:pPr>
      <w:r>
        <w:rPr>
          <w:b/>
          <w:color w:val="2E74B5"/>
          <w:sz w:val="25"/>
        </w:rPr>
        <w:t>Migration Options</w:t>
      </w:r>
    </w:p>
    <w:p>
      <w:pPr>
        <w:spacing w:after="120"/>
      </w:pPr>
      <w:r>
        <w:rPr>
          <w:i w:val="0"/>
          <w:color w:val="404040"/>
          <w:sz w:val="21"/>
        </w:rPr>
        <w:t>A shared options bar below both platform cards, applying to the run regardless of source/target choice.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F4E79"/>
          </w:tcPr>
          <w:p>
            <w:r/>
            <w:r>
              <w:rPr>
                <w:b/>
                <w:color w:val="FFFFFF"/>
                <w:sz w:val="19"/>
              </w:rPr>
              <w:t>Field</w:t>
            </w:r>
          </w:p>
        </w:tc>
        <w:tc>
          <w:tcPr>
            <w:tcW w:type="dxa" w:w="1008"/>
            <w:shd w:fill="1F4E79"/>
          </w:tcPr>
          <w:p>
            <w:r/>
            <w:r>
              <w:rPr>
                <w:b/>
                <w:color w:val="FFFFFF"/>
                <w:sz w:val="19"/>
              </w:rPr>
              <w:t>Type</w:t>
            </w:r>
          </w:p>
        </w:tc>
        <w:tc>
          <w:tcPr>
            <w:tcW w:type="dxa" w:w="1584"/>
            <w:shd w:fill="1F4E79"/>
          </w:tcPr>
          <w:p>
            <w:r/>
            <w:r>
              <w:rPr>
                <w:b/>
                <w:color w:val="FFFFFF"/>
                <w:sz w:val="19"/>
              </w:rPr>
              <w:t>Default</w:t>
            </w:r>
          </w:p>
        </w:tc>
        <w:tc>
          <w:tcPr>
            <w:tcW w:type="dxa" w:w="4176"/>
            <w:shd w:fill="1F4E79"/>
          </w:tcPr>
          <w:p>
            <w:r/>
            <w:r>
              <w:rPr>
                <w:b/>
                <w:color w:val="FFFFFF"/>
                <w:sz w:val="19"/>
              </w:rPr>
              <w:t>Description</w:t>
            </w:r>
          </w:p>
        </w:tc>
      </w:tr>
      <w:tr>
        <w:tc>
          <w:tcPr>
            <w:tcW w:type="dxa" w:w="2304"/>
          </w:tcPr>
          <w:p>
            <w:r/>
            <w:r>
              <w:rPr>
                <w:color w:val="404040"/>
                <w:sz w:val="19"/>
              </w:rPr>
              <w:t>Package / project name ✱</w:t>
            </w:r>
          </w:p>
        </w:tc>
        <w:tc>
          <w:tcPr>
            <w:tcW w:type="dxa" w:w="1008"/>
          </w:tcPr>
          <w:p>
            <w:r/>
            <w:r>
              <w:rPr>
                <w:color w:val="404040"/>
                <w:sz w:val="19"/>
              </w:rPr>
              <w:t>text</w:t>
            </w:r>
          </w:p>
        </w:tc>
        <w:tc>
          <w:tcPr>
            <w:tcW w:type="dxa" w:w="1584"/>
          </w:tcPr>
          <w:p>
            <w:r/>
            <w:r>
              <w:rPr>
                <w:color w:val="404040"/>
                <w:sz w:val="19"/>
              </w:rPr>
              <w:t>(derived if blank)</w:t>
            </w:r>
          </w:p>
        </w:tc>
        <w:tc>
          <w:tcPr>
            <w:tcW w:type="dxa" w:w="4176"/>
          </w:tcPr>
          <w:p>
            <w:r/>
            <w:r>
              <w:rPr>
                <w:color w:val="404040"/>
                <w:sz w:val="19"/>
              </w:rPr>
              <w:t>Used to name the spec file and destination folder. Defaults to the zip filename, directory name, or live-pull folder/integration name if left blank.</w:t>
            </w:r>
          </w:p>
        </w:tc>
      </w:tr>
      <w:tr>
        <w:tc>
          <w:tcPr>
            <w:tcW w:type="dxa" w:w="2304"/>
            <w:shd w:fill="F2F7FD"/>
          </w:tcPr>
          <w:p>
            <w:r/>
            <w:r>
              <w:rPr>
                <w:color w:val="404040"/>
                <w:sz w:val="19"/>
              </w:rPr>
              <w:t>Destination folder / project</w:t>
            </w:r>
          </w:p>
        </w:tc>
        <w:tc>
          <w:tcPr>
            <w:tcW w:type="dxa" w:w="1008"/>
            <w:shd w:fill="F2F7FD"/>
          </w:tcPr>
          <w:p>
            <w:r/>
            <w:r>
              <w:rPr>
                <w:color w:val="404040"/>
                <w:sz w:val="19"/>
              </w:rPr>
              <w:t>text</w:t>
            </w:r>
          </w:p>
        </w:tc>
        <w:tc>
          <w:tcPr>
            <w:tcW w:type="dxa" w:w="1584"/>
            <w:shd w:fill="F2F7FD"/>
          </w:tcPr>
          <w:p>
            <w:r/>
            <w:r>
              <w:rPr>
                <w:color w:val="404040"/>
                <w:sz w:val="19"/>
              </w:rPr>
              <w:t>MIG_&lt;project&gt;</w:t>
            </w:r>
          </w:p>
        </w:tc>
        <w:tc>
          <w:tcPr>
            <w:tcW w:type="dxa" w:w="4176"/>
            <w:shd w:fill="F2F7FD"/>
          </w:tcPr>
          <w:p>
            <w:r/>
            <w:r>
              <w:rPr>
                <w:color w:val="404040"/>
                <w:sz w:val="19"/>
              </w:rPr>
              <w:t>The container the migrated asset(s) get pushed into on the target platform.</w:t>
            </w:r>
          </w:p>
        </w:tc>
      </w:tr>
      <w:tr>
        <w:tc>
          <w:tcPr>
            <w:tcW w:type="dxa" w:w="2304"/>
          </w:tcPr>
          <w:p>
            <w:r/>
            <w:r>
              <w:rPr>
                <w:color w:val="404040"/>
                <w:sz w:val="19"/>
              </w:rPr>
              <w:t>Markdown dir for doc appendix</w:t>
            </w:r>
          </w:p>
        </w:tc>
        <w:tc>
          <w:tcPr>
            <w:tcW w:type="dxa" w:w="1008"/>
          </w:tcPr>
          <w:p>
            <w:r/>
            <w:r>
              <w:rPr>
                <w:color w:val="404040"/>
                <w:sz w:val="19"/>
              </w:rPr>
              <w:t>text</w:t>
            </w:r>
          </w:p>
        </w:tc>
        <w:tc>
          <w:tcPr>
            <w:tcW w:type="dxa" w:w="1584"/>
          </w:tcPr>
          <w:p>
            <w:r/>
            <w:r>
              <w:rPr>
                <w:color w:val="404040"/>
                <w:sz w:val="19"/>
              </w:rPr>
              <w:t>e.g. WebMethods/MD/</w:t>
            </w:r>
          </w:p>
        </w:tc>
        <w:tc>
          <w:tcPr>
            <w:tcW w:type="dxa" w:w="4176"/>
          </w:tcPr>
          <w:p>
            <w:r/>
            <w:r>
              <w:rPr>
                <w:color w:val="404040"/>
                <w:sz w:val="19"/>
              </w:rPr>
              <w:t>Optional — attaches markdown files from this directory as an appendix to the generated Word design document.</w:t>
            </w:r>
          </w:p>
        </w:tc>
      </w:tr>
      <w:tr>
        <w:tc>
          <w:tcPr>
            <w:tcW w:type="dxa" w:w="2304"/>
            <w:shd w:fill="F2F7FD"/>
          </w:tcPr>
          <w:p>
            <w:r/>
            <w:r>
              <w:rPr>
                <w:color w:val="404040"/>
                <w:sz w:val="19"/>
              </w:rPr>
              <w:t>Dry run</w:t>
            </w:r>
          </w:p>
        </w:tc>
        <w:tc>
          <w:tcPr>
            <w:tcW w:type="dxa" w:w="1008"/>
            <w:shd w:fill="F2F7FD"/>
          </w:tcPr>
          <w:p>
            <w:r/>
            <w:r>
              <w:rPr>
                <w:color w:val="404040"/>
                <w:sz w:val="19"/>
              </w:rPr>
              <w:t>checkbox</w:t>
            </w:r>
          </w:p>
        </w:tc>
        <w:tc>
          <w:tcPr>
            <w:tcW w:type="dxa" w:w="1584"/>
            <w:shd w:fill="F2F7FD"/>
          </w:tcPr>
          <w:p>
            <w:r/>
            <w:r>
              <w:rPr>
                <w:color w:val="404040"/>
                <w:sz w:val="19"/>
              </w:rPr>
              <w:t>off</w:t>
            </w:r>
          </w:p>
        </w:tc>
        <w:tc>
          <w:tcPr>
            <w:tcW w:type="dxa" w:w="4176"/>
            <w:shd w:fill="F2F7FD"/>
          </w:tcPr>
          <w:p>
            <w:r/>
            <w:r>
              <w:rPr>
                <w:color w:val="404040"/>
                <w:sz w:val="19"/>
              </w:rPr>
              <w:t>Generate artifacts without pushing to the target. Does not apply to AIRO builds below.</w:t>
            </w:r>
          </w:p>
        </w:tc>
      </w:tr>
      <w:tr>
        <w:tc>
          <w:tcPr>
            <w:tcW w:type="dxa" w:w="2304"/>
          </w:tcPr>
          <w:p>
            <w:r/>
            <w:r>
              <w:rPr>
                <w:color w:val="404040"/>
                <w:sz w:val="19"/>
              </w:rPr>
              <w:t>Skip analyze</w:t>
            </w:r>
          </w:p>
        </w:tc>
        <w:tc>
          <w:tcPr>
            <w:tcW w:type="dxa" w:w="1008"/>
          </w:tcPr>
          <w:p>
            <w:r/>
            <w:r>
              <w:rPr>
                <w:color w:val="404040"/>
                <w:sz w:val="19"/>
              </w:rPr>
              <w:t>checkbox</w:t>
            </w:r>
          </w:p>
        </w:tc>
        <w:tc>
          <w:tcPr>
            <w:tcW w:type="dxa" w:w="1584"/>
          </w:tcPr>
          <w:p>
            <w:r/>
            <w:r>
              <w:rPr>
                <w:color w:val="404040"/>
                <w:sz w:val="19"/>
              </w:rPr>
              <w:t>off</w:t>
            </w:r>
          </w:p>
        </w:tc>
        <w:tc>
          <w:tcPr>
            <w:tcW w:type="dxa" w:w="4176"/>
          </w:tcPr>
          <w:p>
            <w:r/>
            <w:r>
              <w:rPr>
                <w:color w:val="404040"/>
                <w:sz w:val="19"/>
              </w:rPr>
              <w:t>Re-use an existing spec already in migration-specs/ instead of re-analyzing the source.</w:t>
            </w:r>
          </w:p>
        </w:tc>
      </w:tr>
      <w:tr>
        <w:tc>
          <w:tcPr>
            <w:tcW w:type="dxa" w:w="2304"/>
            <w:shd w:fill="F2F7FD"/>
          </w:tcPr>
          <w:p>
            <w:r/>
            <w:r>
              <w:rPr>
                <w:color w:val="404040"/>
                <w:sz w:val="19"/>
              </w:rPr>
              <w:t>Skip enrich</w:t>
            </w:r>
          </w:p>
        </w:tc>
        <w:tc>
          <w:tcPr>
            <w:tcW w:type="dxa" w:w="1008"/>
            <w:shd w:fill="F2F7FD"/>
          </w:tcPr>
          <w:p>
            <w:r/>
            <w:r>
              <w:rPr>
                <w:color w:val="404040"/>
                <w:sz w:val="19"/>
              </w:rPr>
              <w:t>checkbox</w:t>
            </w:r>
          </w:p>
        </w:tc>
        <w:tc>
          <w:tcPr>
            <w:tcW w:type="dxa" w:w="1584"/>
            <w:shd w:fill="F2F7FD"/>
          </w:tcPr>
          <w:p>
            <w:r/>
            <w:r>
              <w:rPr>
                <w:color w:val="404040"/>
                <w:sz w:val="19"/>
              </w:rPr>
              <w:t>off</w:t>
            </w:r>
          </w:p>
        </w:tc>
        <w:tc>
          <w:tcPr>
            <w:tcW w:type="dxa" w:w="4176"/>
            <w:shd w:fill="F2F7FD"/>
          </w:tcPr>
          <w:p>
            <w:r/>
            <w:r>
              <w:rPr>
                <w:color w:val="404040"/>
                <w:sz w:val="19"/>
              </w:rPr>
              <w:t>Skip the AI enrichment pass. Faster, but lower-quality output for nested/complex service logic.</w:t>
            </w:r>
          </w:p>
        </w:tc>
      </w:tr>
      <w:tr>
        <w:tc>
          <w:tcPr>
            <w:tcW w:type="dxa" w:w="2304"/>
          </w:tcPr>
          <w:p>
            <w:r/>
            <w:r>
              <w:rPr>
                <w:color w:val="404040"/>
                <w:sz w:val="19"/>
              </w:rPr>
              <w:t>Skip document</w:t>
            </w:r>
          </w:p>
        </w:tc>
        <w:tc>
          <w:tcPr>
            <w:tcW w:type="dxa" w:w="1008"/>
          </w:tcPr>
          <w:p>
            <w:r/>
            <w:r>
              <w:rPr>
                <w:color w:val="404040"/>
                <w:sz w:val="19"/>
              </w:rPr>
              <w:t>checkbox</w:t>
            </w:r>
          </w:p>
        </w:tc>
        <w:tc>
          <w:tcPr>
            <w:tcW w:type="dxa" w:w="1584"/>
          </w:tcPr>
          <w:p>
            <w:r/>
            <w:r>
              <w:rPr>
                <w:color w:val="404040"/>
                <w:sz w:val="19"/>
              </w:rPr>
              <w:t>ON by default</w:t>
            </w:r>
          </w:p>
        </w:tc>
        <w:tc>
          <w:tcPr>
            <w:tcW w:type="dxa" w:w="4176"/>
          </w:tcPr>
          <w:p>
            <w:r/>
            <w:r>
              <w:rPr>
                <w:color w:val="404040"/>
                <w:sz w:val="19"/>
              </w:rPr>
              <w:t>Skip Word design-document generation. On by default — that step makes no LLM calls itself (it's local .docx assembly from the already-generated spec), but it's the phase you're least likely to need on every run. Uncheck to also get the branded .docx this run.</w:t>
            </w:r>
          </w:p>
        </w:tc>
      </w:tr>
      <w:tr>
        <w:tc>
          <w:tcPr>
            <w:tcW w:type="dxa" w:w="2304"/>
            <w:shd w:fill="F2F7FD"/>
          </w:tcPr>
          <w:p>
            <w:r/>
            <w:r>
              <w:rPr>
                <w:color w:val="404040"/>
                <w:sz w:val="19"/>
              </w:rPr>
              <w:t>Build via AIRO (live-validated)</w:t>
            </w:r>
          </w:p>
        </w:tc>
        <w:tc>
          <w:tcPr>
            <w:tcW w:type="dxa" w:w="1008"/>
            <w:shd w:fill="F2F7FD"/>
          </w:tcPr>
          <w:p>
            <w:r/>
            <w:r>
              <w:rPr>
                <w:color w:val="404040"/>
                <w:sz w:val="19"/>
              </w:rPr>
              <w:t>checkbox</w:t>
            </w:r>
          </w:p>
        </w:tc>
        <w:tc>
          <w:tcPr>
            <w:tcW w:type="dxa" w:w="1584"/>
            <w:shd w:fill="F2F7FD"/>
          </w:tcPr>
          <w:p>
            <w:r/>
            <w:r>
              <w:rPr>
                <w:color w:val="404040"/>
                <w:sz w:val="19"/>
              </w:rPr>
              <w:t>off</w:t>
            </w:r>
          </w:p>
        </w:tc>
        <w:tc>
          <w:tcPr>
            <w:tcW w:type="dxa" w:w="4176"/>
            <w:shd w:fill="F2F7FD"/>
          </w:tcPr>
          <w:p>
            <w:r/>
            <w:r>
              <w:rPr>
                <w:color w:val="404040"/>
                <w:sz w:val="19"/>
              </w:rPr>
              <w:t>Only shown when Target is Workato. Resolves and validates every connector/action live against Workato's real schema via the AIRO MCP recipe builder, instead of the static generator's blind JSON assembly (which falls back to 'Select an app and action' placeholders it can't map). Slower and uses LLM tokens. Auth rides on Claude Code's own login, not the Workato API token field above.</w:t>
            </w:r>
          </w:p>
        </w:tc>
      </w:tr>
    </w:tbl>
    <w:p>
      <w:pPr>
        <w:spacing w:before="120" w:after="200"/>
        <w:ind w:left="216"/>
        <w:shd w:fill="FBEAEC"/>
      </w:pPr>
      <w:r>
        <w:rPr>
          <w:b/>
          <w:color w:val="B83B4B"/>
          <w:sz w:val="17"/>
        </w:rPr>
        <w:t>AIRO + DRY RUN</w:t>
        <w:br/>
      </w:r>
      <w:r>
        <w:rPr>
          <w:color w:val="404040"/>
          <w:sz w:val="20"/>
        </w:rPr>
        <w:t>AIRO creates each recipe live in Workato as it builds, regardless of the Dry run checkbox — Dry run only skips the final push of its steps. It is not a no-side-effects mode when AIRO is enabled.</w:t>
      </w:r>
    </w:p>
    <w:p>
      <w:pPr>
        <w:keepNext/>
        <w:spacing w:before="280" w:after="80"/>
      </w:pPr>
      <w:r>
        <w:rPr>
          <w:b/>
          <w:color w:val="2E74B5"/>
          <w:sz w:val="25"/>
        </w:rPr>
        <w:t>Run &amp; Progress</w:t>
      </w:r>
    </w:p>
    <w:p>
      <w:pPr>
        <w:spacing w:after="120"/>
      </w:pPr>
      <w:r>
        <w:rPr>
          <w:i w:val="0"/>
          <w:color w:val="404040"/>
          <w:sz w:val="21"/>
        </w:rPr>
        <w:t>Clicking Run Migration resolves the source into exactly one of: a prepared local directory, or a live-pull reference (credentials riding along separately), then launches migrate.py as a subprocess and streams its output live.</w:t>
      </w:r>
    </w:p>
    <w:tbl>
      <w:tblPr>
        <w:tblStyle w:val="TableGrid"/>
        <w:tblW w:type="auto" w:w="0"/>
        <w:jc w:val="left"/>
        <w:tblLook w:firstColumn="1" w:firstRow="1" w:lastColumn="0" w:lastRow="0" w:noHBand="0" w:noVBand="1" w:val="04A0"/>
      </w:tblPr>
      <w:tblGrid>
        <w:gridCol w:w="4824"/>
        <w:gridCol w:w="4824"/>
      </w:tblGrid>
      <w:tr>
        <w:tc>
          <w:tcPr>
            <w:tcW w:type="dxa" w:w="2160"/>
            <w:shd w:fill="1F4E79"/>
          </w:tcPr>
          <w:p>
            <w:r/>
            <w:r>
              <w:rPr>
                <w:b/>
                <w:color w:val="FFFFFF"/>
                <w:sz w:val="19"/>
              </w:rPr>
              <w:t>Element</w:t>
            </w:r>
          </w:p>
        </w:tc>
        <w:tc>
          <w:tcPr>
            <w:tcW w:type="dxa" w:w="6192"/>
            <w:shd w:fill="1F4E79"/>
          </w:tcPr>
          <w:p>
            <w:r/>
            <w:r>
              <w:rPr>
                <w:b/>
                <w:color w:val="FFFFFF"/>
                <w:sz w:val="19"/>
              </w:rPr>
              <w:t>Description</w:t>
            </w:r>
          </w:p>
        </w:tc>
      </w:tr>
      <w:tr>
        <w:tc>
          <w:tcPr>
            <w:tcW w:type="dxa" w:w="2160"/>
          </w:tcPr>
          <w:p>
            <w:r/>
            <w:r>
              <w:rPr>
                <w:color w:val="404040"/>
                <w:sz w:val="19"/>
              </w:rPr>
              <w:t>Step tracker</w:t>
            </w:r>
          </w:p>
        </w:tc>
        <w:tc>
          <w:tcPr>
            <w:tcW w:type="dxa" w:w="6192"/>
          </w:tcPr>
          <w:p>
            <w:r/>
            <w:r>
              <w:rPr>
                <w:color w:val="404040"/>
                <w:sz w:val="19"/>
              </w:rPr>
              <w:t>Five pipeline phases shown as connected cards: Pull (fetch source files) → Analyze (parse flows &amp; services) → Enrich (AI deep enrichment) → Document (design document) → Generate (push to target). Each lights up as the subprocess emits its matching [PHASE] marker, and is marked done once the next phase begins.</w:t>
            </w:r>
          </w:p>
        </w:tc>
      </w:tr>
      <w:tr>
        <w:tc>
          <w:tcPr>
            <w:tcW w:type="dxa" w:w="2160"/>
            <w:shd w:fill="F2F7FD"/>
          </w:tcPr>
          <w:p>
            <w:r/>
            <w:r>
              <w:rPr>
                <w:color w:val="404040"/>
                <w:sz w:val="19"/>
              </w:rPr>
              <w:t>Live log</w:t>
            </w:r>
          </w:p>
        </w:tc>
        <w:tc>
          <w:tcPr>
            <w:tcW w:type="dxa" w:w="6192"/>
            <w:shd w:fill="F2F7FD"/>
          </w:tcPr>
          <w:p>
            <w:r/>
            <w:r>
              <w:rPr>
                <w:color w:val="404040"/>
                <w:sz w:val="19"/>
              </w:rPr>
              <w:t>A terminal-styled panel showing the last 30 lines of subprocess output, updating as the run progresses.</w:t>
            </w:r>
          </w:p>
        </w:tc>
      </w:tr>
      <w:tr>
        <w:tc>
          <w:tcPr>
            <w:tcW w:type="dxa" w:w="2160"/>
          </w:tcPr>
          <w:p>
            <w:r/>
            <w:r>
              <w:rPr>
                <w:color w:val="404040"/>
                <w:sz w:val="19"/>
              </w:rPr>
              <w:t>Status badge</w:t>
            </w:r>
          </w:p>
        </w:tc>
        <w:tc>
          <w:tcPr>
            <w:tcW w:type="dxa" w:w="6192"/>
          </w:tcPr>
          <w:p>
            <w:r/>
            <w:r>
              <w:rPr>
                <w:color w:val="404040"/>
                <w:sz w:val="19"/>
              </w:rPr>
              <w:t>“Migration completed successfully” or “Migration failed (exit N)” once the subprocess exits.</w:t>
            </w:r>
          </w:p>
        </w:tc>
      </w:tr>
      <w:tr>
        <w:tc>
          <w:tcPr>
            <w:tcW w:type="dxa" w:w="2160"/>
            <w:shd w:fill="F2F7FD"/>
          </w:tcPr>
          <w:p>
            <w:r/>
            <w:r>
              <w:rPr>
                <w:color w:val="404040"/>
                <w:sz w:val="19"/>
              </w:rPr>
              <w:t>Full migration log</w:t>
            </w:r>
          </w:p>
        </w:tc>
        <w:tc>
          <w:tcPr>
            <w:tcW w:type="dxa" w:w="6192"/>
            <w:shd w:fill="F2F7FD"/>
          </w:tcPr>
          <w:p>
            <w:r/>
            <w:r>
              <w:rPr>
                <w:color w:val="404040"/>
                <w:sz w:val="19"/>
              </w:rPr>
              <w:t>A collapsible expander with the complete captured output — expanded automatically on failure.</w:t>
            </w:r>
          </w:p>
        </w:tc>
      </w:tr>
    </w:tbl>
    <w:p>
      <w:pPr>
        <w:keepNext/>
        <w:spacing w:before="280" w:after="80"/>
      </w:pPr>
      <w:r>
        <w:rPr>
          <w:b/>
          <w:color w:val="2E74B5"/>
          <w:sz w:val="25"/>
        </w:rPr>
        <w:t>Artifacts &amp; Results</w:t>
      </w:r>
    </w:p>
    <w:p>
      <w:pPr>
        <w:spacing w:after="120"/>
      </w:pPr>
      <w:r>
        <w:rPr>
          <w:i w:val="0"/>
          <w:color w:val="404040"/>
          <w:sz w:val="21"/>
        </w:rPr>
        <w:t>After a run, whatever files actually got produced appear as tabs — only tabs with real output show up.</w:t>
      </w:r>
    </w:p>
    <w:tbl>
      <w:tblPr>
        <w:tblStyle w:val="TableGrid"/>
        <w:tblW w:type="auto" w:w="0"/>
        <w:jc w:val="left"/>
        <w:tblLook w:firstColumn="1" w:firstRow="1" w:lastColumn="0" w:lastRow="0" w:noHBand="0" w:noVBand="1" w:val="04A0"/>
      </w:tblPr>
      <w:tblGrid>
        <w:gridCol w:w="3216"/>
        <w:gridCol w:w="3216"/>
        <w:gridCol w:w="3216"/>
      </w:tblGrid>
      <w:tr>
        <w:tc>
          <w:tcPr>
            <w:tcW w:type="dxa" w:w="2016"/>
            <w:shd w:fill="1F4E79"/>
          </w:tcPr>
          <w:p>
            <w:r/>
            <w:r>
              <w:rPr>
                <w:b/>
                <w:color w:val="FFFFFF"/>
                <w:sz w:val="19"/>
              </w:rPr>
              <w:t>Tab</w:t>
            </w:r>
          </w:p>
        </w:tc>
        <w:tc>
          <w:tcPr>
            <w:tcW w:type="dxa" w:w="2592"/>
            <w:shd w:fill="1F4E79"/>
          </w:tcPr>
          <w:p>
            <w:r/>
            <w:r>
              <w:rPr>
                <w:b/>
                <w:color w:val="FFFFFF"/>
                <w:sz w:val="19"/>
              </w:rPr>
              <w:t>Appears when</w:t>
            </w:r>
          </w:p>
        </w:tc>
        <w:tc>
          <w:tcPr>
            <w:tcW w:type="dxa" w:w="3744"/>
            <w:shd w:fill="1F4E79"/>
          </w:tcPr>
          <w:p>
            <w:r/>
            <w:r>
              <w:rPr>
                <w:b/>
                <w:color w:val="FFFFFF"/>
                <w:sz w:val="19"/>
              </w:rPr>
              <w:t>Contents</w:t>
            </w:r>
          </w:p>
        </w:tc>
      </w:tr>
      <w:tr>
        <w:tc>
          <w:tcPr>
            <w:tcW w:type="dxa" w:w="2016"/>
          </w:tcPr>
          <w:p>
            <w:r/>
            <w:r>
              <w:rPr>
                <w:color w:val="404040"/>
                <w:sz w:val="19"/>
              </w:rPr>
              <w:t>AIRO Build Summary</w:t>
            </w:r>
          </w:p>
        </w:tc>
        <w:tc>
          <w:tcPr>
            <w:tcW w:type="dxa" w:w="2592"/>
          </w:tcPr>
          <w:p>
            <w:r/>
            <w:r>
              <w:rPr>
                <w:color w:val="404040"/>
                <w:sz w:val="19"/>
              </w:rPr>
              <w:t>“Build via AIRO” was checked</w:t>
            </w:r>
          </w:p>
        </w:tc>
        <w:tc>
          <w:tcPr>
            <w:tcW w:type="dxa" w:w="3744"/>
          </w:tcPr>
          <w:p>
            <w:r/>
            <w:r>
              <w:rPr>
                <w:color w:val="404040"/>
                <w:sz w:val="19"/>
              </w:rPr>
              <w:t>Build cost, error/success state, and the agent's own summary of what it built per recipe.</w:t>
            </w:r>
          </w:p>
        </w:tc>
      </w:tr>
      <w:tr>
        <w:tc>
          <w:tcPr>
            <w:tcW w:type="dxa" w:w="2016"/>
            <w:shd w:fill="F2F7FD"/>
          </w:tcPr>
          <w:p>
            <w:r/>
            <w:r>
              <w:rPr>
                <w:color w:val="404040"/>
                <w:sz w:val="19"/>
              </w:rPr>
              <w:t>Recipe: &lt;service&gt;</w:t>
            </w:r>
          </w:p>
        </w:tc>
        <w:tc>
          <w:tcPr>
            <w:tcW w:type="dxa" w:w="2592"/>
            <w:shd w:fill="F2F7FD"/>
          </w:tcPr>
          <w:p>
            <w:r/>
            <w:r>
              <w:rPr>
                <w:color w:val="404040"/>
                <w:sz w:val="19"/>
              </w:rPr>
              <w:t>The static generator produced one or more recipe JSON files</w:t>
            </w:r>
          </w:p>
        </w:tc>
        <w:tc>
          <w:tcPr>
            <w:tcW w:type="dxa" w:w="3744"/>
            <w:shd w:fill="F2F7FD"/>
          </w:tcPr>
          <w:p>
            <w:r/>
            <w:r>
              <w:rPr>
                <w:color w:val="404040"/>
                <w:sz w:val="19"/>
              </w:rPr>
              <w:t>The full recipe JSON, a Workato folder ID field (accepts a bare ID, a ?fid= query string, or a full URL — digits are extracted automatically), a Download JSON button, and a Push to Workato button that uses the target credentials entered above.</w:t>
            </w:r>
          </w:p>
        </w:tc>
      </w:tr>
      <w:tr>
        <w:tc>
          <w:tcPr>
            <w:tcW w:type="dxa" w:w="2016"/>
          </w:tcPr>
          <w:p>
            <w:r/>
            <w:r>
              <w:rPr>
                <w:color w:val="404040"/>
                <w:sz w:val="19"/>
              </w:rPr>
              <w:t>Migration Spec</w:t>
            </w:r>
          </w:p>
        </w:tc>
        <w:tc>
          <w:tcPr>
            <w:tcW w:type="dxa" w:w="2592"/>
          </w:tcPr>
          <w:p>
            <w:r/>
            <w:r>
              <w:rPr>
                <w:color w:val="404040"/>
                <w:sz w:val="19"/>
              </w:rPr>
              <w:t>A spec JSON was generated</w:t>
            </w:r>
          </w:p>
        </w:tc>
        <w:tc>
          <w:tcPr>
            <w:tcW w:type="dxa" w:w="3744"/>
          </w:tcPr>
          <w:p>
            <w:r/>
            <w:r>
              <w:rPr>
                <w:color w:val="404040"/>
                <w:sz w:val="19"/>
              </w:rPr>
              <w:t>The platform-agnostic migration spec produced by the Analyze phase.</w:t>
            </w:r>
          </w:p>
        </w:tc>
      </w:tr>
      <w:tr>
        <w:tc>
          <w:tcPr>
            <w:tcW w:type="dxa" w:w="2016"/>
            <w:shd w:fill="F2F7FD"/>
          </w:tcPr>
          <w:p>
            <w:r/>
            <w:r>
              <w:rPr>
                <w:color w:val="404040"/>
                <w:sz w:val="19"/>
              </w:rPr>
              <w:t>Design Document</w:t>
            </w:r>
          </w:p>
        </w:tc>
        <w:tc>
          <w:tcPr>
            <w:tcW w:type="dxa" w:w="2592"/>
            <w:shd w:fill="F2F7FD"/>
          </w:tcPr>
          <w:p>
            <w:r/>
            <w:r>
              <w:rPr>
                <w:color w:val="404040"/>
                <w:sz w:val="19"/>
              </w:rPr>
              <w:t>“Skip document” was unchecked</w:t>
            </w:r>
          </w:p>
        </w:tc>
        <w:tc>
          <w:tcPr>
            <w:tcW w:type="dxa" w:w="3744"/>
            <w:shd w:fill="F2F7FD"/>
          </w:tcPr>
          <w:p>
            <w:r/>
            <w:r>
              <w:rPr>
                <w:color w:val="404040"/>
                <w:sz w:val="19"/>
              </w:rPr>
              <w:t>The generated TechStone-branded Word design document.</w:t>
            </w:r>
          </w:p>
        </w:tc>
      </w:tr>
    </w:tbl>
    <w:p>
      <w:pPr>
        <w:keepNext/>
        <w:spacing w:before="440" w:after="160"/>
        <w:pBdr>
          <w:top w:val="single" w:sz="6" w:space="6" w:color="1F4E79"/>
        </w:pBdr>
      </w:pPr>
      <w:r>
        <w:rPr>
          <w:rFonts w:ascii="Calibri" w:hAnsi="Calibri"/>
          <w:b/>
          <w:color w:val="1F4E79"/>
          <w:sz w:val="34"/>
        </w:rPr>
        <w:t>Mode 2 — Generate from Analysis</w:t>
      </w:r>
    </w:p>
    <w:p>
      <w:pPr>
        <w:spacing w:after="120"/>
      </w:pPr>
      <w:r>
        <w:rPr>
          <w:i w:val="0"/>
          <w:color w:val="404040"/>
          <w:sz w:val="21"/>
        </w:rPr>
        <w:t>Skips pull/analyze/enrich entirely: upload an Analysis.md already produced by a previous migration session, and Claude reads it directly to generate a complete Workato recipe JSON, then pushes it.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fill="1F4E79"/>
          </w:tcPr>
          <w:p>
            <w:r/>
            <w:r>
              <w:rPr>
                <w:b/>
                <w:color w:val="FFFFFF"/>
                <w:sz w:val="19"/>
              </w:rPr>
              <w:t>Field</w:t>
            </w:r>
          </w:p>
        </w:tc>
        <w:tc>
          <w:tcPr>
            <w:tcW w:type="dxa" w:w="1152"/>
            <w:shd w:fill="1F4E79"/>
          </w:tcPr>
          <w:p>
            <w:r/>
            <w:r>
              <w:rPr>
                <w:b/>
                <w:color w:val="FFFFFF"/>
                <w:sz w:val="19"/>
              </w:rPr>
              <w:t>Type</w:t>
            </w:r>
          </w:p>
        </w:tc>
        <w:tc>
          <w:tcPr>
            <w:tcW w:type="dxa" w:w="2448"/>
            <w:shd w:fill="1F4E79"/>
          </w:tcPr>
          <w:p>
            <w:r/>
            <w:r>
              <w:rPr>
                <w:b/>
                <w:color w:val="FFFFFF"/>
                <w:sz w:val="19"/>
              </w:rPr>
              <w:t>Default / placeholder</w:t>
            </w:r>
          </w:p>
        </w:tc>
        <w:tc>
          <w:tcPr>
            <w:tcW w:type="dxa" w:w="3312"/>
            <w:shd w:fill="1F4E79"/>
          </w:tcPr>
          <w:p>
            <w:r/>
            <w:r>
              <w:rPr>
                <w:b/>
                <w:color w:val="FFFFFF"/>
                <w:sz w:val="19"/>
              </w:rPr>
              <w:t>Description</w:t>
            </w:r>
          </w:p>
        </w:tc>
      </w:tr>
      <w:tr>
        <w:tc>
          <w:tcPr>
            <w:tcW w:type="dxa" w:w="2160"/>
          </w:tcPr>
          <w:p>
            <w:r/>
            <w:r>
              <w:rPr>
                <w:color w:val="404040"/>
                <w:sz w:val="19"/>
              </w:rPr>
              <w:t>Analysis file</w:t>
            </w:r>
          </w:p>
        </w:tc>
        <w:tc>
          <w:tcPr>
            <w:tcW w:type="dxa" w:w="1152"/>
          </w:tcPr>
          <w:p>
            <w:r/>
            <w:r>
              <w:rPr>
                <w:color w:val="404040"/>
                <w:sz w:val="19"/>
              </w:rPr>
              <w:t>file upload</w:t>
            </w:r>
          </w:p>
        </w:tc>
        <w:tc>
          <w:tcPr>
            <w:tcW w:type="dxa" w:w="2448"/>
          </w:tcPr>
          <w:p>
            <w:r/>
            <w:r>
              <w:rPr>
                <w:color w:val="404040"/>
                <w:sz w:val="19"/>
              </w:rPr>
              <w:t>.md or .txt, 200MB max</w:t>
            </w:r>
          </w:p>
        </w:tc>
        <w:tc>
          <w:tcPr>
            <w:tcW w:type="dxa" w:w="3312"/>
          </w:tcPr>
          <w:p>
            <w:r/>
            <w:r>
              <w:rPr>
                <w:color w:val="404040"/>
                <w:sz w:val="19"/>
              </w:rPr>
              <w:t>The analysis document to generate a recipe from.</w:t>
            </w:r>
          </w:p>
        </w:tc>
      </w:tr>
      <w:tr>
        <w:tc>
          <w:tcPr>
            <w:tcW w:type="dxa" w:w="2160"/>
            <w:shd w:fill="F2F7FD"/>
          </w:tcPr>
          <w:p>
            <w:r/>
            <w:r>
              <w:rPr>
                <w:color w:val="404040"/>
                <w:sz w:val="19"/>
              </w:rPr>
              <w:t>Folder ID</w:t>
            </w:r>
          </w:p>
        </w:tc>
        <w:tc>
          <w:tcPr>
            <w:tcW w:type="dxa" w:w="1152"/>
            <w:shd w:fill="F2F7FD"/>
          </w:tcPr>
          <w:p>
            <w:r/>
            <w:r>
              <w:rPr>
                <w:color w:val="404040"/>
                <w:sz w:val="19"/>
              </w:rPr>
              <w:t>text</w:t>
            </w:r>
          </w:p>
        </w:tc>
        <w:tc>
          <w:tcPr>
            <w:tcW w:type="dxa" w:w="2448"/>
            <w:shd w:fill="F2F7FD"/>
          </w:tcPr>
          <w:p>
            <w:r/>
            <w:r>
              <w:rPr>
                <w:color w:val="404040"/>
                <w:sz w:val="19"/>
              </w:rPr>
              <w:t>e.g. 31661117 — leave blank for root</w:t>
            </w:r>
          </w:p>
        </w:tc>
        <w:tc>
          <w:tcPr>
            <w:tcW w:type="dxa" w:w="3312"/>
            <w:shd w:fill="F2F7FD"/>
          </w:tcPr>
          <w:p>
            <w:r/>
            <w:r>
              <w:rPr>
                <w:color w:val="404040"/>
                <w:sz w:val="19"/>
              </w:rPr>
              <w:t>Workato folder to push the generated recipe into.</w:t>
            </w:r>
          </w:p>
        </w:tc>
      </w:tr>
      <w:tr>
        <w:tc>
          <w:tcPr>
            <w:tcW w:type="dxa" w:w="2160"/>
          </w:tcPr>
          <w:p>
            <w:r/>
            <w:r>
              <w:rPr>
                <w:color w:val="404040"/>
                <w:sz w:val="19"/>
              </w:rPr>
              <w:t>Recipe name override</w:t>
            </w:r>
          </w:p>
        </w:tc>
        <w:tc>
          <w:tcPr>
            <w:tcW w:type="dxa" w:w="1152"/>
          </w:tcPr>
          <w:p>
            <w:r/>
            <w:r>
              <w:rPr>
                <w:color w:val="404040"/>
                <w:sz w:val="19"/>
              </w:rPr>
              <w:t>text</w:t>
            </w:r>
          </w:p>
        </w:tc>
        <w:tc>
          <w:tcPr>
            <w:tcW w:type="dxa" w:w="2448"/>
          </w:tcPr>
          <w:p>
            <w:r/>
            <w:r>
              <w:rPr>
                <w:color w:val="404040"/>
                <w:sz w:val="19"/>
              </w:rPr>
              <w:t>(uses generated name)</w:t>
            </w:r>
          </w:p>
        </w:tc>
        <w:tc>
          <w:tcPr>
            <w:tcW w:type="dxa" w:w="3312"/>
          </w:tcPr>
          <w:p>
            <w:r/>
            <w:r>
              <w:rPr>
                <w:color w:val="404040"/>
                <w:sz w:val="19"/>
              </w:rPr>
              <w:t>Leave blank to use the name Claude assigns in the generated JSON.</w:t>
            </w:r>
          </w:p>
        </w:tc>
      </w:tr>
      <w:tr>
        <w:tc>
          <w:tcPr>
            <w:tcW w:type="dxa" w:w="2160"/>
            <w:shd w:fill="F2F7FD"/>
          </w:tcPr>
          <w:p>
            <w:r/>
            <w:r>
              <w:rPr>
                <w:color w:val="404040"/>
                <w:sz w:val="19"/>
              </w:rPr>
              <w:t>Target — API Token</w:t>
            </w:r>
          </w:p>
        </w:tc>
        <w:tc>
          <w:tcPr>
            <w:tcW w:type="dxa" w:w="1152"/>
            <w:shd w:fill="F2F7FD"/>
          </w:tcPr>
          <w:p>
            <w:r/>
            <w:r>
              <w:rPr>
                <w:color w:val="404040"/>
                <w:sz w:val="19"/>
              </w:rPr>
              <w:t>password</w:t>
            </w:r>
          </w:p>
        </w:tc>
        <w:tc>
          <w:tcPr>
            <w:tcW w:type="dxa" w:w="2448"/>
            <w:shd w:fill="F2F7FD"/>
          </w:tcPr>
          <w:p>
            <w:r/>
            <w:r>
              <w:rPr>
                <w:color w:val="404040"/>
                <w:sz w:val="19"/>
              </w:rPr>
              <w:t>—</w:t>
            </w:r>
          </w:p>
        </w:tc>
        <w:tc>
          <w:tcPr>
            <w:tcW w:type="dxa" w:w="3312"/>
            <w:shd w:fill="F2F7FD"/>
          </w:tcPr>
          <w:p>
            <w:r/>
            <w:r>
              <w:rPr>
                <w:color w:val="404040"/>
                <w:sz w:val="19"/>
              </w:rPr>
              <w:t>Required before generation can run.</w:t>
            </w:r>
          </w:p>
        </w:tc>
      </w:tr>
      <w:tr>
        <w:tc>
          <w:tcPr>
            <w:tcW w:type="dxa" w:w="2160"/>
          </w:tcPr>
          <w:p>
            <w:r/>
            <w:r>
              <w:rPr>
                <w:color w:val="404040"/>
                <w:sz w:val="19"/>
              </w:rPr>
              <w:t>Target — Account email</w:t>
            </w:r>
          </w:p>
        </w:tc>
        <w:tc>
          <w:tcPr>
            <w:tcW w:type="dxa" w:w="1152"/>
          </w:tcPr>
          <w:p>
            <w:r/>
            <w:r>
              <w:rPr>
                <w:color w:val="404040"/>
                <w:sz w:val="19"/>
              </w:rPr>
              <w:t>text</w:t>
            </w:r>
          </w:p>
        </w:tc>
        <w:tc>
          <w:tcPr>
            <w:tcW w:type="dxa" w:w="2448"/>
          </w:tcPr>
          <w:p>
            <w:r/>
            <w:r>
              <w:rPr>
                <w:color w:val="404040"/>
                <w:sz w:val="19"/>
              </w:rPr>
              <w:t>—</w:t>
            </w:r>
          </w:p>
        </w:tc>
        <w:tc>
          <w:tcPr>
            <w:tcW w:type="dxa" w:w="3312"/>
          </w:tcPr>
          <w:p>
            <w:r/>
            <w:r>
              <w:rPr>
                <w:color w:val="404040"/>
                <w:sz w:val="19"/>
              </w:rPr>
              <w:t>Workato account email.</w:t>
            </w:r>
          </w:p>
        </w:tc>
      </w:tr>
    </w:tbl>
    <w:p>
      <w:pPr>
        <w:spacing w:after="120"/>
      </w:pPr>
      <w:r>
        <w:rPr>
          <w:i w:val="0"/>
          <w:color w:val="6B6B6B"/>
          <w:sz w:val="21"/>
        </w:rPr>
        <w:t>Generate &amp; Push runs generation, shows a success message with the recipe name and step count, offers a 'Review generated recipe JSON before push' expander and a 'Download recipe JSON' button, then pushes to Workato and reports the resulting recipe ID and link (or any connections that still need wiring in the GUI).</w:t>
      </w:r>
    </w:p>
    <w:p>
      <w:pPr>
        <w:keepNext/>
        <w:spacing w:before="440" w:after="160"/>
        <w:pBdr>
          <w:top w:val="single" w:sz="6" w:space="6" w:color="1F4E79"/>
        </w:pBdr>
      </w:pPr>
      <w:r>
        <w:rPr>
          <w:rFonts w:ascii="Calibri" w:hAnsi="Calibri"/>
          <w:b/>
          <w:color w:val="1F4E79"/>
          <w:sz w:val="34"/>
        </w:rPr>
        <w:t>Mode 3 — Push Recipe JSON</w:t>
      </w:r>
    </w:p>
    <w:p>
      <w:pPr>
        <w:spacing w:after="120"/>
      </w:pPr>
      <w:r>
        <w:rPr>
          <w:i w:val="0"/>
          <w:color w:val="404040"/>
          <w:sz w:val="21"/>
        </w:rPr>
        <w:t>For when you already have a recipe JSON file (from a previous Generate run, or built by hand) and just need to push it.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fill="1F4E79"/>
          </w:tcPr>
          <w:p>
            <w:r/>
            <w:r>
              <w:rPr>
                <w:b/>
                <w:color w:val="FFFFFF"/>
                <w:sz w:val="19"/>
              </w:rPr>
              <w:t>Field</w:t>
            </w:r>
          </w:p>
        </w:tc>
        <w:tc>
          <w:tcPr>
            <w:tcW w:type="dxa" w:w="1152"/>
            <w:shd w:fill="1F4E79"/>
          </w:tcPr>
          <w:p>
            <w:r/>
            <w:r>
              <w:rPr>
                <w:b/>
                <w:color w:val="FFFFFF"/>
                <w:sz w:val="19"/>
              </w:rPr>
              <w:t>Type</w:t>
            </w:r>
          </w:p>
        </w:tc>
        <w:tc>
          <w:tcPr>
            <w:tcW w:type="dxa" w:w="2448"/>
            <w:shd w:fill="1F4E79"/>
          </w:tcPr>
          <w:p>
            <w:r/>
            <w:r>
              <w:rPr>
                <w:b/>
                <w:color w:val="FFFFFF"/>
                <w:sz w:val="19"/>
              </w:rPr>
              <w:t>Default / placeholder</w:t>
            </w:r>
          </w:p>
        </w:tc>
        <w:tc>
          <w:tcPr>
            <w:tcW w:type="dxa" w:w="3312"/>
            <w:shd w:fill="1F4E79"/>
          </w:tcPr>
          <w:p>
            <w:r/>
            <w:r>
              <w:rPr>
                <w:b/>
                <w:color w:val="FFFFFF"/>
                <w:sz w:val="19"/>
              </w:rPr>
              <w:t>Description</w:t>
            </w:r>
          </w:p>
        </w:tc>
      </w:tr>
      <w:tr>
        <w:tc>
          <w:tcPr>
            <w:tcW w:type="dxa" w:w="2160"/>
          </w:tcPr>
          <w:p>
            <w:r/>
            <w:r>
              <w:rPr>
                <w:color w:val="404040"/>
                <w:sz w:val="19"/>
              </w:rPr>
              <w:t>Recipe file</w:t>
            </w:r>
          </w:p>
        </w:tc>
        <w:tc>
          <w:tcPr>
            <w:tcW w:type="dxa" w:w="1152"/>
          </w:tcPr>
          <w:p>
            <w:r/>
            <w:r>
              <w:rPr>
                <w:color w:val="404040"/>
                <w:sz w:val="19"/>
              </w:rPr>
              <w:t>file upload</w:t>
            </w:r>
          </w:p>
        </w:tc>
        <w:tc>
          <w:tcPr>
            <w:tcW w:type="dxa" w:w="2448"/>
          </w:tcPr>
          <w:p>
            <w:r/>
            <w:r>
              <w:rPr>
                <w:color w:val="404040"/>
                <w:sz w:val="19"/>
              </w:rPr>
              <w:t>.json only</w:t>
            </w:r>
          </w:p>
        </w:tc>
        <w:tc>
          <w:tcPr>
            <w:tcW w:type="dxa" w:w="3312"/>
          </w:tcPr>
          <w:p>
            <w:r/>
            <w:r>
              <w:rPr>
                <w:color w:val="404040"/>
                <w:sz w:val="19"/>
              </w:rPr>
              <w:t>On upload, a preview line shows the detected recipe name and top-level step count (if the JSON doesn't parse, push is still attempted).</w:t>
            </w:r>
          </w:p>
        </w:tc>
      </w:tr>
      <w:tr>
        <w:tc>
          <w:tcPr>
            <w:tcW w:type="dxa" w:w="2160"/>
            <w:shd w:fill="F2F7FD"/>
          </w:tcPr>
          <w:p>
            <w:r/>
            <w:r>
              <w:rPr>
                <w:color w:val="404040"/>
                <w:sz w:val="19"/>
              </w:rPr>
              <w:t>Folder ID</w:t>
            </w:r>
          </w:p>
        </w:tc>
        <w:tc>
          <w:tcPr>
            <w:tcW w:type="dxa" w:w="1152"/>
            <w:shd w:fill="F2F7FD"/>
          </w:tcPr>
          <w:p>
            <w:r/>
            <w:r>
              <w:rPr>
                <w:color w:val="404040"/>
                <w:sz w:val="19"/>
              </w:rPr>
              <w:t>text</w:t>
            </w:r>
          </w:p>
        </w:tc>
        <w:tc>
          <w:tcPr>
            <w:tcW w:type="dxa" w:w="2448"/>
            <w:shd w:fill="F2F7FD"/>
          </w:tcPr>
          <w:p>
            <w:r/>
            <w:r>
              <w:rPr>
                <w:color w:val="404040"/>
                <w:sz w:val="19"/>
              </w:rPr>
              <w:t>e.g. 31661117 — leave blank for root</w:t>
            </w:r>
          </w:p>
        </w:tc>
        <w:tc>
          <w:tcPr>
            <w:tcW w:type="dxa" w:w="3312"/>
            <w:shd w:fill="F2F7FD"/>
          </w:tcPr>
          <w:p>
            <w:r/>
            <w:r>
              <w:rPr>
                <w:color w:val="404040"/>
                <w:sz w:val="19"/>
              </w:rPr>
              <w:t>Workato folder to push into.</w:t>
            </w:r>
          </w:p>
        </w:tc>
      </w:tr>
      <w:tr>
        <w:tc>
          <w:tcPr>
            <w:tcW w:type="dxa" w:w="2160"/>
          </w:tcPr>
          <w:p>
            <w:r/>
            <w:r>
              <w:rPr>
                <w:color w:val="404040"/>
                <w:sz w:val="19"/>
              </w:rPr>
              <w:t>Recipe name override</w:t>
            </w:r>
          </w:p>
        </w:tc>
        <w:tc>
          <w:tcPr>
            <w:tcW w:type="dxa" w:w="1152"/>
          </w:tcPr>
          <w:p>
            <w:r/>
            <w:r>
              <w:rPr>
                <w:color w:val="404040"/>
                <w:sz w:val="19"/>
              </w:rPr>
              <w:t>text</w:t>
            </w:r>
          </w:p>
        </w:tc>
        <w:tc>
          <w:tcPr>
            <w:tcW w:type="dxa" w:w="2448"/>
          </w:tcPr>
          <w:p>
            <w:r/>
            <w:r>
              <w:rPr>
                <w:color w:val="404040"/>
                <w:sz w:val="19"/>
              </w:rPr>
              <w:t>(uses name from JSON)</w:t>
            </w:r>
          </w:p>
        </w:tc>
        <w:tc>
          <w:tcPr>
            <w:tcW w:type="dxa" w:w="3312"/>
          </w:tcPr>
          <w:p>
            <w:r/>
            <w:r>
              <w:rPr>
                <w:color w:val="404040"/>
                <w:sz w:val="19"/>
              </w:rPr>
              <w:t>Leave blank to use the recipe's own name field.</w:t>
            </w:r>
          </w:p>
        </w:tc>
      </w:tr>
      <w:tr>
        <w:tc>
          <w:tcPr>
            <w:tcW w:type="dxa" w:w="2160"/>
            <w:shd w:fill="F2F7FD"/>
          </w:tcPr>
          <w:p>
            <w:r/>
            <w:r>
              <w:rPr>
                <w:color w:val="404040"/>
                <w:sz w:val="19"/>
              </w:rPr>
              <w:t>Target — API Token</w:t>
            </w:r>
          </w:p>
        </w:tc>
        <w:tc>
          <w:tcPr>
            <w:tcW w:type="dxa" w:w="1152"/>
            <w:shd w:fill="F2F7FD"/>
          </w:tcPr>
          <w:p>
            <w:r/>
            <w:r>
              <w:rPr>
                <w:color w:val="404040"/>
                <w:sz w:val="19"/>
              </w:rPr>
              <w:t>password</w:t>
            </w:r>
          </w:p>
        </w:tc>
        <w:tc>
          <w:tcPr>
            <w:tcW w:type="dxa" w:w="2448"/>
            <w:shd w:fill="F2F7FD"/>
          </w:tcPr>
          <w:p>
            <w:r/>
            <w:r>
              <w:rPr>
                <w:color w:val="404040"/>
                <w:sz w:val="19"/>
              </w:rPr>
              <w:t>—</w:t>
            </w:r>
          </w:p>
        </w:tc>
        <w:tc>
          <w:tcPr>
            <w:tcW w:type="dxa" w:w="3312"/>
            <w:shd w:fill="F2F7FD"/>
          </w:tcPr>
          <w:p>
            <w:r/>
            <w:r>
              <w:rPr>
                <w:color w:val="404040"/>
                <w:sz w:val="19"/>
              </w:rPr>
              <w:t>Required before push can run.</w:t>
            </w:r>
          </w:p>
        </w:tc>
      </w:tr>
      <w:tr>
        <w:tc>
          <w:tcPr>
            <w:tcW w:type="dxa" w:w="2160"/>
          </w:tcPr>
          <w:p>
            <w:r/>
            <w:r>
              <w:rPr>
                <w:color w:val="404040"/>
                <w:sz w:val="19"/>
              </w:rPr>
              <w:t>Target — Account email</w:t>
            </w:r>
          </w:p>
        </w:tc>
        <w:tc>
          <w:tcPr>
            <w:tcW w:type="dxa" w:w="1152"/>
          </w:tcPr>
          <w:p>
            <w:r/>
            <w:r>
              <w:rPr>
                <w:color w:val="404040"/>
                <w:sz w:val="19"/>
              </w:rPr>
              <w:t>text</w:t>
            </w:r>
          </w:p>
        </w:tc>
        <w:tc>
          <w:tcPr>
            <w:tcW w:type="dxa" w:w="2448"/>
          </w:tcPr>
          <w:p>
            <w:r/>
            <w:r>
              <w:rPr>
                <w:color w:val="404040"/>
                <w:sz w:val="19"/>
              </w:rPr>
              <w:t>—</w:t>
            </w:r>
          </w:p>
        </w:tc>
        <w:tc>
          <w:tcPr>
            <w:tcW w:type="dxa" w:w="3312"/>
          </w:tcPr>
          <w:p>
            <w:r/>
            <w:r>
              <w:rPr>
                <w:color w:val="404040"/>
                <w:sz w:val="19"/>
              </w:rPr>
              <w:t>Workato account email.</w:t>
            </w:r>
          </w:p>
        </w:tc>
      </w:tr>
    </w:tbl>
    <w:p>
      <w:pPr>
        <w:spacing w:after="120"/>
      </w:pPr>
      <w:r>
        <w:rPr>
          <w:i w:val="0"/>
          <w:color w:val="6B6B6B"/>
          <w:sz w:val="21"/>
        </w:rPr>
        <w:t>Push Recipe pushes the uploaded JSON as-is and reports the resulting recipe ID and link, or the push error if it failed.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