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15="http://schemas.microsoft.com/office/word/2012/wordml">
  <w:body>
    <w:p>
      <w:pPr>
        <w:spacing w:after="120"/>
      </w:pPr>
    </w:p>
    <w:p>
      <w:pPr>
        <w:spacing w:after="120"/>
      </w:pPr>
    </w:p>
    <w:p>
      <w:pPr>
        <w:spacing w:after="120"/>
      </w:pPr>
    </w:p>
    <w:p>
      <w:pPr>
        <w:spacing w:after="120"/>
      </w:pPr>
    </w:p>
    <w:p>
      <w:pPr>
        <w:jc w:val="center"/>
        <w:spacing w:before="0" w:after="240"/>
      </w:pPr>
      <w:r>
        <w:rPr>
          <w:b/>
          <w:caps/>
          <w:sz w:val="56"/>
          <w:szCs w:val="56"/>
          <w:color w:val="1F3864"/>
        </w:rPr>
        <w:t xml:space="preserve">iPaaS Migration Agent</w:t>
      </w:r>
    </w:p>
    <w:p>
      <w:pPr>
        <w:jc w:val="center"/>
        <w:spacing w:before="0" w:after="120"/>
      </w:pPr>
      <w:r>
        <w:rPr>
          <w:i/>
          <w:sz w:val="26"/>
          <w:szCs w:val="26"/>
          <w:color w:val="2B579A"/>
        </w:rPr>
        <w:t xml:space="preserve">Technical Reference &amp; Architecture Guide</w:t>
      </w:r>
    </w:p>
    <w:p>
      <w:pPr>
        <w:spacing w:after="120"/>
      </w:pPr>
    </w:p>
    <w:p>
      <w:pPr>
        <w:jc w:val="center"/>
        <w:spacing w:before="0" w:after="240"/>
      </w:pPr>
      <w:r>
        <w:rPr>
          <w:sz w:val="20"/>
          <w:szCs w:val="20"/>
          <w:color w:val="2B579A"/>
        </w:rPr>
        <w:t>━━━━━━━━━━━━━━━━━━━━━━━━━━━━━━━━━━━━━━━━━━━━━━━━━━━━━━━━━━━━</w:t>
      </w:r>
    </w:p>
    <w:p>
      <w:pPr>
        <w:jc w:val="center"/>
        <w:spacing w:before="0" w:after="120"/>
      </w:pPr>
      <w:r>
        <w:rPr>
          <w:i/>
          <w:sz w:val="26"/>
          <w:szCs w:val="26"/>
          <w:color w:val="2B579A"/>
        </w:rPr>
        <w:t xml:space="preserve">End-to-End Documentation: UI · Orchestrator · Analyzers · Enrichers · Generators · Validators</w:t>
      </w:r>
    </w:p>
    <w:p>
      <w:pPr>
        <w:spacing w:after="120"/>
      </w:pPr>
    </w:p>
    <w:p>
      <w:pPr>
        <w:spacing w:after="120"/>
      </w:pPr>
    </w:p>
    <w:p>
      <w:pPr>
        <w:spacing w:after="120"/>
      </w:pPr>
    </w:p>
    <w:p>
      <w:pPr>
        <w:jc w:val="center"/>
      </w:pPr>
      <w:r>
        <w:rPr>
          <w:b/>
          <w:sz w:val="22"/>
          <w:szCs w:val="22"/>
          <w:color w:val="1F3864"/>
        </w:rPr>
        <w:t xml:space="preserve">Techstone Technology Partners LLC</w:t>
      </w:r>
    </w:p>
    <w:p>
      <w:pPr>
        <w:jc w:val="center"/>
      </w:pPr>
      <w:r>
        <w:rPr>
          <w:sz w:val="20"/>
          <w:szCs w:val="20"/>
          <w:color w:val="595959"/>
        </w:rPr>
        <w:t xml:space="preserve">June 2026</w:t>
      </w:r>
    </w:p>
    <w:p>
      <w:r>
        <w:br w:type="page"/>
      </w:r>
    </w:p>
    <w:p>
      <w:pPr>
        <w:pStyle w:val="Heading1"/>
        <w:spacing w:before="360" w:after="120"/>
        <w:pBdr>
          <w:bottom w:val="single" w:sz="6" w:space="1" w:color="2B579A"/>
        </w:pBdr>
      </w:pPr>
      <w:r>
        <w:rPr>
          <w:b/>
          <w:sz w:val="32"/>
          <w:szCs w:val="32"/>
          <w:color w:val="1F3864"/>
        </w:rPr>
        <w:t xml:space="preserve">Executive Summary</w:t>
      </w:r>
    </w:p>
    <w:p>
      <w:pPr>
        <w:spacing w:after="120"/>
      </w:pPr>
      <w:r>
        <w:t xml:space="preserve">The iPaaS Migration Agent is a platform-agnostic integration translation engine that extracts integration logic from seven source platforms, normalises it into a canonical JSON specification, optionally enriches it with LLM assistance, and generates deployable artifacts for four target platforms — all through a single Streamlit user interface or CLI command.</w:t>
      </w:r>
    </w:p>
    <w:p>
      <w:pPr>
        <w:spacing w:after="120"/>
      </w:pPr>
    </w:p>
    <w:p>
      <w:pPr>
        <w:pStyle w:val="Heading2"/>
        <w:spacing w:before="240" w:after="80"/>
      </w:pPr>
      <w:r>
        <w:rPr>
          <w:b/>
          <w:sz w:val="26"/>
          <w:szCs w:val="26"/>
          <w:color w:val="2B579A"/>
        </w:rPr>
        <w:t xml:space="preserve">Platform Coverage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Role</w:t>
            </w:r>
          </w:p>
        </w:tc>
        <w:tc>
          <w:tcPr>
            <w:tcW w:w="7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Platforms</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 xml:space="preserve">Source (7)</w:t>
            </w:r>
          </w:p>
        </w:tc>
        <w:tc>
          <w:tcPr>
            <w:tcW w:w="7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 · MuleSoft · Workato · Celigo · webMethods · Oracle SOA/EBS · Oracle Integration Cloud</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 xml:space="preserve">Target (4)</w:t>
            </w:r>
          </w:p>
        </w:tc>
        <w:tc>
          <w:tcPr>
            <w:tcW w:w="7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 · Workato · Celigo · webMethods.io</w:t>
            </w:r>
          </w:p>
        </w:tc>
      </w:tr>
    </w:tbl>
    <w:p>
      <w:pPr>
        <w:spacing w:after="120"/>
      </w:pPr>
    </w:p>
    <w:p>
      <w:pPr>
        <w:pStyle w:val="Heading2"/>
        <w:spacing w:before="240" w:after="80"/>
      </w:pPr>
      <w:r>
        <w:rPr>
          <w:b/>
          <w:sz w:val="26"/>
          <w:szCs w:val="26"/>
          <w:color w:val="2B579A"/>
        </w:rPr>
        <w:t xml:space="preserve">Core Principles</w:t>
      </w:r>
    </w:p>
    <w:p>
      <w:pPr>
        <w:ind w:left="720" w:hanging="360"/>
        <w:spacing w:after="60"/>
      </w:pPr>
      <w:r>
        <w:rPr>
          <w:sz w:val="20"/>
          <w:szCs w:val="20"/>
        </w:rPr>
        <w:t>•  </w:t>
      </w:r>
      <w:r>
        <w:t xml:space="preserve">Spec-first: every migration flows through a platform-agnostic JSON spec — never directly from source to target</w:t>
      </w:r>
    </w:p>
    <w:p>
      <w:pPr>
        <w:ind w:left="720" w:hanging="360"/>
        <w:spacing w:after="60"/>
      </w:pPr>
      <w:r>
        <w:rPr>
          <w:sz w:val="20"/>
          <w:szCs w:val="20"/>
        </w:rPr>
        <w:t>•  </w:t>
      </w:r>
      <w:r>
        <w:t xml:space="preserve">Pluggable: adding a new source or target requires implementing only one analyzer or generator</w:t>
      </w:r>
    </w:p>
    <w:p>
      <w:pPr>
        <w:ind w:left="720" w:hanging="360"/>
        <w:spacing w:after="60"/>
      </w:pPr>
      <w:r>
        <w:rPr>
          <w:sz w:val="20"/>
          <w:szCs w:val="20"/>
        </w:rPr>
        <w:t>•  </w:t>
      </w:r>
      <w:r>
        <w:t xml:space="preserve">LLM-augmented: the enricher calls Claude API to fill gaps that rule-based parsers cannot handle (DataWeave, XPath, complex logic)</w:t>
      </w:r>
    </w:p>
    <w:p>
      <w:pPr>
        <w:ind w:left="720" w:hanging="360"/>
        <w:spacing w:after="60"/>
      </w:pPr>
      <w:r>
        <w:rPr>
          <w:sz w:val="20"/>
          <w:szCs w:val="20"/>
        </w:rPr>
        <w:t>•  </w:t>
      </w:r>
      <w:r>
        <w:t xml:space="preserve">Continuity: migration specs persist across sessions so work is never lost or duplicated</w:t>
      </w:r>
    </w:p>
    <w:p>
      <w:pPr>
        <w:ind w:left="720" w:hanging="360"/>
        <w:spacing w:after="60"/>
      </w:pPr>
      <w:r>
        <w:rPr>
          <w:sz w:val="20"/>
          <w:szCs w:val="20"/>
        </w:rPr>
        <w:t>•  </w:t>
      </w:r>
      <w:r>
        <w:t xml:space="preserve">Validated: logic preservation is scored quantitatively before and after generation</w:t>
      </w:r>
    </w:p>
    <w:p>
      <w:pPr>
        <w:spacing w:after="120"/>
      </w:pPr>
    </w:p>
    <w:p>
      <w:r>
        <w:br w:type="page"/>
      </w:r>
    </w:p>
    <w:p>
      <w:pPr>
        <w:pStyle w:val="Heading1"/>
        <w:spacing w:before="360" w:after="120"/>
        <w:pBdr>
          <w:bottom w:val="single" w:sz="6" w:space="1" w:color="2B579A"/>
        </w:pBdr>
      </w:pPr>
      <w:r>
        <w:rPr>
          <w:b/>
          <w:sz w:val="32"/>
          <w:szCs w:val="32"/>
          <w:color w:val="1F3864"/>
        </w:rPr>
        <w:t xml:space="preserve">System Architecture</w:t>
      </w:r>
    </w:p>
    <w:p>
      <w:pPr>
        <w:spacing w:after="120"/>
      </w:pPr>
      <w:r>
        <w:t xml:space="preserve">The agent is structured as five pipeline phases with clean handoff boundaries. The canonical migration spec is the single point of truth shared by all phases.</w:t>
      </w:r>
    </w:p>
    <w:p>
      <w:pPr>
        <w:spacing w:after="120"/>
      </w:pPr>
    </w:p>
    <w:p>
      <w:pPr>
        <w:pStyle w:val="Heading2"/>
        <w:spacing w:before="240" w:after="80"/>
      </w:pPr>
      <w:r>
        <w:rPr>
          <w:b/>
          <w:sz w:val="26"/>
          <w:szCs w:val="26"/>
          <w:color w:val="2B579A"/>
        </w:rPr>
        <w:t xml:space="preserve">Layer Diagram</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SYSTEM ARCHITECTURE</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STREAMLIT UI  (app.py)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Source selector · Credential forms · Options · Run button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ORCHESTRATION ENGINE  (migrate.py)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--pull--&gt; --analyze--&gt; --enrich--&gt; --generate--&gt; --validate--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v               v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[PULL PHASE]   [ANALYZERS]     [ENRICHERS]  [GENERATORS]  [VALIDATORS]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Boomi skill    7 source        Claude API   4 target      Logic score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scripts        parsers         (optional)   generators    &amp; checklist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v               v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active-dev/    migration-      enriched     platform      coverage_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XML files      specs/*.json    spec JSON    artifacts     report.json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w:t>
      </w:r>
    </w:p>
    <w:p>
      <w:pPr>
        <w:spacing w:after="120"/>
      </w:pPr>
    </w:p>
    <w:p>
      <w:pPr>
        <w:pStyle w:val="Heading2"/>
        <w:spacing w:before="240" w:after="80"/>
      </w:pPr>
      <w:r>
        <w:rPr>
          <w:b/>
          <w:sz w:val="26"/>
          <w:szCs w:val="26"/>
          <w:color w:val="2B579A"/>
        </w:rPr>
        <w:t xml:space="preserve">Five-Phase Pipeline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1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Phase</w:t>
            </w:r>
          </w:p>
        </w:tc>
        <w:tc>
          <w:tcPr>
            <w:tcW w:w="1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Name</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Script</w:t>
            </w:r>
          </w:p>
        </w:tc>
        <w:tc>
          <w:tcPr>
            <w:tcW w:w="4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Output</w:t>
            </w:r>
          </w:p>
        </w:tc>
      </w:tr>
      <w:tr>
        <w:tc>
          <w:tcPr>
            <w:tcW w:w="14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0</w:t>
            </w:r>
          </w:p>
        </w:tc>
        <w:tc>
          <w:tcPr>
            <w:tcW w:w="1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Pull</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boomi-integration skill scripts</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active-development/ XML files</w:t>
            </w:r>
          </w:p>
        </w:tc>
      </w:tr>
      <w:tr>
        <w:tc>
          <w:tcPr>
            <w:tcW w:w="14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1</w:t>
            </w:r>
          </w:p>
        </w:tc>
        <w:tc>
          <w:tcPr>
            <w:tcW w:w="1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Analyze</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analyze_&lt;source&gt;.py</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migration-specs/&lt;project&gt;.json</w:t>
            </w:r>
          </w:p>
        </w:tc>
      </w:tr>
      <w:tr>
        <w:tc>
          <w:tcPr>
            <w:tcW w:w="14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1.5</w:t>
            </w:r>
          </w:p>
        </w:tc>
        <w:tc>
          <w:tcPr>
            <w:tcW w:w="1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Enrich (optional)</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enrich_spec.py</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Enriched spec + _assessment.md</w:t>
            </w:r>
          </w:p>
        </w:tc>
      </w:tr>
      <w:tr>
        <w:tc>
          <w:tcPr>
            <w:tcW w:w="14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2</w:t>
            </w:r>
          </w:p>
        </w:tc>
        <w:tc>
          <w:tcPr>
            <w:tcW w:w="1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Generate</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generate_&lt;target&gt;.py</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Platform artifacts (recipes / XML / workflows)</w:t>
            </w:r>
          </w:p>
        </w:tc>
      </w:tr>
      <w:tr>
        <w:tc>
          <w:tcPr>
            <w:tcW w:w="14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2.5</w:t>
            </w:r>
          </w:p>
        </w:tc>
        <w:tc>
          <w:tcPr>
            <w:tcW w:w="1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Validate (optional)</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validate_logic.py</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coverage_report.json + review_checklist.md</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User Interface  (app.py)</w:t>
      </w:r>
    </w:p>
    <w:p>
      <w:pPr>
        <w:spacing w:after="120"/>
      </w:pPr>
      <w:r>
        <w:t xml:space="preserve">The UI is built with Streamlit and provides a web form that constructs and streams a migrate.py subprocess, displaying real-time output and the generated spec when migration completes. It runs at http://localhost:8501.</w:t>
      </w:r>
    </w:p>
    <w:p>
      <w:pPr>
        <w:spacing w:after="120"/>
      </w:pPr>
    </w:p>
    <w:p>
      <w:pPr>
        <w:pStyle w:val="Heading2"/>
        <w:spacing w:before="240" w:after="80"/>
      </w:pPr>
      <w:r>
        <w:rPr>
          <w:b/>
          <w:sz w:val="26"/>
          <w:szCs w:val="26"/>
          <w:color w:val="2B579A"/>
        </w:rPr>
        <w:t xml:space="preserve">Screen Layout</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UI LAYOUT — app.py  (http://localhost:8501)</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SOURCE SYSTEM                |  TARGET SYSTEM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 Platform v ]               |  [ Platform v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Credential fields            |  Credential fields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(per platform)               |  (per platform)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MIGRATION OPTIONS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Project name [ auto ]   Destination folder [ MIG_&lt;name&gt;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[x] Dry run (no push)   [x] Skip analyze (reuse spec)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 RUN MIGRATION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LIVE OUTPUT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0: Pulling Boomi components...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1: Analyzing MuleSoft flows...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[v] Generated spec JSON (expandable)                        |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              </w:t>
      </w:r>
    </w:p>
    <w:p>
      <w:pPr>
        <w:spacing w:after="120"/>
      </w:pPr>
    </w:p>
    <w:p>
      <w:pPr>
        <w:pStyle w:val="Heading2"/>
        <w:spacing w:before="240" w:after="80"/>
      </w:pPr>
      <w:r>
        <w:rPr>
          <w:b/>
          <w:sz w:val="26"/>
          <w:szCs w:val="26"/>
          <w:color w:val="2B579A"/>
        </w:rPr>
        <w:t xml:space="preserve">Source Credential Forms by Platform</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Platform</w:t>
            </w:r>
          </w:p>
        </w:tc>
        <w:tc>
          <w:tcPr>
            <w:tcW w:w="4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Credential Fields</w:t>
            </w:r>
          </w:p>
        </w:tc>
        <w:tc>
          <w:tcPr>
            <w:tcW w:w="3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Source Options</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Boomi</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URL, Account ID, Username, API Token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Folder name to pull</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MuleSoft</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(no live pull — files already on disk)</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Local project directory</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Workato</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Token, Email</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Integration filter (optional)</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Celigo</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Token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Integration filter (optional)</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webMethods</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Tenant URL, Username, Password</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Workflow filter (optional)</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 xml:space="preserve">Oracle SOA</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Host, Port, Username, Password, Partition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Composite filter / local SAR dir</w:t>
            </w:r>
          </w:p>
        </w:tc>
      </w:tr>
      <w:tr>
        <w:tc>
          <w:tcPr>
            <w:tcW w:w="20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 xml:space="preserve">Oracle OIC</w:t>
            </w:r>
          </w:p>
        </w:tc>
        <w:tc>
          <w:tcPr>
            <w:tcW w:w="4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Host, Port, Username, Password, Version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Integration filter / local .iar dir</w:t>
            </w:r>
          </w:p>
        </w:tc>
      </w:tr>
    </w:tbl>
    <w:p>
      <w:pPr>
        <w:spacing w:after="120"/>
      </w:pPr>
    </w:p>
    <w:p>
      <w:pPr>
        <w:pStyle w:val="Heading2"/>
        <w:spacing w:before="240" w:after="80"/>
      </w:pPr>
      <w:r>
        <w:rPr>
          <w:b/>
          <w:sz w:val="26"/>
          <w:szCs w:val="26"/>
          <w:color w:val="2B579A"/>
        </w:rPr>
        <w:t xml:space="preserve">Key Functions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Function</w:t>
            </w:r>
          </w:p>
        </w:tc>
        <w:tc>
          <w:tcPr>
            <w:tcW w:w="65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Purpose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source_credential_form(platform)</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Renders dynamic credential input fields for the chosen source platform</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source_options_form(platform)</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Renders source-specific options (folder names, local directory paths)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target_credential_form(platform)</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Renders target platform credential inputs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build_migrate_cmd()</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Constructs the migrate.py CLI argument list from form state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stream_subprocess()</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Runs migrate.py in a thread, pipes stdout/stderr to a queue for real-time display</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Orchestration Engine  (migrate.py)</w:t>
      </w:r>
    </w:p>
    <w:p>
      <w:pPr>
        <w:spacing w:after="120"/>
      </w:pPr>
      <w:r>
        <w:t xml:space="preserve">migrate.py is the single entry point that chains all phases together. It can be invoked directly from the CLI or driven by the Streamlit UI. Each phase is independently skippable to support resuming long migrations.</w:t>
      </w:r>
    </w:p>
    <w:p>
      <w:pPr>
        <w:spacing w:after="120"/>
      </w:pPr>
    </w:p>
    <w:p>
      <w:pPr>
        <w:pStyle w:val="Heading2"/>
        <w:spacing w:before="240" w:after="80"/>
      </w:pPr>
      <w:r>
        <w:rPr>
          <w:b/>
          <w:sz w:val="26"/>
          <w:szCs w:val="26"/>
          <w:color w:val="2B579A"/>
        </w:rPr>
        <w:t xml:space="preserve">Pipeline Flow</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MIGRATION PIPELINE — migrate.py</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User Input (UI form or CLI args)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0 — PULL     |  (Boomi source only)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boomi-component-   |  Searches Boomi account, pulls component XMLs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search.sh + pull.sh|  --&gt; active-development/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1 — ANALYZE  |  analyze_&lt;source&gt;.py parses source artifacts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7 analyzers        |  --&gt;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(if ANTHROPIC_API_KEY set and --skip-enrich not passed)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1.5 — ENRICH |  enrich_spec.py calls Claude API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  Fills field mappings, Groovy scripts, gap resolutions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2 — GENERATE |  generate_&lt;target&gt;.py reads enriched spec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4 generators       |  --&gt; pushes to target platform API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(if --skip-validate not passed)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2.5 — VALID. |  validate_logic.py scores logic preservation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validate_logic.py  |  --&gt; coverage_report.json + review_checklist.md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                                                         </w:t>
      </w:r>
    </w:p>
    <w:p>
      <w:pPr>
        <w:spacing w:after="120"/>
      </w:pPr>
    </w:p>
    <w:p>
      <w:pPr>
        <w:pStyle w:val="Heading2"/>
        <w:spacing w:before="240" w:after="80"/>
      </w:pPr>
      <w:r>
        <w:rPr>
          <w:b/>
          <w:sz w:val="26"/>
          <w:szCs w:val="26"/>
          <w:color w:val="2B579A"/>
        </w:rPr>
        <w:t xml:space="preserve">Key CLI Arguments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Argument</w:t>
            </w:r>
          </w:p>
        </w:tc>
        <w:tc>
          <w:tcPr>
            <w:tcW w:w="1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Required</w:t>
            </w:r>
          </w:p>
        </w:tc>
        <w:tc>
          <w:tcPr>
            <w:tcW w:w="57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--from</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Yes</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Source platform: boomi | mulesoft | workato | celigo | webmethods | oracle_soa | oracle_oic</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--to</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Yes</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Target platform: boomi | workato | celigo | webmethods</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--boomi-folder</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 folder name to pull (required when --from boomi without --source-dir)</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--source-dir</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Local directory of already-downloaded source files (skips pull phase)</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--project</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Project name for output naming (auto-detected from source files if omitted)</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--dest-name</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Destination folder/project on target platform (default: MIG_&lt;project&gt;)</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--dry-run</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Generate artifacts without pushing to target platform</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--skip-pull</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Use already-downloaded files in active-development/</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--skip-analyze</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Use existing spec file (skip re-analysis, resume from previous session)</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--skip-enrich</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Skip LLM enrichment pass</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--enrich-model</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Claude model for enrichment (default: claude-opus-4-7)</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--fail-below</w:t>
            </w:r>
          </w:p>
        </w:tc>
        <w:tc>
          <w:tcPr>
            <w:tcW w:w="1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Exit with error if logic preservation score falls below this percentage</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Analyzers  (Phase 1)</w:t>
      </w:r>
    </w:p>
    <w:p>
      <w:pPr>
        <w:spacing w:after="120"/>
      </w:pPr>
      <w:r>
        <w:t xml:space="preserve">Each analyzer is a standalone Python script that reads source platform artifacts and produces the canonical migration spec JSON. Analyzers are platform-specific but their outputs are platform-agnostic — the spec is the shared contract with all generators.</w:t>
      </w:r>
    </w:p>
    <w:p>
      <w:pPr>
        <w:spacing w:after="120"/>
      </w:pPr>
    </w:p>
    <w:p>
      <w:pPr>
        <w:pStyle w:val="Heading2"/>
        <w:spacing w:before="240" w:after="80"/>
      </w:pPr>
      <w:r>
        <w:rPr>
          <w:b/>
          <w:sz w:val="26"/>
          <w:szCs w:val="26"/>
          <w:color w:val="2B579A"/>
        </w:rPr>
        <w:t xml:space="preserve">Analyzer Registry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Analyzer</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Source Platform</w:t>
            </w:r>
          </w:p>
        </w:tc>
        <w:tc>
          <w:tcPr>
            <w:tcW w:w="2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Input Source</w:t>
            </w:r>
          </w:p>
        </w:tc>
        <w:tc>
          <w:tcPr>
            <w:tcW w:w="2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Approx. Lines</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analyze_boomi.py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Boomi</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XML component directory</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896</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analyze_mulesoft.py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MuleSoft 4.x</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Mule XML flow files</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954</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analyze_workato.py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Workato</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Live API or recipe JSON</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828</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analyze_celigo.py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Celigo</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Live API or flow JSON</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244</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analyze_webmethods.py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webMethods IS/io</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IS flow XML or wmio JSON</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280</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analyze_oracle_soa.py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Oracle SOA/EBS</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SOA REST API or SAR files</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1530</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analyze_oracle_oic.py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Oracle OIC</w:t>
            </w:r>
          </w:p>
        </w:tc>
        <w:tc>
          <w:tcPr>
            <w:tcW w:w="2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OIC API or .iar exports</w:t>
            </w:r>
          </w:p>
        </w:tc>
        <w:tc>
          <w:tcPr>
            <w:tcW w:w="22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861</w:t>
            </w:r>
          </w:p>
        </w:tc>
      </w:tr>
    </w:tbl>
    <w:p>
      <w:pPr>
        <w:spacing w:after="120"/>
      </w:pPr>
    </w:p>
    <w:p>
      <w:pPr>
        <w:pStyle w:val="Heading2"/>
        <w:spacing w:before="240" w:after="80"/>
      </w:pPr>
      <w:r>
        <w:rPr>
          <w:b/>
          <w:sz w:val="26"/>
          <w:szCs w:val="26"/>
          <w:color w:val="2B579A"/>
        </w:rPr>
        <w:t>analyze_boomi.py</w:t>
      </w:r>
    </w:p>
    <w:p>
      <w:pPr>
        <w:spacing w:after="120"/>
      </w:pPr>
      <w:r>
        <w:t xml:space="preserve">Reads Boomi active-development/ XML component directory. Parses process shapes (start, map, message, set properties, decision, route, branch, connector actions, Groovy scripts), WSS operations for HTTP triggers, database operations with SQL extraction, and connection components.</w:t>
      </w:r>
    </w:p>
    <w:p>
      <w:pPr>
        <w:pStyle w:val="Heading2"/>
        <w:spacing w:before="240" w:after="80"/>
      </w:pPr>
      <w:r>
        <w:rPr>
          <w:b/>
          <w:sz w:val="26"/>
          <w:szCs w:val="26"/>
          <w:color w:val="2B579A"/>
        </w:rPr>
        <w:t>analyze_mulesoft.py</w:t>
      </w:r>
    </w:p>
    <w:p>
      <w:pPr>
        <w:spacing w:after="120"/>
      </w:pPr>
      <w:r>
        <w:t xml:space="preserve">Reads MuleSoft 4.x XML flow files from src/main/mule/ or a provided directory. Supports all MuleSoft namespaces: core, HTTP, DB, EE (DataWeave), File, SFTP, Salesforce, Email, JMS, VM, Batch, Kafka, AMQP, SQS. Handles nested constructs (choice branches, try/catch scopes, foreach loops) recursively.</w:t>
      </w:r>
    </w:p>
    <w:p>
      <w:pPr>
        <w:pStyle w:val="Heading2"/>
        <w:spacing w:before="240" w:after="80"/>
      </w:pPr>
      <w:r>
        <w:rPr>
          <w:b/>
          <w:sz w:val="26"/>
          <w:szCs w:val="26"/>
          <w:color w:val="2B579A"/>
        </w:rPr>
        <w:t>analyze_workato.py</w:t>
      </w:r>
    </w:p>
    <w:p>
      <w:pPr>
        <w:spacing w:after="120"/>
      </w:pPr>
      <w:r>
        <w:t xml:space="preserve">Reads live Workato API or exported recipe JSON. Supports regional URL routing (US/EU/SG/JP) via token prefix detection. Parses recipe triggers, actions, and connections from Workato's nested recipe step structure.</w:t>
      </w:r>
    </w:p>
    <w:p>
      <w:pPr>
        <w:pStyle w:val="Heading2"/>
        <w:spacing w:before="240" w:after="80"/>
      </w:pPr>
      <w:r>
        <w:rPr>
          <w:b/>
          <w:sz w:val="26"/>
          <w:szCs w:val="26"/>
          <w:color w:val="2B579A"/>
        </w:rPr>
        <w:t>analyze_webmethods.py</w:t>
      </w:r>
    </w:p>
    <w:p>
      <w:pPr>
        <w:spacing w:after="120"/>
      </w:pPr>
      <w:r>
        <w:t xml:space="preserve">Supports both on-premises webMethods Integration Server (IS) flow XML and cloud webMethods.io workflow JSON exports from a single analyzer, detecting the format from the file structure.</w:t>
      </w:r>
    </w:p>
    <w:p>
      <w:pPr>
        <w:pStyle w:val="Heading2"/>
        <w:spacing w:before="240" w:after="80"/>
      </w:pPr>
      <w:r>
        <w:rPr>
          <w:b/>
          <w:sz w:val="26"/>
          <w:szCs w:val="26"/>
          <w:color w:val="2B579A"/>
        </w:rPr>
        <w:t>analyze_oracle_soa.py</w:t>
      </w:r>
    </w:p>
    <w:p>
      <w:pPr>
        <w:spacing w:after="120"/>
      </w:pPr>
      <w:r>
        <w:t xml:space="preserve">The most comprehensive analyzer at 1,530 lines. Reads live Oracle SOA Suite REST API or locally exported SAR/ZIP composites. Parses BPEL 1.1 and 2.0 processes with full JCA adapter support (100+ adapter types mapped to canonical types).</w:t>
      </w:r>
    </w:p>
    <w:p>
      <w:pPr>
        <w:spacing w:after="120"/>
      </w:pPr>
    </w:p>
    <w:p>
      <w:pPr>
        <w:pStyle w:val="Heading2"/>
        <w:spacing w:before="240" w:after="80"/>
      </w:pPr>
      <w:r>
        <w:rPr>
          <w:b/>
          <w:sz w:val="26"/>
          <w:szCs w:val="26"/>
          <w:color w:val="2B579A"/>
        </w:rPr>
        <w:t xml:space="preserve">Adapter-to-Canonical Mapping  (Oracle SOA)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JCA Adapter</w:t>
            </w:r>
          </w:p>
        </w:tc>
        <w:tc>
          <w:tcPr>
            <w:tcW w:w="3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Canonical Type</w:t>
            </w:r>
          </w:p>
        </w:tc>
        <w:tc>
          <w:tcPr>
            <w:tcW w:w="3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Notes</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 xml:space="preserve">OracleDB, OracleApps (EBS)</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db, oracle_ebs</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Direct DB or EBS API call</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FileAdapter</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file</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Local file read/write</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FTPAdapter</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sftp</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FTP/SFTP file transfer</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 xml:space="preserve">MQSeries, JMS, AQ</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jms, oracle_aq</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Messaging/queue operations</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 xml:space="preserve">HTTP, SOAP adapters</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http_request</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Outbound HTTP/SOAP calls</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 xml:space="preserve">BPEL Invoke</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http_request</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BPEL partner link invocation</w:t>
            </w:r>
          </w:p>
        </w:tc>
      </w:tr>
      <w:tr>
        <w:tc>
          <w:tcPr>
            <w:tcW w:w="3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 xml:space="preserve">BPEL Receive/Reply</w:t>
            </w:r>
          </w:p>
        </w:tc>
        <w:tc>
          <w:tcPr>
            <w:tcW w:w="3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http_listener</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Inbound service endpoint</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The Canonical Migration Spec</w:t>
      </w:r>
    </w:p>
    <w:p>
      <w:pPr>
        <w:spacing w:after="120"/>
      </w:pPr>
      <w:r>
        <w:t xml:space="preserve">The migration spec is the lingua franca of the agent — a platform-agnostic JSON document that every analyzer writes to and every generator reads from. It is the only interface between the source and target sides of the pipeline.</w:t>
      </w:r>
    </w:p>
    <w:p>
      <w:pPr>
        <w:spacing w:after="120"/>
      </w:pPr>
    </w:p>
    <w:p>
      <w:pPr>
        <w:pStyle w:val="Heading2"/>
        <w:spacing w:before="240" w:after="80"/>
      </w:pPr>
      <w:r>
        <w:rPr>
          <w:b/>
          <w:sz w:val="26"/>
          <w:szCs w:val="26"/>
          <w:color w:val="2B579A"/>
        </w:rPr>
        <w:t xml:space="preserve">Why a Canonical Spec?</w:t>
      </w:r>
    </w:p>
    <w:p>
      <w:pPr>
        <w:ind w:left="720" w:hanging="360"/>
        <w:spacing w:after="60"/>
      </w:pPr>
      <w:r>
        <w:rPr>
          <w:sz w:val="20"/>
          <w:szCs w:val="20"/>
        </w:rPr>
        <w:t>•  </w:t>
      </w:r>
      <w:r>
        <w:t xml:space="preserve">Decouples analyzers from generators: 7 × 4 = 28 potential direct mappings become 7 + 4 = 11 modules</w:t>
      </w:r>
    </w:p>
    <w:p>
      <w:pPr>
        <w:ind w:left="720" w:hanging="360"/>
        <w:spacing w:after="60"/>
      </w:pPr>
      <w:r>
        <w:rPr>
          <w:sz w:val="20"/>
          <w:szCs w:val="20"/>
        </w:rPr>
        <w:t>•  </w:t>
      </w:r>
      <w:r>
        <w:t xml:space="preserve">Enables LLM enrichment without platform knowledge: the enricher only needs to understand the spec schema</w:t>
      </w:r>
    </w:p>
    <w:p>
      <w:pPr>
        <w:ind w:left="720" w:hanging="360"/>
        <w:spacing w:after="60"/>
      </w:pPr>
      <w:r>
        <w:rPr>
          <w:sz w:val="20"/>
          <w:szCs w:val="20"/>
        </w:rPr>
        <w:t>•  </w:t>
      </w:r>
      <w:r>
        <w:t xml:space="preserve">Supports session continuity: specs persist across runs so analysis is never repeated</w:t>
      </w:r>
    </w:p>
    <w:p>
      <w:pPr>
        <w:ind w:left="720" w:hanging="360"/>
        <w:spacing w:after="60"/>
      </w:pPr>
      <w:r>
        <w:rPr>
          <w:sz w:val="20"/>
          <w:szCs w:val="20"/>
        </w:rPr>
        <w:t>•  </w:t>
      </w:r>
      <w:r>
        <w:t xml:space="preserve">Enables validation: logic preservation can be scored against a single common format</w:t>
      </w:r>
    </w:p>
    <w:p>
      <w:pPr>
        <w:spacing w:after="120"/>
      </w:pPr>
    </w:p>
    <w:p>
      <w:pPr>
        <w:pStyle w:val="Heading2"/>
        <w:spacing w:before="240" w:after="80"/>
      </w:pPr>
      <w:r>
        <w:rPr>
          <w:b/>
          <w:sz w:val="26"/>
          <w:szCs w:val="26"/>
          <w:color w:val="2B579A"/>
        </w:rPr>
        <w:t xml:space="preserve">Spec Schema</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CANONICAL SPEC FORMAT</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"schema_version": "1.0",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"source_system":  "mulesoft | boomi | oracle_soa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"analyzed_at":    "2026-06-07T14:00:00Z",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"project_name":   "my-project",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"connections":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"pg-config": { "type": "db", "driver": "postgresql",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"host": "...", "port": 5432, "database":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"http-listener": { "type": "http_listener", "port": 8081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"integrations":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"name": "GetCustomers",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"flow_type": "primary | sub_flow | error_handler",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"trigger": { "type": "http_listener", "method": "GET", "path":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"steps":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"type": "db_select", "sql": "SELECT ...",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"type": "transform",  "language": "dataweave",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"type": "http_request", "method": "POST", "url": "...",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"boomi_suggestions": { "pattern": "request_reply_api",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"gaps":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"flow_name": "...", "issue": "...", "severity": "high", ...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                                                                               </w:t>
      </w:r>
    </w:p>
    <w:p>
      <w:pPr>
        <w:spacing w:after="120"/>
      </w:pPr>
    </w:p>
    <w:p>
      <w:pPr>
        <w:pStyle w:val="Heading2"/>
        <w:spacing w:before="240" w:after="80"/>
      </w:pPr>
      <w:r>
        <w:rPr>
          <w:b/>
          <w:sz w:val="26"/>
          <w:szCs w:val="26"/>
          <w:color w:val="2B579A"/>
        </w:rPr>
        <w:t xml:space="preserve">Step Types Catalog  (40+ canonical types)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1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Category</w:t>
            </w:r>
          </w:p>
        </w:tc>
        <w:tc>
          <w:tcPr>
            <w:tcW w:w="75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Step Types</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Data</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set_variable · set_payload · transform · logger</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Flow</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flow_ref · choice_router · choice_router_multi · scatter_gather · foreach · branch · try_scope · async_scope · batch_job</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Database</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db_select · db_insert · db_update · db_delete · db_stored_procedure</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HTTP/API</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http_request · http_listener</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File</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file_read · file_write · file_list · file_delete · sftp_read · sftp_write</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Salesforce</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salesforce_query · salesforce_create · salesforce_update · salesforce_upsert</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Messaging</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email_send · jms_publish · raise_error</w:t>
            </w:r>
          </w:p>
        </w:tc>
      </w:tr>
      <w:tr>
        <w:tc>
          <w:tcPr>
            <w:tcW w:w="1800" w:type="dxa"/>
            <w:tcBdr>
              <w:top w:val="single" w:sz="4" w:space="0" w:color="CCCCCC"/>
              <w:bottom w:val="single" w:sz="4" w:space="0" w:color="CCCCCC"/>
              <w:left w:val="single" w:sz="4" w:space="0" w:color="CCCCCC"/>
              <w:right w:val="single" w:sz="4" w:space="0" w:color="CCCCCC"/>
            </w:tcBdr>
            <w:shd w:val="clear" w:color="auto" w:fill="EBF3FB"/>
            <w:tcMar>
              <w:top w:w="80" w:type="dxa"/>
              <w:left w:w="120" w:type="dxa"/>
              <w:bottom w:w="80" w:type="dxa"/>
              <w:right w:w="120" w:type="dxa"/>
            </w:tcMar>
          </w:tcPr>
          <w:p>
            <w:pPr>
              <w:spacing w:before="0" w:after="0"/>
            </w:pPr>
            <w:r>
              <w:rPr>
                <w:sz w:val="18"/>
                <w:szCs w:val="18"/>
              </w:rPr>
              <w:t>Custom</w:t>
            </w:r>
          </w:p>
        </w:tc>
        <w:tc>
          <w:tcPr>
            <w:tcW w:w="7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custom (requires_review=true — enricher handles)</w:t>
            </w:r>
          </w:p>
        </w:tc>
      </w:tr>
    </w:tbl>
    <w:p>
      <w:pPr>
        <w:spacing w:after="120"/>
      </w:pPr>
    </w:p>
    <w:p>
      <w:pPr>
        <w:pStyle w:val="Heading2"/>
        <w:spacing w:before="240" w:after="80"/>
      </w:pPr>
      <w:r>
        <w:rPr>
          <w:b/>
          <w:sz w:val="26"/>
          <w:szCs w:val="26"/>
          <w:color w:val="2B579A"/>
        </w:rPr>
        <w:t xml:space="preserve">Flow Patterns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Pattern</w:t>
            </w:r>
          </w:p>
        </w:tc>
        <w:tc>
          <w:tcPr>
            <w:tcW w:w="65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request_reply_api</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HTTP trigger → process → HTTP response (REST API endpoint)</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scheduled_batch</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Timer/cron trigger → data processing → target write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file_processing</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File/SFTP trigger → parse → transform → load</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event_driven</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Messaging trigger (JMS/Event Streams) → process → publish</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system_sync</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Poll source system → compare → upsert to target</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subprocess</w:t>
            </w:r>
          </w:p>
        </w:tc>
        <w:tc>
          <w:tcPr>
            <w:tcW w:w="6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No trigger — called by another process (flow_ref / processcall)</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Enrichers  (Phase 1.5)</w:t>
      </w:r>
    </w:p>
    <w:p>
      <w:pPr>
        <w:spacing w:after="120"/>
      </w:pPr>
      <w:r>
        <w:t xml:space="preserve">The enricher calls Claude API to fill gaps that rule-based analyzers cannot handle — particularly complex transformation languages (MuleSoft DataWeave, Oracle XPath, BPEL expressions) and non-standard integration patterns. It runs between analysis and generation and is optional but significantly improves output quality.</w:t>
      </w:r>
    </w:p>
    <w:p>
      <w:pPr>
        <w:spacing w:after="120"/>
      </w:pPr>
    </w:p>
    <w:p>
      <w:pPr>
        <w:pStyle w:val="Heading2"/>
        <w:spacing w:before="240" w:after="80"/>
      </w:pPr>
      <w:r>
        <w:rPr>
          <w:b/>
          <w:sz w:val="26"/>
          <w:szCs w:val="26"/>
          <w:color w:val="2B579A"/>
        </w:rPr>
        <w:t xml:space="preserve">Enrichment Pipeline</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ENRICHMENT PIPELINE — enrich_spec.py</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migration-specs/&lt;project&gt;.json (from analyzer)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Steps with transform language expressions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MAPPINGS PHASE   |  DataWeave ${payload.x} -&gt; field_mappings array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call  |  XPath /order/item -&gt; canonical field path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Transforms too complex for Boomi Map component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GROOVY PHASE     |  Aggregation / dynamic keys / multi-step logic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call  |  -&gt; groovy_script field (ready to paste into Boomi)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Steps flagged requires_review=true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GAPS PHASE       |  scatter_gather / human_task / custom adapters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call  |  -&gt; boomi_resolution JSON with shape recommendations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Whole-spec strategic read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ASSESS PHASE     |  Per-flow risk scoring, migration order, human decisions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call  |  -&gt; _assessment.md markdown report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Post-generation cross-check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REVIEW PHASE     |  Spec intent vs. generated component descriptions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Claude API call  |  -&gt; _review.md checklist of discrepancies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migration-specs/&lt;project&gt;.json (enriched, ready for generator)                 </w:t>
      </w:r>
    </w:p>
    <w:p>
      <w:pPr>
        <w:spacing w:after="120"/>
      </w:pPr>
    </w:p>
    <w:p>
      <w:pPr>
        <w:pStyle w:val="Heading2"/>
        <w:spacing w:before="240" w:after="80"/>
      </w:pPr>
      <w:r>
        <w:rPr>
          <w:b/>
          <w:sz w:val="26"/>
          <w:szCs w:val="26"/>
          <w:color w:val="2B579A"/>
        </w:rPr>
        <w:t xml:space="preserve">Enrichment Phases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16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Phase</w:t>
            </w:r>
          </w:p>
        </w:tc>
        <w:tc>
          <w:tcPr>
            <w:tcW w:w="2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Trigger Condition</w:t>
            </w:r>
          </w:p>
        </w:tc>
        <w:tc>
          <w:tcPr>
            <w:tcW w:w="2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Output Field / File</w:t>
            </w:r>
          </w:p>
        </w:tc>
        <w:tc>
          <w:tcPr>
            <w:tcW w:w="25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Notes</w:t>
            </w:r>
          </w:p>
        </w:tc>
      </w:tr>
      <w:tr>
        <w:tc>
          <w:tcPr>
            <w:tcW w:w="1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Mappings</w:t>
            </w:r>
          </w:p>
        </w:tc>
        <w:tc>
          <w:tcPr>
            <w:tcW w:w="2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Step has transform expression (DataWeave, XPath)</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field_mappings array</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One LLM call per transform step</w:t>
            </w:r>
          </w:p>
        </w:tc>
      </w:tr>
      <w:tr>
        <w:tc>
          <w:tcPr>
            <w:tcW w:w="1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Groovy</w:t>
            </w:r>
          </w:p>
        </w:tc>
        <w:tc>
          <w:tcPr>
            <w:tcW w:w="2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Transform too complex for Boomi Map (aggregation, loops)</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groovy_script string</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Generates complete Boomi Groovy 2 script</w:t>
            </w:r>
          </w:p>
        </w:tc>
      </w:tr>
      <w:tr>
        <w:tc>
          <w:tcPr>
            <w:tcW w:w="1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Gaps</w:t>
            </w:r>
          </w:p>
        </w:tc>
        <w:tc>
          <w:tcPr>
            <w:tcW w:w="2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Step has requires_review=true and is not a transform</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boomi_resolution JSON</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Shape recommendations + config details</w:t>
            </w:r>
          </w:p>
        </w:tc>
      </w:tr>
      <w:tr>
        <w:tc>
          <w:tcPr>
            <w:tcW w:w="1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Assess</w:t>
            </w:r>
          </w:p>
        </w:tc>
        <w:tc>
          <w:tcPr>
            <w:tcW w:w="2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Whole spec (always)</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_assessment.md</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Risk scores, migration order, decisions</w:t>
            </w:r>
          </w:p>
        </w:tc>
      </w:tr>
      <w:tr>
        <w:tc>
          <w:tcPr>
            <w:tcW w:w="1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Review</w:t>
            </w:r>
          </w:p>
        </w:tc>
        <w:tc>
          <w:tcPr>
            <w:tcW w:w="28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After generation (post-gen cross-check)</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_review.md</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Flags discrepancies between spec and output</w:t>
            </w:r>
          </w:p>
        </w:tc>
      </w:tr>
    </w:tbl>
    <w:p>
      <w:pPr>
        <w:spacing w:after="120"/>
      </w:pPr>
    </w:p>
    <w:p>
      <w:pPr>
        <w:pStyle w:val="Heading2"/>
        <w:spacing w:before="240" w:after="80"/>
      </w:pPr>
      <w:r>
        <w:rPr>
          <w:b/>
          <w:sz w:val="26"/>
          <w:szCs w:val="26"/>
          <w:color w:val="2B579A"/>
        </w:rPr>
        <w:t xml:space="preserve">Cost Controls</w:t>
      </w:r>
    </w:p>
    <w:p>
      <w:pPr>
        <w:ind w:left="720" w:hanging="360"/>
        <w:spacing w:after="60"/>
      </w:pPr>
      <w:r>
        <w:rPr>
          <w:sz w:val="20"/>
          <w:szCs w:val="20"/>
        </w:rPr>
        <w:t>•  </w:t>
      </w:r>
      <w:r>
        <w:t xml:space="preserve">--skip-enrich: bypasses the entire enrichment phase</w:t>
      </w:r>
    </w:p>
    <w:p>
      <w:pPr>
        <w:ind w:left="720" w:hanging="360"/>
        <w:spacing w:after="60"/>
      </w:pPr>
      <w:r>
        <w:rPr>
          <w:sz w:val="20"/>
          <w:szCs w:val="20"/>
        </w:rPr>
        <w:t>•  </w:t>
      </w:r>
      <w:r>
        <w:t xml:space="preserve">--enrich-limit N: caps the number of steps enriched (for large migrations)</w:t>
      </w:r>
    </w:p>
    <w:p>
      <w:pPr>
        <w:ind w:left="720" w:hanging="360"/>
        <w:spacing w:after="60"/>
      </w:pPr>
      <w:r>
        <w:rPr>
          <w:sz w:val="20"/>
          <w:szCs w:val="20"/>
        </w:rPr>
        <w:t>•  </w:t>
      </w:r>
      <w:r>
        <w:t xml:space="preserve">--phases mappings,groovy: run only specific phases</w:t>
      </w:r>
    </w:p>
    <w:p>
      <w:pPr>
        <w:ind w:left="720" w:hanging="360"/>
        <w:spacing w:after="60"/>
      </w:pPr>
      <w:r>
        <w:rPr>
          <w:sz w:val="20"/>
          <w:szCs w:val="20"/>
        </w:rPr>
        <w:t>•  </w:t>
      </w:r>
      <w:r>
        <w:t xml:space="preserve">--enrich-model: choose Claude model (default claude-opus-4-7; use Haiku for cost reduction)</w:t>
      </w:r>
    </w:p>
    <w:p>
      <w:pPr>
        <w:spacing w:after="120"/>
      </w:pPr>
    </w:p>
    <w:p>
      <w:r>
        <w:br w:type="page"/>
      </w:r>
    </w:p>
    <w:p>
      <w:pPr>
        <w:pStyle w:val="Heading1"/>
        <w:spacing w:before="360" w:after="120"/>
        <w:pBdr>
          <w:bottom w:val="single" w:sz="6" w:space="1" w:color="2B579A"/>
        </w:pBdr>
      </w:pPr>
      <w:r>
        <w:rPr>
          <w:b/>
          <w:sz w:val="32"/>
          <w:szCs w:val="32"/>
          <w:color w:val="1F3864"/>
        </w:rPr>
        <w:t xml:space="preserve">Generators  (Phase 2)</w:t>
      </w:r>
    </w:p>
    <w:p>
      <w:pPr>
        <w:spacing w:after="120"/>
      </w:pPr>
      <w:r>
        <w:t xml:space="preserve">Each generator reads the enriched canonical spec and produces deployable artifacts for its target platform. Generators call the target platform API directly (unless --dry-run is set, in which case they write JSON/XML locally).</w:t>
      </w:r>
    </w:p>
    <w:p>
      <w:pPr>
        <w:spacing w:after="120"/>
      </w:pPr>
    </w:p>
    <w:p>
      <w:pPr>
        <w:pStyle w:val="Heading2"/>
        <w:spacing w:before="240" w:after="80"/>
      </w:pPr>
      <w:r>
        <w:rPr>
          <w:b/>
          <w:sz w:val="26"/>
          <w:szCs w:val="26"/>
          <w:color w:val="2B579A"/>
        </w:rPr>
        <w:t xml:space="preserve">Generator Registry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Generator</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Target Platform</w:t>
            </w:r>
          </w:p>
        </w:tc>
        <w:tc>
          <w:tcPr>
            <w:tcW w:w="25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API Base</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Output</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generate_workato.py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Workato</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www.workato.com/api</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Published recipes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generate_celigo.py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Celigo</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api.integrator.io/v1</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Published integrations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generate_webmethods.py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webMethods.io</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&lt;tenant&gt;/apis/v1</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Published workflows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generate_boomi.py</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Boomi</w:t>
            </w:r>
          </w:p>
        </w:tc>
        <w:tc>
          <w:tcPr>
            <w:tcW w:w="25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platform.boomi.com</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Component XML + push</w:t>
            </w:r>
          </w:p>
        </w:tc>
      </w:tr>
    </w:tbl>
    <w:p>
      <w:pPr>
        <w:spacing w:after="120"/>
      </w:pPr>
    </w:p>
    <w:p>
      <w:pPr>
        <w:pStyle w:val="Heading2"/>
        <w:spacing w:before="240" w:after="80"/>
      </w:pPr>
      <w:r>
        <w:rPr>
          <w:b/>
          <w:sz w:val="26"/>
          <w:szCs w:val="26"/>
          <w:color w:val="2B579A"/>
        </w:rPr>
        <w:t>generate_workato.py</w:t>
      </w:r>
    </w:p>
    <w:p>
      <w:pPr>
        <w:spacing w:after="120"/>
      </w:pPr>
      <w:r>
        <w:t xml:space="preserve">Creates a Workato folder, auto-creates connections (DB connection from spec metadata), builds the recipe JSON structure from spec steps, creates the recipe via the Workato API, and publishes it. Supports regional routing — AU tokens (wrkaus- prefix) use the AU endpoint.</w:t>
      </w:r>
    </w:p>
    <w:p>
      <w:pPr>
        <w:pStyle w:val="Heading2"/>
        <w:spacing w:before="240" w:after="80"/>
      </w:pPr>
      <w:r>
        <w:rPr>
          <w:b/>
          <w:sz w:val="26"/>
          <w:szCs w:val="26"/>
          <w:color w:val="2B579A"/>
        </w:rPr>
        <w:t>generate_celigo.py</w:t>
      </w:r>
    </w:p>
    <w:p>
      <w:pPr>
        <w:spacing w:after="120"/>
      </w:pPr>
      <w:r>
        <w:t xml:space="preserve">Creates a Celigo integration container, then creates exports (source connectors) and imports (destination connectors) from spec connections, creates mappings and transformation steps, and links them into the integration.</w:t>
      </w:r>
    </w:p>
    <w:p>
      <w:pPr>
        <w:pStyle w:val="Heading2"/>
        <w:spacing w:before="240" w:after="80"/>
      </w:pPr>
      <w:r>
        <w:rPr>
          <w:b/>
          <w:sz w:val="26"/>
          <w:szCs w:val="26"/>
          <w:color w:val="2B579A"/>
        </w:rPr>
        <w:t>generate_webmethods.py</w:t>
      </w:r>
    </w:p>
    <w:p>
      <w:pPr>
        <w:spacing w:after="120"/>
      </w:pPr>
      <w:r>
        <w:t xml:space="preserve">Finds or creates a webMethods.io project, builds workflow JSON from the spec (triggers, actions, connections), creates the workflow via API, and optionally publishes.</w:t>
      </w:r>
    </w:p>
    <w:p>
      <w:pPr>
        <w:pStyle w:val="Heading2"/>
        <w:spacing w:before="240" w:after="80"/>
      </w:pPr>
      <w:r>
        <w:rPr>
          <w:b/>
          <w:sz w:val="26"/>
          <w:szCs w:val="26"/>
          <w:color w:val="2B579A"/>
        </w:rPr>
        <w:t>generate_boomi.py</w:t>
      </w:r>
    </w:p>
    <w:p>
      <w:pPr>
        <w:spacing w:after="120"/>
      </w:pPr>
      <w:r>
        <w:t xml:space="preserve">The most complex generator. Produces Boomi component XML files written to active-development/ (process/, connector-settings/, profiles/, etc.). Optionally pushes via the boomi-integration skill scripts. Positions shapes on the canvas using calculated X/Y coordinates.</w:t>
      </w:r>
    </w:p>
    <w:p>
      <w:pPr>
        <w:spacing w:after="120"/>
      </w:pPr>
    </w:p>
    <w:p>
      <w:pPr>
        <w:pStyle w:val="Heading2"/>
        <w:spacing w:before="240" w:after="80"/>
      </w:pPr>
      <w:r>
        <w:rPr>
          <w:b/>
          <w:sz w:val="26"/>
          <w:szCs w:val="26"/>
          <w:color w:val="2B579A"/>
        </w:rPr>
        <w:t xml:space="preserve">Boomi Canvas Layout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Parameter</w:t>
            </w:r>
          </w:p>
        </w:tc>
        <w:tc>
          <w:tcPr>
            <w:tcW w:w="16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Value</w:t>
            </w:r>
          </w:p>
        </w:tc>
        <w:tc>
          <w:tcPr>
            <w:tcW w:w="5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X_START</w:t>
            </w:r>
          </w:p>
        </w:tc>
        <w:tc>
          <w:tcPr>
            <w:tcW w:w="16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48.0</w:t>
            </w:r>
          </w:p>
        </w:tc>
        <w:tc>
          <w:tcPr>
            <w:tcW w:w="5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X position of first shape</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X_STEP</w:t>
            </w:r>
          </w:p>
        </w:tc>
        <w:tc>
          <w:tcPr>
            <w:tcW w:w="16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225.0</w:t>
            </w:r>
          </w:p>
        </w:tc>
        <w:tc>
          <w:tcPr>
            <w:tcW w:w="5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Horizontal spacing between shapes</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Y_MAIN</w:t>
            </w:r>
          </w:p>
        </w:tc>
        <w:tc>
          <w:tcPr>
            <w:tcW w:w="16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46.0</w:t>
            </w:r>
          </w:p>
        </w:tc>
        <w:tc>
          <w:tcPr>
            <w:tcW w:w="5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Y position of main process path</w:t>
            </w:r>
          </w:p>
        </w:tc>
      </w:tr>
      <w:tr>
        <w:tc>
          <w:tcPr>
            <w:tcW w:w="24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Y_BRANCH</w:t>
            </w:r>
          </w:p>
        </w:tc>
        <w:tc>
          <w:tcPr>
            <w:tcW w:w="16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246.0</w:t>
            </w:r>
          </w:p>
        </w:tc>
        <w:tc>
          <w:tcPr>
            <w:tcW w:w="5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Y position of branch/error handler path</w:t>
            </w:r>
          </w:p>
        </w:tc>
      </w:tr>
    </w:tbl>
    <w:p>
      <w:pPr>
        <w:spacing w:after="120"/>
      </w:pPr>
    </w:p>
    <w:p>
      <w:pPr>
        <w:pStyle w:val="Heading2"/>
        <w:spacing w:before="240" w:after="80"/>
      </w:pPr>
      <w:r>
        <w:rPr>
          <w:b/>
          <w:sz w:val="26"/>
          <w:szCs w:val="26"/>
          <w:color w:val="2B579A"/>
        </w:rPr>
        <w:t xml:space="preserve">Connector Types Supported  (Boomi Generator)</w:t>
      </w:r>
    </w:p>
    <w:p>
      <w:pPr>
        <w:ind w:left="720" w:hanging="360"/>
        <w:spacing w:after="60"/>
      </w:pPr>
      <w:r>
        <w:rPr>
          <w:sz w:val="20"/>
          <w:szCs w:val="20"/>
        </w:rPr>
        <w:t>•  </w:t>
      </w:r>
      <w:r>
        <w:t xml:space="preserve">DatabaseV2 — JDBC connections, SQL SELECT/INSERT/UPDATE/DELETE</w:t>
      </w:r>
    </w:p>
    <w:p>
      <w:pPr>
        <w:ind w:left="720" w:hanging="360"/>
        <w:spacing w:after="60"/>
      </w:pPr>
      <w:r>
        <w:rPr>
          <w:sz w:val="20"/>
          <w:szCs w:val="20"/>
        </w:rPr>
        <w:t>•  </w:t>
      </w:r>
      <w:r>
        <w:t xml:space="preserve">REST — outbound HTTP/REST API calls</w:t>
      </w:r>
    </w:p>
    <w:p>
      <w:pPr>
        <w:ind w:left="720" w:hanging="360"/>
        <w:spacing w:after="60"/>
      </w:pPr>
      <w:r>
        <w:rPr>
          <w:sz w:val="20"/>
          <w:szCs w:val="20"/>
        </w:rPr>
        <w:t>•  </w:t>
      </w:r>
      <w:r>
        <w:t xml:space="preserve">WSS (Web Services Server) — inbound HTTP listener endpoints</w:t>
      </w:r>
    </w:p>
    <w:p>
      <w:pPr>
        <w:ind w:left="720" w:hanging="360"/>
        <w:spacing w:after="60"/>
      </w:pPr>
      <w:r>
        <w:rPr>
          <w:sz w:val="20"/>
          <w:szCs w:val="20"/>
        </w:rPr>
        <w:t>•  </w:t>
      </w:r>
      <w:r>
        <w:t xml:space="preserve">Salesforce — CRM query/create/update/upsert</w:t>
      </w:r>
    </w:p>
    <w:p>
      <w:pPr>
        <w:ind w:left="720" w:hanging="360"/>
        <w:spacing w:after="60"/>
      </w:pPr>
      <w:r>
        <w:rPr>
          <w:sz w:val="20"/>
          <w:szCs w:val="20"/>
        </w:rPr>
        <w:t>•  </w:t>
      </w:r>
      <w:r>
        <w:t xml:space="preserve">Event Streams — JMS/Oracle AQ messaging</w:t>
      </w:r>
    </w:p>
    <w:p>
      <w:pPr>
        <w:ind w:left="720" w:hanging="360"/>
        <w:spacing w:after="60"/>
      </w:pPr>
      <w:r>
        <w:rPr>
          <w:sz w:val="20"/>
          <w:szCs w:val="20"/>
        </w:rPr>
        <w:t>•  </w:t>
      </w:r>
      <w:r>
        <w:t xml:space="preserve">Disk V2 — local and SFTP file operations</w:t>
      </w:r>
    </w:p>
    <w:p>
      <w:pPr>
        <w:ind w:left="720" w:hanging="360"/>
        <w:spacing w:after="60"/>
      </w:pPr>
      <w:r>
        <w:rPr>
          <w:sz w:val="20"/>
          <w:szCs w:val="20"/>
        </w:rPr>
        <w:t>•  </w:t>
      </w:r>
      <w:r>
        <w:t xml:space="preserve">Slack — notification webhooks</w:t>
      </w:r>
    </w:p>
    <w:p>
      <w:pPr>
        <w:spacing w:after="120"/>
      </w:pPr>
    </w:p>
    <w:p>
      <w:pPr>
        <w:pStyle w:val="Heading2"/>
        <w:spacing w:before="240" w:after="80"/>
      </w:pPr>
      <w:r>
        <w:rPr>
          <w:b/>
          <w:sz w:val="26"/>
          <w:szCs w:val="26"/>
          <w:color w:val="2B579A"/>
        </w:rPr>
        <w:t xml:space="preserve">Spec-to-Boomi Step Mapping</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28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Canonical Step Type</w:t>
            </w:r>
          </w:p>
        </w:tc>
        <w:tc>
          <w:tcPr>
            <w:tcW w:w="2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Boomi Shape</w:t>
            </w:r>
          </w:p>
        </w:tc>
        <w:tc>
          <w:tcPr>
            <w:tcW w:w="4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Notes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http_listener</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WSS Start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Exposes process as REST endpoint</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scheduler_cron</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Scheduled Start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Cron expression mapped to Boomi schedule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set_variable</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Set Properties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Creates Dynamic Process Properties (DPPs)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transform</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Map shape / Data Process Groovy</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Simple: Map; complex (enriched groovy_script): Data Process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db_select</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DatabaseV2 connector</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GET operation with SELECT SQL</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db_insert</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DatabaseV2 connector</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INSERT operation</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http_request</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REST connector</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actionType always EXECUTE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choice_router</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Decision / Route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Binary: Decision; multi-path: Route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foreach</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Data Process (split)</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Split document cache, iterate with loop-back</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try_scope</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Try/Catch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Error branch routes to Stop or notify shape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flow_ref</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Process Call shape</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shapetype=processcall (NOT process)</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jms_publish</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Event Streams connector</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Produce operation, actionType=EXECUTE</w:t>
            </w:r>
          </w:p>
        </w:tc>
      </w:tr>
      <w:tr>
        <w:tc>
          <w:tcPr>
            <w:tcW w:w="28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scatter_gather</w:t>
            </w:r>
          </w:p>
        </w:tc>
        <w:tc>
          <w:tcPr>
            <w:tcW w:w="2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Branch shape (sequential)</w:t>
            </w:r>
          </w:p>
        </w:tc>
        <w:tc>
          <w:tcPr>
            <w:tcW w:w="4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Gap: BPEL parallel -&gt; sequential (noted in shape)</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Validators  (Phase 2.5)</w:t>
      </w:r>
    </w:p>
    <w:p>
      <w:pPr>
        <w:spacing w:after="120"/>
      </w:pPr>
      <w:r>
        <w:t xml:space="preserve">The validator quantifies how faithfully the source integration logic was preserved in the migration. It reads the canonical spec and produces a numeric preservation score plus a human-readable review checklist. The score can be used as a CI gate via the --fail-below argument.</w:t>
      </w:r>
    </w:p>
    <w:p>
      <w:pPr>
        <w:spacing w:after="120"/>
      </w:pPr>
    </w:p>
    <w:p>
      <w:pPr>
        <w:pStyle w:val="Heading2"/>
        <w:spacing w:before="240" w:after="80"/>
      </w:pPr>
      <w:r>
        <w:rPr>
          <w:b/>
          <w:sz w:val="26"/>
          <w:szCs w:val="26"/>
          <w:color w:val="2B579A"/>
        </w:rPr>
        <w:t xml:space="preserve">Scoring Model</w:t>
      </w: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SCORING ALGORITHM — validate_logic.py</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base_score = 100.0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For each step in every integration: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risk = step_type_risk[step.type]   # low / medium / high / blocked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if step.requires_review: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severity = gap_severity(step)    # from gaps[] array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score -= severity_deductions[severity]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final_score = max(0, base_score - total_deductions)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-&gt; written to coverage_report.json as preservation_score                       </w:t>
      </w:r>
    </w:p>
    <w:p>
      <w:pPr>
        <w:spacing w:after="120"/>
      </w:pPr>
    </w:p>
    <w:p>
      <w:pPr>
        <w:pStyle w:val="Heading2"/>
        <w:spacing w:before="240" w:after="80"/>
      </w:pPr>
      <w:r>
        <w:rPr>
          <w:b/>
          <w:sz w:val="26"/>
          <w:szCs w:val="26"/>
          <w:color w:val="2B579A"/>
        </w:rPr>
        <w:t xml:space="preserve">Step Risk Tiers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16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Risk Level</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Score Deduction</w:t>
            </w:r>
          </w:p>
        </w:tc>
        <w:tc>
          <w:tcPr>
            <w:tcW w:w="57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Step Types</w:t>
            </w:r>
          </w:p>
        </w:tc>
      </w:tr>
      <w:tr>
        <w:tc>
          <w:tcPr>
            <w:tcW w:w="1600" w:type="dxa"/>
            <w:tcBdr>
              <w:top w:val="single" w:sz="4" w:space="0" w:color="CCCCCC"/>
              <w:bottom w:val="single" w:sz="4" w:space="0" w:color="CCCCCC"/>
              <w:left w:val="single" w:sz="4" w:space="0" w:color="CCCCCC"/>
              <w:right w:val="single" w:sz="4" w:space="0" w:color="CCCCCC"/>
            </w:tcBdr>
            <w:shd w:val="clear" w:color="auto" w:fill="D5F5E3"/>
            <w:tcMar>
              <w:top w:w="80" w:type="dxa"/>
              <w:left w:w="120" w:type="dxa"/>
              <w:bottom w:w="80" w:type="dxa"/>
              <w:right w:w="120" w:type="dxa"/>
            </w:tcMar>
          </w:tcPr>
          <w:p>
            <w:pPr>
              <w:spacing w:before="0" w:after="0"/>
            </w:pPr>
            <w:r>
              <w:rPr>
                <w:sz w:val="18"/>
                <w:szCs w:val="18"/>
              </w:rPr>
              <w:t>low</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choice_router · db_select · db_insert · file_read · file_write · sftp_read · sftp_write</w:t>
            </w:r>
          </w:p>
        </w:tc>
      </w:tr>
      <w:tr>
        <w:tc>
          <w:tcPr>
            <w:tcW w:w="1600" w:type="dxa"/>
            <w:tcBdr>
              <w:top w:val="single" w:sz="4" w:space="0" w:color="CCCCCC"/>
              <w:bottom w:val="single" w:sz="4" w:space="0" w:color="CCCCCC"/>
              <w:left w:val="single" w:sz="4" w:space="0" w:color="CCCCCC"/>
              <w:right w:val="single" w:sz="4" w:space="0" w:color="CCCCCC"/>
            </w:tcBdr>
            <w:shd w:val="clear" w:color="auto" w:fill="FEF9E7"/>
            <w:tcMar>
              <w:top w:w="80" w:type="dxa"/>
              <w:left w:w="120" w:type="dxa"/>
              <w:bottom w:w="80" w:type="dxa"/>
              <w:right w:w="120" w:type="dxa"/>
            </w:tcMar>
          </w:tcPr>
          <w:p>
            <w:pPr>
              <w:spacing w:before="0" w:after="0"/>
            </w:pPr>
            <w:r>
              <w:rPr>
                <w:sz w:val="18"/>
                <w:szCs w:val="18"/>
              </w:rPr>
              <w:t>medium</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-5%</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transform · http_request · foreach · try_scope · set_variable · set_payload · email_send</w:t>
            </w:r>
          </w:p>
        </w:tc>
      </w:tr>
      <w:tr>
        <w:tc>
          <w:tcPr>
            <w:tcW w:w="1600" w:type="dxa"/>
            <w:tcBdr>
              <w:top w:val="single" w:sz="4" w:space="0" w:color="CCCCCC"/>
              <w:bottom w:val="single" w:sz="4" w:space="0" w:color="CCCCCC"/>
              <w:left w:val="single" w:sz="4" w:space="0" w:color="CCCCCC"/>
              <w:right w:val="single" w:sz="4" w:space="0" w:color="CCCCCC"/>
            </w:tcBdr>
            <w:shd w:val="clear" w:color="auto" w:fill="FDEDEC"/>
            <w:tcMar>
              <w:top w:w="80" w:type="dxa"/>
              <w:left w:w="120" w:type="dxa"/>
              <w:bottom w:w="80" w:type="dxa"/>
              <w:right w:w="120" w:type="dxa"/>
            </w:tcMar>
          </w:tcPr>
          <w:p>
            <w:pPr>
              <w:spacing w:before="0" w:after="0"/>
            </w:pPr>
            <w:r>
              <w:rPr>
                <w:sz w:val="18"/>
                <w:szCs w:val="18"/>
              </w:rPr>
              <w:t>high</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-10%</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scatter_gather · async_scope · batch_job · custom · oracle_ebs_api · bpel_wait</w:t>
            </w:r>
          </w:p>
        </w:tc>
      </w:tr>
      <w:tr>
        <w:tc>
          <w:tcPr>
            <w:tcW w:w="1600" w:type="dxa"/>
            <w:tcBdr>
              <w:top w:val="single" w:sz="4" w:space="0" w:color="CCCCCC"/>
              <w:bottom w:val="single" w:sz="4" w:space="0" w:color="CCCCCC"/>
              <w:left w:val="single" w:sz="4" w:space="0" w:color="CCCCCC"/>
              <w:right w:val="single" w:sz="4" w:space="0" w:color="CCCCCC"/>
            </w:tcBdr>
            <w:shd w:val="clear" w:color="auto" w:fill="F5B7B1"/>
            <w:tcMar>
              <w:top w:w="80" w:type="dxa"/>
              <w:left w:w="120" w:type="dxa"/>
              <w:bottom w:w="80" w:type="dxa"/>
              <w:right w:w="120" w:type="dxa"/>
            </w:tcMar>
          </w:tcPr>
          <w:p>
            <w:pPr>
              <w:spacing w:before="0" w:after="0"/>
            </w:pPr>
            <w:r>
              <w:rPr>
                <w:sz w:val="18"/>
                <w:szCs w:val="18"/>
              </w:rPr>
              <w:t>blocked</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-20%</w:t>
            </w:r>
          </w:p>
        </w:tc>
        <w:tc>
          <w:tcPr>
            <w:tcW w:w="57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Human Tasks · unsupported adapters · steps with no Boomi equivalent</w:t>
            </w:r>
          </w:p>
        </w:tc>
      </w:tr>
    </w:tbl>
    <w:p>
      <w:pPr>
        <w:spacing w:after="120"/>
      </w:pPr>
    </w:p>
    <w:p>
      <w:pPr>
        <w:pStyle w:val="Heading2"/>
        <w:spacing w:before="240" w:after="80"/>
      </w:pPr>
      <w:r>
        <w:rPr>
          <w:b/>
          <w:sz w:val="26"/>
          <w:szCs w:val="26"/>
          <w:color w:val="2B579A"/>
        </w:rPr>
        <w:t xml:space="preserve">Output Files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6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File</w:t>
            </w:r>
          </w:p>
        </w:tc>
        <w:tc>
          <w:tcPr>
            <w:tcW w:w="14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Format</w:t>
            </w:r>
          </w:p>
        </w:tc>
        <w:tc>
          <w:tcPr>
            <w:tcW w:w="4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Contents</w:t>
            </w:r>
          </w:p>
        </w:tc>
      </w:tr>
      <w:tr>
        <w:tc>
          <w:tcPr>
            <w:tcW w:w="3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&lt;project&gt;_coverage_report.json</w:t>
            </w:r>
          </w:p>
        </w:tc>
        <w:tc>
          <w:tcPr>
            <w:tcW w:w="1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JSON</w:t>
            </w:r>
          </w:p>
        </w:tc>
        <w:tc>
          <w:tcPr>
            <w:tcW w:w="4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Machine-readable: preservation_score, per-flow risk breakdown, gap list, severity counts</w:t>
            </w:r>
          </w:p>
        </w:tc>
      </w:tr>
      <w:tr>
        <w:tc>
          <w:tcPr>
            <w:tcW w:w="36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&lt;project&gt;_review_checklist.md</w:t>
            </w:r>
          </w:p>
        </w:tc>
        <w:tc>
          <w:tcPr>
            <w:tcW w:w="14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Markdown</w:t>
            </w:r>
          </w:p>
        </w:tc>
        <w:tc>
          <w:tcPr>
            <w:tcW w:w="4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Human-readable: ordered checklist of all review items grouped by flow and severity</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Environment Configuration</w:t>
      </w:r>
    </w:p>
    <w:p>
      <w:pPr>
        <w:spacing w:after="120"/>
      </w:pPr>
      <w:r>
        <w:t xml:space="preserve">All credentials and platform endpoints are configured in a .env file at the project root. CLI tools in the boomi-integration skill load this file internally. The file is gitignored and cannot be read directly — use boomi-env-check.sh to verify which variables are set.</w:t>
      </w:r>
    </w:p>
    <w:p>
      <w:pPr>
        <w:spacing w:after="120"/>
      </w:pPr>
    </w:p>
    <w:p>
      <w:pPr>
        <w:pStyle w:val="Heading2"/>
        <w:spacing w:before="240" w:after="80"/>
      </w:pPr>
      <w:r>
        <w:rPr>
          <w:b/>
          <w:sz w:val="26"/>
          <w:szCs w:val="26"/>
          <w:color w:val="2B579A"/>
        </w:rPr>
        <w:t>Boomi</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Variable</w:t>
            </w:r>
          </w:p>
        </w:tc>
        <w:tc>
          <w:tcPr>
            <w:tcW w:w="6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BOOMI_API_URL</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 AtomSphere API base URL</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BOOMI_ACCOUNT_ID</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Account ID (visible in Boomi platform URL)</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BOOMI_USERNAME</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user email</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BOOMI_API_TOKEN</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token (from Boomi Settings)</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BOOMI_TARGET_FOLDER</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Default folder name for generated components</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BOOMI_ENVIRONMENT_ID</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Environment ID for deployment</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BOOMI_TEST_ATOM_ID</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Atom ID for test execution</w:t>
            </w:r>
          </w:p>
        </w:tc>
      </w:tr>
    </w:tbl>
    <w:p>
      <w:pPr>
        <w:spacing w:after="120"/>
      </w:pPr>
    </w:p>
    <w:p>
      <w:pPr>
        <w:pStyle w:val="Heading2"/>
        <w:spacing w:before="240" w:after="80"/>
      </w:pPr>
      <w:r>
        <w:rPr>
          <w:b/>
          <w:sz w:val="26"/>
          <w:szCs w:val="26"/>
          <w:color w:val="2B579A"/>
        </w:rPr>
        <w:t>Workato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WORKATO_API_TOKEN</w:t>
            </w:r>
          </w:p>
        </w:tc>
        <w:tc>
          <w:tcPr>
            <w:tcW w:w="6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WORKATO_API_TOKEN</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token (from Workato Settings → API Tokens). Prefix wrkaus- routes to AU endpoint.</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WORKATO_EMAIL</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Workato account email (required in request headers)</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WORKATO_BASE_URL</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Optional override for regional endpoints (default: www.workato.com/api)</w:t>
            </w:r>
          </w:p>
        </w:tc>
      </w:tr>
    </w:tbl>
    <w:p>
      <w:pPr>
        <w:spacing w:after="120"/>
      </w:pPr>
    </w:p>
    <w:p>
      <w:pPr>
        <w:pStyle w:val="Heading2"/>
        <w:spacing w:before="240" w:after="80"/>
      </w:pPr>
      <w:r>
        <w:rPr>
          <w:b/>
          <w:sz w:val="26"/>
          <w:szCs w:val="26"/>
          <w:color w:val="2B579A"/>
        </w:rPr>
        <w:t xml:space="preserve">Oracle SOA Suite / EBS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Variable</w:t>
            </w:r>
          </w:p>
        </w:tc>
        <w:tc>
          <w:tcPr>
            <w:tcW w:w="6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ORACLE_SOA_HOST</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SOA server hostname</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ORACLE_SOA_PORT</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SOA port (default 7001)</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ORACLE_SOA_USERNAME</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WebLogic admin username</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ORACLE_SOA_PASSWORD</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WebLogic admin password</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ORACLE_SOA_PARTITION</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Composite partition name (usually 'default')</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ORACLE_SOA_EM_PORT</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Enterprise Manager port for SAR export (optional)</w:t>
            </w:r>
          </w:p>
        </w:tc>
      </w:tr>
    </w:tbl>
    <w:p>
      <w:pPr>
        <w:spacing w:after="120"/>
      </w:pPr>
    </w:p>
    <w:p>
      <w:pPr>
        <w:pStyle w:val="Heading2"/>
        <w:spacing w:before="240" w:after="80"/>
      </w:pPr>
      <w:r>
        <w:rPr>
          <w:b/>
          <w:sz w:val="26"/>
          <w:szCs w:val="26"/>
          <w:color w:val="2B579A"/>
        </w:rPr>
        <w:t xml:space="preserve">Oracle Integration Cloud  (OIC)</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Variable</w:t>
            </w:r>
          </w:p>
        </w:tc>
        <w:tc>
          <w:tcPr>
            <w:tcW w:w="6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ORACLE_OIC_HOST</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OIC host URL</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ORACLE_OIC_USERNAME</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OIC username</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ORACLE_OIC_PASSWORD</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OIC password</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ORACLE_OIC_VERSION</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API version: v2 or v3 (default v3)</w:t>
            </w:r>
          </w:p>
        </w:tc>
      </w:tr>
    </w:tbl>
    <w:p>
      <w:pPr>
        <w:spacing w:after="120"/>
      </w:pPr>
    </w:p>
    <w:p>
      <w:pPr>
        <w:pStyle w:val="Heading2"/>
        <w:spacing w:before="240" w:after="80"/>
      </w:pPr>
      <w:r>
        <w:rPr>
          <w:b/>
          <w:sz w:val="26"/>
          <w:szCs w:val="26"/>
          <w:color w:val="2B579A"/>
        </w:rPr>
        <w:t xml:space="preserve">Anthropic (for Enrichment)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2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ANTHROPIC_API_KEY</w:t>
            </w:r>
          </w:p>
        </w:tc>
        <w:tc>
          <w:tcPr>
            <w:tcW w:w="61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Description</w:t>
            </w:r>
          </w:p>
        </w:tc>
      </w:tr>
      <w:tr>
        <w:tc>
          <w:tcPr>
            <w:tcW w:w="32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ANTHROPIC_API_KEY</w:t>
            </w:r>
          </w:p>
        </w:tc>
        <w:tc>
          <w:tcPr>
            <w:tcW w:w="61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Anthropic API key. Required for Phase 1.5 enrichment. Without this key, enrichment is skipped silently.</w:t>
            </w:r>
          </w:p>
        </w:tc>
      </w:tr>
    </w:tbl>
    <w:p>
      <w:pPr>
        <w:spacing w:after="120"/>
      </w:pPr>
    </w:p>
    <w:p>
      <w:r>
        <w:br w:type="page"/>
      </w:r>
    </w:p>
    <w:p>
      <w:pPr>
        <w:pStyle w:val="Heading1"/>
        <w:spacing w:before="360" w:after="120"/>
        <w:pBdr>
          <w:bottom w:val="single" w:sz="6" w:space="1" w:color="2B579A"/>
        </w:pBdr>
      </w:pPr>
      <w:r>
        <w:rPr>
          <w:b/>
          <w:sz w:val="32"/>
          <w:szCs w:val="32"/>
          <w:color w:val="1F3864"/>
        </w:rPr>
        <w:t xml:space="preserve">Appendix — Complete Data Flow</w:t>
      </w:r>
    </w:p>
    <w:p>
      <w:pPr>
        <w:spacing w:after="120"/>
      </w:pPr>
      <w:r>
        <w:t xml:space="preserve">This diagram shows every file, API call, and data boundary from UI input to deployed target artifact.</w:t>
      </w:r>
    </w:p>
    <w:p>
      <w:pPr>
        <w:spacing w:after="120"/>
      </w:pPr>
    </w:p>
    <w:p>
      <w:pPr>
        <w:shd w:val="clear" w:color="auto" w:fill="1F3864"/>
        <w:spacing w:before="0" w:after="0"/>
        <w:pBdr>
          <w:top w:val="single" w:sz="4" w:space="4" w:color="2B579A"/>
          <w:left w:val="single" w:sz="4" w:space="4" w:color="2B579A"/>
          <w:right w:val="single" w:sz="4" w:space="4" w:color="2B579A"/>
        </w:pBdr>
      </w:pPr>
      <w:r>
        <w:rPr>
          <w:b/>
          <w:sz w:val="18"/>
          <w:szCs w:val="18"/>
          <w:color w:val="FFFFFF"/>
          <w:rFonts w:ascii="Arial" w:hAnsi="Arial" w:cs="Arial"/>
        </w:rPr>
        <w:t xml:space="preserve">  COMPLETE DATA FLOW — End to End</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USER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browser: http://localhost:8501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app.py (Streamlit)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build_migrate_cmd() -&gt; subprocess call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v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migrate.py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0 — PULL]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 source only)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boomi-component-search.sh --name '%' --type process,connector-settings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Boomi AtomSphere API GET /QueryResult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boomi-component-pull.sh --componentId &lt;id&gt;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Boomi AtomSphere API GET /Component/&lt;id&gt;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active-development/process/*.xml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active-development/connector-settings/*.xml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active-development/profile/*.xml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.sync-state/&lt;id&gt;.json  (sync tracking)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1 — ANALYZE]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analyze_&lt;source&gt;.py &lt;source-dir&gt;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reads: source artifacts (XML / JSON / IS flow XML / SAR)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builds: connections{}, integrations[], gaps[]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writes: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1.5 — ENRICH]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enrich_spec.py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reads: spec steps with transform expressions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calls: Anthropic API (claude-opus-4-7 by default)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field_mappings per transform step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groovy_script per complex step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boomi_resolution per gap step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writes: migration-specs/&lt;project&gt;.json (updated in place)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migration-specs/&lt;project&gt;_assessment.md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2 — GENERATE]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generate_&lt;target&gt;.py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Workato:     POST /api/folders -&gt; POST /api/recipes -&gt; publish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Celigo:      POST /integrations -&gt; POST /exports -&gt; POST /imports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webMethods:  POST /projects -&gt; POST /projects/{id}/workflows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       writes active-development/**/*.xml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boomi-component-create.sh / boomi-component-push.sh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-&gt; Boomi AtomSphere API POST/PUT /Component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--dry-run:   writes artifacts to migration-specs/&lt;project&gt;_&lt;target&gt;.json|</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[PHASE 2.5 — VALIDATE]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validate_logic.py migration-specs/&lt;project&gt;.json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scores: logic preservation % from spec gap analysis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writes: migration-specs/&lt;project&gt;_coverage_report.json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migration-specs/&lt;project&gt;_review_checklist.md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exit 1:  if score &lt; --fail-below threshold (CI gate)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                                                                             </w:t>
      </w:r>
    </w:p>
    <w:p>
      <w:pPr>
        <w:shd w:val="clear" w:color="auto" w:fill="F3F6FA"/>
        <w:spacing w:before="0" w:after="0"/>
        <w:pBdr>
          <w:left w:val="single" w:sz="4" w:space="4" w:color="2B579A"/>
          <w:right w:val="single" w:sz="4" w:space="4" w:color="2B579A"/>
        </w:pBdr>
      </w:pPr>
      <w:r>
        <w:rPr>
          <w:sz w:val="18"/>
          <w:szCs w:val="18"/>
          <w:color w:val="1F3864"/>
          <w:rFonts w:ascii="Courier New" w:hAnsi="Courier New" w:cs="Courier New"/>
        </w:rPr>
        <w:t xml:space="preserve">  app.py: streams final output to browser, renders spec JSON in expander        </w:t>
      </w:r>
    </w:p>
    <w:p>
      <w:pPr>
        <w:shd w:val="clear" w:color="auto" w:fill="F3F6FA"/>
        <w:spacing w:before="0" w:after="0"/>
        <w:pBdr>
          <w:bottom w:val="single" w:sz="4" w:space="4" w:color="2B579A"/>
          <w:left w:val="single" w:sz="4" w:space="4" w:color="2B579A"/>
          <w:right w:val="single" w:sz="4" w:space="4" w:color="2B579A"/>
        </w:pBdr>
      </w:pPr>
      <w:r>
        <w:rPr>
          <w:sz w:val="18"/>
          <w:szCs w:val="18"/>
          <w:color w:val="1F3864"/>
          <w:rFonts w:ascii="Courier New" w:hAnsi="Courier New" w:cs="Courier New"/>
        </w:rPr>
        <w:t xml:space="preserve">                                                                                  </w:t>
      </w:r>
    </w:p>
    <w:p>
      <w:pPr>
        <w:spacing w:after="120"/>
      </w:pPr>
    </w:p>
    <w:p>
      <w:pPr>
        <w:pStyle w:val="Heading2"/>
        <w:spacing w:before="240" w:after="80"/>
      </w:pPr>
      <w:r>
        <w:rPr>
          <w:b/>
          <w:sz w:val="26"/>
          <w:szCs w:val="26"/>
          <w:color w:val="2B579A"/>
        </w:rPr>
        <w:t xml:space="preserve">File Outputs Reference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4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File / Location</w:t>
            </w:r>
          </w:p>
        </w:tc>
        <w:tc>
          <w:tcPr>
            <w:tcW w:w="200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 xml:space="preserve">Created By</w:t>
            </w:r>
          </w:p>
        </w:tc>
        <w:tc>
          <w:tcPr>
            <w:tcW w:w="3360" w:type="dxa"/>
            <w:tcBdr>
              <w:top w:val="single" w:sz="4" w:space="0" w:color="CCCCCC"/>
              <w:bottom w:val="single" w:sz="4" w:space="0" w:color="CCCCCC"/>
              <w:left w:val="single" w:sz="4" w:space="0" w:color="CCCCCC"/>
              <w:right w:val="single" w:sz="4" w:space="0" w:color="CCCCCC"/>
            </w:tcBdr>
            <w:shd w:val="clear" w:color="auto" w:fill="1F3864"/>
            <w:tcMar>
              <w:top w:w="80" w:type="dxa"/>
              <w:left w:w="120" w:type="dxa"/>
              <w:bottom w:w="80" w:type="dxa"/>
              <w:right w:w="120" w:type="dxa"/>
            </w:tcMar>
          </w:tcPr>
          <w:p>
            <w:pPr>
              <w:spacing w:before="0" w:after="0"/>
            </w:pPr>
            <w:r>
              <w:rPr>
                <w:b/>
                <w:sz w:val="18"/>
                <w:szCs w:val="18"/>
              </w:rPr>
              <w:t>Purpose</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active-development/**/*.xml</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Pull phase / Boomi gen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Boomi component XML for review or push</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.sync-state/&lt;id&gt;.json</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Pull phase</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Tracks which components are pushed (gitignored)</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migration-specs/&lt;project&gt;.json</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Analyzer + Enricher</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Canonical spec — the lingua franca</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migration-specs/&lt;project&gt;_assessment.md</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Enricher</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Strategic risk assessment and migration order</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migration-specs/&lt;project&gt;_review.md</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Enricher (post-gen)</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Post-generation discrepancy checklist</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migration-specs/&lt;project&gt;_coverage_report.json</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Validator</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Machine-readable preservation score</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migration-specs/&lt;project&gt;_review_checklist.md</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Validator</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Human-readable ordered review checklist</w:t>
            </w:r>
          </w:p>
        </w:tc>
      </w:tr>
      <w:tr>
        <w:tc>
          <w:tcPr>
            <w:tcW w:w="4000" w:type="dxa"/>
            <w:tcBdr>
              <w:top w:val="single" w:sz="4" w:space="0" w:color="CCCCCC"/>
              <w:bottom w:val="single" w:sz="4" w:space="0" w:color="CCCCCC"/>
              <w:left w:val="single" w:sz="4" w:space="0" w:color="CCCCCC"/>
              <w:right w:val="single" w:sz="4" w:space="0" w:color="CCCCCC"/>
            </w:tcBdr>
            <w:shd w:val="clear" w:color="auto" w:fill="F5F5F5"/>
            <w:tcMar>
              <w:top w:w="80" w:type="dxa"/>
              <w:left w:w="120" w:type="dxa"/>
              <w:bottom w:w="80" w:type="dxa"/>
              <w:right w:w="120" w:type="dxa"/>
            </w:tcMar>
          </w:tcPr>
          <w:p>
            <w:pPr>
              <w:spacing w:before="0" w:after="0"/>
            </w:pPr>
            <w:r>
              <w:rPr>
                <w:sz w:val="18"/>
                <w:szCs w:val="18"/>
              </w:rPr>
              <w:t>migration-specs/&lt;project&gt;_progress.md</w:t>
            </w:r>
          </w:p>
        </w:tc>
        <w:tc>
          <w:tcPr>
            <w:tcW w:w="200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Manual (agent)</w:t>
            </w:r>
          </w:p>
        </w:tc>
        <w:tc>
          <w:tcPr>
            <w:tcW w:w="3360" w:type="dxa"/>
            <w:tcBdr>
              <w:top w:val="single" w:sz="4" w:space="0" w:color="CCCCCC"/>
              <w:bottom w:val="single" w:sz="4" w:space="0" w:color="CCCCCC"/>
              <w:left w:val="single" w:sz="4" w:space="0" w:color="CCCCCC"/>
              <w:right w:val="single" w:sz="4" w:space="0" w:color="CCCCCC"/>
            </w:tcBdr>
            <w:tcMar>
              <w:top w:w="80" w:type="dxa"/>
              <w:left w:w="120" w:type="dxa"/>
              <w:bottom w:w="80" w:type="dxa"/>
              <w:right w:w="120" w:type="dxa"/>
            </w:tcMar>
          </w:tcPr>
          <w:p>
            <w:pPr>
              <w:spacing w:before="0" w:after="0"/>
            </w:pPr>
            <w:r>
              <w:rPr>
                <w:sz w:val="18"/>
                <w:szCs w:val="18"/>
              </w:rPr>
              <w:t xml:space="preserve">Session continuity — which flows are done/pending/blocked</w:t>
            </w:r>
          </w:p>
        </w:tc>
      </w:tr>
    </w:tbl>
    <w:sectPr>
      <w:pgSz w:w="12240" w:h="15840"/>
      <w:pgMar w:top="1080" w:right="1080" w:bottom="1080" w:left="1080" w:header="720" w:footer="72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0"/>
        <w:szCs w:val="20"/>
        <w:lang w:val="en-US"/>
      </w:rPr>
    </w:rPrDefault>
  </w:docDefaults>
  <w:style w:type="paragraph" w:styleId="Normal">
    <w:name w:val="Normal"/>
    <w:pPr>
      <w:spacing w:after="120"/>
    </w:pPr>
  </w:style>
  <w:style w:type="paragraph" w:styleId="Heading1">
    <w:name w:val="heading 1"/>
    <w:basedOn w:val="Normal"/>
    <w:pPr>
      <w:outlineLvl w:val="0"/>
    </w:pPr>
  </w:style>
  <w:style w:type="paragraph" w:styleId="Heading2">
    <w:name w:val="heading 2"/>
    <w:basedOn w:val="Normal"/>
    <w:pPr>
      <w:outlineLvl w:val="1"/>
    </w:pPr>
  </w:style>
  <w:style w:type="paragraph" w:styleId="Heading3">
    <w:name w:val="heading 3"/>
    <w:basedOn w:val="Normal"/>
    <w:pPr>
      <w:outlineLvl w:val="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